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C75B02" w14:textId="77777777" w:rsidR="005D5B85" w:rsidRPr="0097484C" w:rsidRDefault="005D5B85" w:rsidP="005D5B85">
      <w:pPr>
        <w:pStyle w:val="Heading6"/>
        <w:pageBreakBefore w:val="0"/>
        <w:framePr w:hSpace="1134" w:wrap="around" w:vAnchor="page" w:hAnchor="page" w:x="97" w:y="2041"/>
        <w:numPr>
          <w:ilvl w:val="0"/>
          <w:numId w:val="0"/>
        </w:numPr>
        <w:spacing w:after="0" w:line="14" w:lineRule="exact"/>
        <w:ind w:left="-1134"/>
        <w:rPr>
          <w:b/>
          <w:i w:val="0"/>
          <w:color w:val="FFFFFF"/>
          <w:sz w:val="14"/>
          <w:szCs w:val="14"/>
        </w:rPr>
      </w:pPr>
      <w:bookmarkStart w:id="0" w:name="_GoBack"/>
      <w:bookmarkEnd w:id="0"/>
    </w:p>
    <w:p w14:paraId="23FB2336" w14:textId="77777777" w:rsidR="00BC4823" w:rsidRPr="0097484C" w:rsidRDefault="00BC4823" w:rsidP="00BC4823">
      <w:pPr>
        <w:pStyle w:val="Heading6"/>
        <w:pageBreakBefore w:val="0"/>
        <w:framePr w:hSpace="1134" w:wrap="around" w:vAnchor="page" w:hAnchor="page" w:x="97" w:y="3481"/>
        <w:numPr>
          <w:ilvl w:val="0"/>
          <w:numId w:val="0"/>
        </w:numPr>
        <w:spacing w:after="0" w:line="14" w:lineRule="exact"/>
        <w:ind w:left="-1134"/>
        <w:rPr>
          <w:b/>
          <w:i w:val="0"/>
          <w:color w:val="FFFFFF"/>
          <w:sz w:val="14"/>
          <w:szCs w:val="14"/>
        </w:rPr>
      </w:pPr>
    </w:p>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984"/>
        <w:gridCol w:w="3521"/>
      </w:tblGrid>
      <w:tr w:rsidR="00ED0E85" w14:paraId="4F695182" w14:textId="77777777" w:rsidTr="00ED0E85">
        <w:trPr>
          <w:cantSplit/>
          <w:trHeight w:hRule="exact" w:val="1150"/>
        </w:trPr>
        <w:tc>
          <w:tcPr>
            <w:tcW w:w="8505" w:type="dxa"/>
            <w:gridSpan w:val="2"/>
          </w:tcPr>
          <w:p w14:paraId="74828D08" w14:textId="77777777" w:rsidR="00ED0E85" w:rsidRDefault="00ED0E85" w:rsidP="00ED0E85">
            <w:pPr>
              <w:pStyle w:val="Confidential"/>
              <w:jc w:val="right"/>
            </w:pPr>
            <w:r w:rsidRPr="008D7CE7">
              <w:t>COMMERCIAL IN CONFIDENCE</w:t>
            </w:r>
          </w:p>
        </w:tc>
      </w:tr>
      <w:tr w:rsidR="00ED0E85" w14:paraId="4DAA43AC" w14:textId="77777777" w:rsidTr="00ED0E85">
        <w:trPr>
          <w:cantSplit/>
          <w:trHeight w:val="1968"/>
        </w:trPr>
        <w:tc>
          <w:tcPr>
            <w:tcW w:w="8505" w:type="dxa"/>
            <w:gridSpan w:val="2"/>
          </w:tcPr>
          <w:p w14:paraId="1668CDC2" w14:textId="77777777" w:rsidR="00ED0E85" w:rsidRDefault="00ED0E85" w:rsidP="00ED0E85">
            <w:pPr>
              <w:pStyle w:val="BodyText"/>
              <w:spacing w:before="0"/>
            </w:pPr>
          </w:p>
        </w:tc>
      </w:tr>
      <w:tr w:rsidR="00ED0E85" w14:paraId="61BAE025" w14:textId="77777777" w:rsidTr="00ED0E85">
        <w:trPr>
          <w:cantSplit/>
          <w:trHeight w:val="2988"/>
        </w:trPr>
        <w:tc>
          <w:tcPr>
            <w:tcW w:w="8505" w:type="dxa"/>
            <w:gridSpan w:val="2"/>
          </w:tcPr>
          <w:p w14:paraId="17F3002B" w14:textId="77777777" w:rsidR="00ED0E85" w:rsidRDefault="00ED0E85" w:rsidP="00ED0E85">
            <w:pPr>
              <w:pStyle w:val="Reporttype"/>
            </w:pPr>
            <w:r>
              <w:t>draft report</w:t>
            </w:r>
          </w:p>
          <w:p w14:paraId="605A2D90" w14:textId="77777777" w:rsidR="00ED0E85" w:rsidRDefault="00C353B5" w:rsidP="00ED0E85">
            <w:pPr>
              <w:pStyle w:val="Title"/>
            </w:pPr>
            <w:r>
              <w:fldChar w:fldCharType="begin"/>
            </w:r>
            <w:r>
              <w:instrText xml:space="preserve"> DOCPROPERTY  ReportTitle </w:instrText>
            </w:r>
            <w:r>
              <w:fldChar w:fldCharType="separate"/>
            </w:r>
            <w:r w:rsidR="00ED0E85">
              <w:t>Independent review of the Commercial Building Disclosure Program</w:t>
            </w:r>
            <w:r>
              <w:fldChar w:fldCharType="end"/>
            </w:r>
          </w:p>
          <w:p w14:paraId="7E92D323" w14:textId="77777777" w:rsidR="00ED0E85" w:rsidRPr="0089278E" w:rsidRDefault="00ED0E85" w:rsidP="00ED0E85">
            <w:pPr>
              <w:pStyle w:val="Subtitle"/>
            </w:pPr>
          </w:p>
        </w:tc>
      </w:tr>
      <w:tr w:rsidR="00ED0E85" w14:paraId="25BD055C" w14:textId="77777777" w:rsidTr="00ED0E85">
        <w:trPr>
          <w:cantSplit/>
          <w:trHeight w:hRule="exact" w:val="3640"/>
        </w:trPr>
        <w:tc>
          <w:tcPr>
            <w:tcW w:w="4984" w:type="dxa"/>
          </w:tcPr>
          <w:p w14:paraId="5935E426" w14:textId="77777777" w:rsidR="00ED0E85" w:rsidRDefault="00ED0E85" w:rsidP="00ED0E85">
            <w:pPr>
              <w:pStyle w:val="Chart"/>
            </w:pPr>
          </w:p>
        </w:tc>
        <w:tc>
          <w:tcPr>
            <w:tcW w:w="3521" w:type="dxa"/>
          </w:tcPr>
          <w:p w14:paraId="037E778D" w14:textId="77777777" w:rsidR="00ED0E85" w:rsidRDefault="00ED0E85" w:rsidP="00ED0E85">
            <w:pPr>
              <w:pStyle w:val="BodyText"/>
            </w:pPr>
          </w:p>
        </w:tc>
      </w:tr>
      <w:tr w:rsidR="00ED0E85" w14:paraId="062B0BEB" w14:textId="77777777" w:rsidTr="00ED0E85">
        <w:trPr>
          <w:cantSplit/>
          <w:trHeight w:val="4224"/>
        </w:trPr>
        <w:tc>
          <w:tcPr>
            <w:tcW w:w="8505" w:type="dxa"/>
            <w:gridSpan w:val="2"/>
          </w:tcPr>
          <w:p w14:paraId="5F83698B" w14:textId="77777777" w:rsidR="00ED0E85" w:rsidRDefault="00ED0E85" w:rsidP="00ED0E85">
            <w:pPr>
              <w:pStyle w:val="Client"/>
              <w:spacing w:before="280"/>
            </w:pPr>
            <w:r w:rsidRPr="001647E4">
              <w:t>Prepared for</w:t>
            </w:r>
          </w:p>
          <w:p w14:paraId="4F74F281" w14:textId="77777777" w:rsidR="00ED0E85" w:rsidRDefault="00C353B5" w:rsidP="00ED0E85">
            <w:pPr>
              <w:pStyle w:val="Client"/>
            </w:pPr>
            <w:r>
              <w:fldChar w:fldCharType="begin"/>
            </w:r>
            <w:r>
              <w:instrText xml:space="preserve"> DOCPROPERTY  PreparedFor </w:instrText>
            </w:r>
            <w:r>
              <w:fldChar w:fldCharType="separate"/>
            </w:r>
            <w:r w:rsidR="00ED0E85">
              <w:t>The Department of the Environment and Energy</w:t>
            </w:r>
            <w:r>
              <w:fldChar w:fldCharType="end"/>
            </w:r>
          </w:p>
          <w:p w14:paraId="5488261D" w14:textId="77777777" w:rsidR="00ED0E85" w:rsidRPr="009E7DDD" w:rsidRDefault="00ED0E85" w:rsidP="00ED0E85">
            <w:pPr>
              <w:pStyle w:val="Date"/>
            </w:pPr>
            <w:r>
              <w:t>September 2019</w:t>
            </w:r>
          </w:p>
        </w:tc>
      </w:tr>
      <w:tr w:rsidR="00ED0E85" w14:paraId="58577CB3" w14:textId="77777777" w:rsidTr="00ED0E85">
        <w:trPr>
          <w:cantSplit/>
          <w:trHeight w:val="419"/>
        </w:trPr>
        <w:tc>
          <w:tcPr>
            <w:tcW w:w="8505" w:type="dxa"/>
            <w:gridSpan w:val="2"/>
          </w:tcPr>
          <w:p w14:paraId="3C74E0A2" w14:textId="77777777" w:rsidR="00ED0E85" w:rsidRPr="00F062BF" w:rsidRDefault="00ED0E85" w:rsidP="00ED0E85">
            <w:pPr>
              <w:pStyle w:val="BodyText"/>
              <w:spacing w:before="0"/>
              <w:rPr>
                <w:rFonts w:ascii="Franklin Gothic Demi" w:hAnsi="Franklin Gothic Demi"/>
                <w:caps/>
                <w:spacing w:val="10"/>
                <w:sz w:val="20"/>
              </w:rPr>
            </w:pPr>
            <w:r w:rsidRPr="00F062BF">
              <w:rPr>
                <w:rFonts w:ascii="Franklin Gothic Demi" w:hAnsi="Franklin Gothic Demi"/>
                <w:caps/>
                <w:spacing w:val="10"/>
                <w:sz w:val="20"/>
              </w:rPr>
              <w:t>The Centre for International Economics</w:t>
            </w:r>
          </w:p>
          <w:p w14:paraId="6ADA6B69" w14:textId="77777777" w:rsidR="00ED0E85" w:rsidRPr="00DA40B0" w:rsidRDefault="00ED0E85" w:rsidP="00ED0E85">
            <w:pPr>
              <w:pStyle w:val="BodyText"/>
              <w:spacing w:before="0"/>
              <w:rPr>
                <w:i/>
                <w:color w:val="9B917E" w:themeColor="accent4"/>
                <w:spacing w:val="10"/>
                <w:sz w:val="25"/>
              </w:rPr>
            </w:pPr>
            <w:r w:rsidRPr="00DA40B0">
              <w:rPr>
                <w:i/>
                <w:color w:val="9B917E" w:themeColor="accent4"/>
                <w:spacing w:val="10"/>
                <w:sz w:val="25"/>
              </w:rPr>
              <w:t>www.TheCIE.com.au</w:t>
            </w:r>
          </w:p>
        </w:tc>
      </w:tr>
    </w:tbl>
    <w:p w14:paraId="2F57CC0D" w14:textId="77777777" w:rsidR="002A5062" w:rsidRDefault="00ED0E85" w:rsidP="00ED0E85">
      <w:pPr>
        <w:pStyle w:val="BodyText"/>
        <w:spacing w:before="0" w:line="240" w:lineRule="auto"/>
      </w:pPr>
      <w:r>
        <w:rPr>
          <w:noProof/>
        </w:rPr>
        <w:drawing>
          <wp:anchor distT="0" distB="0" distL="114300" distR="114300" simplePos="0" relativeHeight="251652096" behindDoc="1" locked="1" layoutInCell="0" allowOverlap="1" wp14:anchorId="3154EC88" wp14:editId="2202EAF6">
            <wp:simplePos x="0" y="0"/>
            <wp:positionH relativeFrom="page">
              <wp:posOffset>0</wp:posOffset>
            </wp:positionH>
            <wp:positionV relativeFrom="page">
              <wp:posOffset>0</wp:posOffset>
            </wp:positionV>
            <wp:extent cx="7560000" cy="1069200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no_imag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563BCD36" w14:textId="77777777" w:rsidR="008F1A78" w:rsidRDefault="008F1A78" w:rsidP="00656D2E">
      <w:pPr>
        <w:rPr>
          <w:lang w:bidi="fa-IR"/>
        </w:rPr>
      </w:pPr>
    </w:p>
    <w:p w14:paraId="4F3C7D30" w14:textId="77777777" w:rsidR="008F1A78" w:rsidRDefault="008F1A78" w:rsidP="00656D2E">
      <w:pPr>
        <w:rPr>
          <w:lang w:bidi="fa-IR"/>
        </w:rPr>
        <w:sectPr w:rsidR="008F1A78" w:rsidSect="001B3438">
          <w:headerReference w:type="default" r:id="rId14"/>
          <w:footerReference w:type="even" r:id="rId15"/>
          <w:pgSz w:w="11906" w:h="16838" w:code="9"/>
          <w:pgMar w:top="1145" w:right="1701" w:bottom="284" w:left="2268" w:header="680" w:footer="57" w:gutter="0"/>
          <w:cols w:space="708"/>
          <w:docGrid w:linePitch="360"/>
        </w:sectPr>
      </w:pPr>
    </w:p>
    <w:p w14:paraId="5E9B7BD8" w14:textId="77777777" w:rsidR="00721CE9" w:rsidRDefault="00721CE9" w:rsidP="00721CE9">
      <w:pPr>
        <w:pStyle w:val="BodyText"/>
        <w:pageBreakBefore/>
        <w:spacing w:before="0"/>
      </w:pPr>
      <w:bookmarkStart w:id="1" w:name="SummaryPage"/>
      <w:r>
        <w:lastRenderedPageBreak/>
        <w:t>The Centre for International Economics is a private economic research agency that provides professional, independent and timely analysis of international and domestic events and policies.</w:t>
      </w:r>
    </w:p>
    <w:p w14:paraId="0DEAEC68" w14:textId="77777777" w:rsidR="00721CE9" w:rsidRDefault="00721CE9" w:rsidP="00721CE9">
      <w:pPr>
        <w:pStyle w:val="BodyText"/>
      </w:pPr>
      <w:r>
        <w:t>The CIE’s professional staff arrange, undertake and publish commissioned economic research and analysis for industry, corporations, governments, international agencies and individuals.</w:t>
      </w:r>
    </w:p>
    <w:p w14:paraId="087C0A95" w14:textId="77777777" w:rsidR="00A838D1" w:rsidRDefault="00A838D1" w:rsidP="00721CE9">
      <w:pPr>
        <w:pStyle w:val="BodyText"/>
      </w:pPr>
    </w:p>
    <w:p w14:paraId="19AE9D78" w14:textId="77777777" w:rsidR="00A838D1" w:rsidRDefault="00A838D1" w:rsidP="00721CE9">
      <w:pPr>
        <w:pStyle w:val="BodyText"/>
      </w:pPr>
    </w:p>
    <w:p w14:paraId="5ADBC5EE" w14:textId="77777777" w:rsidR="00A838D1" w:rsidRDefault="00A838D1" w:rsidP="00721CE9">
      <w:pPr>
        <w:pStyle w:val="BodyText"/>
      </w:pPr>
    </w:p>
    <w:p w14:paraId="3C452449" w14:textId="39CDD977" w:rsidR="00721CE9" w:rsidRPr="00A838D1" w:rsidRDefault="00721CE9" w:rsidP="00A838D1">
      <w:pPr>
        <w:pStyle w:val="BodyText"/>
      </w:pPr>
      <w:r w:rsidRPr="00A838D1">
        <w:t xml:space="preserve">© Centre for International Economics </w:t>
      </w:r>
      <w:r w:rsidRPr="00A838D1">
        <w:fldChar w:fldCharType="begin"/>
      </w:r>
      <w:r w:rsidRPr="00A838D1">
        <w:instrText xml:space="preserve"> SAVEDATE  \@ "yyyy"  \* MERGEFORMAT </w:instrText>
      </w:r>
      <w:r w:rsidRPr="00A838D1">
        <w:fldChar w:fldCharType="separate"/>
      </w:r>
      <w:r w:rsidR="00C353B5">
        <w:rPr>
          <w:noProof/>
        </w:rPr>
        <w:t>2019</w:t>
      </w:r>
      <w:r w:rsidRPr="00A838D1">
        <w:fldChar w:fldCharType="end"/>
      </w:r>
    </w:p>
    <w:p w14:paraId="438DE2C8" w14:textId="77777777" w:rsidR="00721CE9" w:rsidRPr="00511766" w:rsidRDefault="00721CE9" w:rsidP="00721CE9">
      <w:pPr>
        <w:pStyle w:val="BodyText"/>
        <w:spacing w:before="80"/>
      </w:pPr>
      <w:r w:rsidRPr="00511766">
        <w:t>This work is copyright. Individuals, agencies and corporations wishing to reproduce this material should contact the Centre for International Economics at one of the following addresses.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1"/>
        <w:gridCol w:w="4026"/>
      </w:tblGrid>
      <w:tr w:rsidR="00721CE9" w14:paraId="15FB2D4E" w14:textId="77777777" w:rsidTr="005B1FD7">
        <w:tc>
          <w:tcPr>
            <w:tcW w:w="3911" w:type="dxa"/>
          </w:tcPr>
          <w:p w14:paraId="3541D977" w14:textId="77777777" w:rsidR="00721CE9" w:rsidRPr="009E7DDD" w:rsidRDefault="00721CE9" w:rsidP="004E7620">
            <w:pPr>
              <w:pStyle w:val="BodyText"/>
              <w:spacing w:before="200" w:line="260" w:lineRule="atLeast"/>
              <w:rPr>
                <w:rFonts w:ascii="Franklin Gothic Demi" w:hAnsi="Franklin Gothic Demi"/>
                <w:caps/>
                <w:color w:val="9B917E" w:themeColor="accent4"/>
                <w:spacing w:val="44"/>
              </w:rPr>
            </w:pPr>
            <w:r w:rsidRPr="009E7DDD">
              <w:rPr>
                <w:rFonts w:ascii="Franklin Gothic Demi" w:hAnsi="Franklin Gothic Demi"/>
                <w:caps/>
                <w:color w:val="9B917E" w:themeColor="accent4"/>
                <w:spacing w:val="44"/>
              </w:rPr>
              <w:t>Canberra</w:t>
            </w:r>
          </w:p>
          <w:p w14:paraId="3A4076A8" w14:textId="77777777" w:rsidR="00721CE9" w:rsidRPr="007248CB" w:rsidRDefault="00721CE9" w:rsidP="001D72A4">
            <w:pPr>
              <w:pStyle w:val="SenderAddress"/>
            </w:pPr>
            <w:r w:rsidRPr="007248CB">
              <w:t>Centre for International Economics</w:t>
            </w:r>
            <w:r w:rsidR="001D72A4">
              <w:t xml:space="preserve"> </w:t>
            </w:r>
            <w:r w:rsidR="001D72A4">
              <w:br/>
            </w:r>
            <w:r w:rsidRPr="007248CB">
              <w:t>Ground Floor, 11 Lancaster Place</w:t>
            </w:r>
            <w:r w:rsidR="001D72A4">
              <w:t xml:space="preserve"> </w:t>
            </w:r>
            <w:r w:rsidR="001D72A4">
              <w:br/>
            </w:r>
            <w:r w:rsidRPr="007248CB">
              <w:t>Majura Park</w:t>
            </w:r>
          </w:p>
          <w:p w14:paraId="5614EF5C" w14:textId="77777777" w:rsidR="00721CE9" w:rsidRPr="007248CB" w:rsidRDefault="00721CE9" w:rsidP="001D72A4">
            <w:pPr>
              <w:pStyle w:val="SenderAddress"/>
            </w:pPr>
            <w:r w:rsidRPr="007248CB">
              <w:t>Canberra</w:t>
            </w:r>
            <w:r>
              <w:t> </w:t>
            </w:r>
            <w:r>
              <w:t>ACT</w:t>
            </w:r>
            <w:r>
              <w:t> </w:t>
            </w:r>
            <w:r w:rsidRPr="007248CB">
              <w:t>2609</w:t>
            </w:r>
            <w:r w:rsidR="001D72A4">
              <w:t xml:space="preserve"> </w:t>
            </w:r>
            <w:r w:rsidR="001D72A4">
              <w:br/>
            </w:r>
            <w:r w:rsidRPr="007248CB">
              <w:t>GPO Box 2203</w:t>
            </w:r>
            <w:r w:rsidR="001D72A4">
              <w:t xml:space="preserve"> </w:t>
            </w:r>
            <w:r w:rsidR="001D72A4">
              <w:br/>
            </w:r>
            <w:r w:rsidRPr="007248CB">
              <w:t>Canberra</w:t>
            </w:r>
            <w:r>
              <w:t> </w:t>
            </w:r>
            <w:r w:rsidRPr="007248CB">
              <w:t>ACT</w:t>
            </w:r>
            <w:r>
              <w:t> </w:t>
            </w:r>
            <w:r w:rsidRPr="007248CB">
              <w:t>Australia</w:t>
            </w:r>
            <w:r>
              <w:t> </w:t>
            </w:r>
            <w:r w:rsidRPr="007248CB">
              <w:t>2601</w:t>
            </w:r>
          </w:p>
          <w:p w14:paraId="7C2F7E93" w14:textId="77777777" w:rsidR="00721CE9" w:rsidRPr="007248CB" w:rsidRDefault="00721CE9" w:rsidP="001D72A4">
            <w:pPr>
              <w:pStyle w:val="SenderAddress"/>
            </w:pPr>
            <w:r>
              <w:t>Telephone</w:t>
            </w:r>
            <w:r>
              <w:tab/>
            </w:r>
            <w:r w:rsidRPr="007248CB">
              <w:t>+61 2 6245 7800</w:t>
            </w:r>
            <w:r w:rsidR="001D72A4">
              <w:t xml:space="preserve"> </w:t>
            </w:r>
            <w:r w:rsidR="001D72A4">
              <w:br/>
            </w:r>
            <w:r w:rsidRPr="007248CB">
              <w:t xml:space="preserve">Facsimile </w:t>
            </w:r>
            <w:r>
              <w:tab/>
            </w:r>
            <w:r w:rsidRPr="007248CB">
              <w:t>+61 2 6245 7888</w:t>
            </w:r>
            <w:r w:rsidR="001D72A4">
              <w:t xml:space="preserve"> </w:t>
            </w:r>
            <w:r w:rsidR="001D72A4">
              <w:br/>
            </w:r>
            <w:r w:rsidRPr="007248CB">
              <w:t>Ema</w:t>
            </w:r>
            <w:r>
              <w:t>il</w:t>
            </w:r>
            <w:r>
              <w:tab/>
            </w:r>
            <w:r w:rsidRPr="007248CB">
              <w:t>cie@TheCIE.com.au</w:t>
            </w:r>
          </w:p>
          <w:p w14:paraId="4517CBA8" w14:textId="77777777" w:rsidR="00721CE9" w:rsidRDefault="00721CE9" w:rsidP="001D72A4">
            <w:pPr>
              <w:pStyle w:val="SenderAddress"/>
              <w:rPr>
                <w:rFonts w:ascii="Franklin Gothic Demi" w:hAnsi="Franklin Gothic Demi"/>
                <w:color w:val="9B917E" w:themeColor="accent4"/>
              </w:rPr>
            </w:pPr>
            <w:r>
              <w:t>Website</w:t>
            </w:r>
            <w:r>
              <w:tab/>
            </w:r>
            <w:r w:rsidRPr="007248CB">
              <w:t>www.TheCIE.com.au</w:t>
            </w:r>
          </w:p>
        </w:tc>
        <w:tc>
          <w:tcPr>
            <w:tcW w:w="4026" w:type="dxa"/>
          </w:tcPr>
          <w:p w14:paraId="3CECC86B" w14:textId="77777777" w:rsidR="00721CE9" w:rsidRPr="009E7DDD" w:rsidRDefault="00721CE9" w:rsidP="004E7620">
            <w:pPr>
              <w:pStyle w:val="BodyText"/>
              <w:spacing w:before="200" w:line="260" w:lineRule="atLeast"/>
              <w:rPr>
                <w:rFonts w:ascii="Franklin Gothic Demi" w:hAnsi="Franklin Gothic Demi"/>
                <w:caps/>
                <w:color w:val="9B917E" w:themeColor="accent4"/>
                <w:spacing w:val="44"/>
              </w:rPr>
            </w:pPr>
            <w:r w:rsidRPr="009E7DDD">
              <w:rPr>
                <w:rFonts w:ascii="Franklin Gothic Demi" w:hAnsi="Franklin Gothic Demi"/>
                <w:caps/>
                <w:color w:val="9B917E" w:themeColor="accent4"/>
                <w:spacing w:val="44"/>
              </w:rPr>
              <w:t>Sydney</w:t>
            </w:r>
          </w:p>
          <w:p w14:paraId="62D18949" w14:textId="77777777" w:rsidR="00721CE9" w:rsidRDefault="00721CE9" w:rsidP="001D72A4">
            <w:pPr>
              <w:pStyle w:val="SenderAddress"/>
            </w:pPr>
            <w:r w:rsidRPr="007248CB">
              <w:t>Centre for International Economics</w:t>
            </w:r>
            <w:r w:rsidR="001D72A4">
              <w:t xml:space="preserve"> </w:t>
            </w:r>
            <w:r w:rsidR="001D72A4">
              <w:br/>
            </w:r>
            <w:r w:rsidRPr="007248CB">
              <w:t xml:space="preserve">Level </w:t>
            </w:r>
            <w:r w:rsidR="00C934E1">
              <w:t>7</w:t>
            </w:r>
            <w:r w:rsidRPr="007248CB">
              <w:t xml:space="preserve">, </w:t>
            </w:r>
            <w:r w:rsidR="00C934E1">
              <w:t>8 Spring</w:t>
            </w:r>
            <w:r w:rsidRPr="007248CB">
              <w:t xml:space="preserve"> Street</w:t>
            </w:r>
            <w:r w:rsidR="001D72A4">
              <w:t xml:space="preserve"> </w:t>
            </w:r>
            <w:r w:rsidR="001D72A4">
              <w:br/>
            </w:r>
            <w:r w:rsidRPr="007248CB">
              <w:t>Sydney</w:t>
            </w:r>
            <w:r w:rsidRPr="007248CB">
              <w:rPr>
                <w:rFonts w:cs="Book Antiqua"/>
              </w:rPr>
              <w:t> </w:t>
            </w:r>
            <w:r w:rsidRPr="007248CB">
              <w:t>NSW 2000</w:t>
            </w:r>
          </w:p>
          <w:p w14:paraId="1B8C9C40" w14:textId="77777777" w:rsidR="00721CE9" w:rsidRPr="007248CB" w:rsidRDefault="00721CE9" w:rsidP="001D72A4">
            <w:pPr>
              <w:pStyle w:val="SenderAddress"/>
            </w:pPr>
            <w:r>
              <w:t>Telephone</w:t>
            </w:r>
            <w:r>
              <w:tab/>
            </w:r>
            <w:r w:rsidRPr="007248CB">
              <w:t>+61 2 9250 0800</w:t>
            </w:r>
            <w:r w:rsidR="001D72A4">
              <w:t xml:space="preserve"> </w:t>
            </w:r>
            <w:r w:rsidR="001D72A4">
              <w:br/>
            </w:r>
            <w:r w:rsidRPr="007248CB">
              <w:t>Email</w:t>
            </w:r>
            <w:r w:rsidRPr="007248CB">
              <w:tab/>
            </w:r>
            <w:hyperlink r:id="rId16" w:history="1">
              <w:r w:rsidRPr="007248CB">
                <w:t>ciesyd@TheCIE.com.au</w:t>
              </w:r>
            </w:hyperlink>
          </w:p>
          <w:p w14:paraId="7C52F7D9" w14:textId="77777777" w:rsidR="00721CE9" w:rsidRDefault="00721CE9" w:rsidP="001D72A4">
            <w:pPr>
              <w:pStyle w:val="SenderAddress"/>
              <w:rPr>
                <w:rFonts w:ascii="Franklin Gothic Demi" w:hAnsi="Franklin Gothic Demi"/>
                <w:color w:val="9B917E" w:themeColor="accent4"/>
              </w:rPr>
            </w:pPr>
            <w:r w:rsidRPr="007248CB">
              <w:t>Website</w:t>
            </w:r>
            <w:r w:rsidRPr="007248CB">
              <w:tab/>
            </w:r>
            <w:hyperlink r:id="rId17" w:history="1">
              <w:r w:rsidRPr="007248CB">
                <w:t>www.TheCIE.com.au</w:t>
              </w:r>
            </w:hyperlink>
          </w:p>
        </w:tc>
      </w:tr>
      <w:tr w:rsidR="004E13DA" w14:paraId="77479AF9" w14:textId="77777777" w:rsidTr="00C934E1">
        <w:trPr>
          <w:trHeight w:hRule="exact" w:val="2552"/>
        </w:trPr>
        <w:tc>
          <w:tcPr>
            <w:tcW w:w="3911" w:type="dxa"/>
          </w:tcPr>
          <w:p w14:paraId="6005CB59" w14:textId="77777777" w:rsidR="004E13DA" w:rsidRPr="009E7DDD" w:rsidRDefault="004E13DA" w:rsidP="001D72A4">
            <w:pPr>
              <w:pStyle w:val="SenderAddress"/>
              <w:rPr>
                <w:rFonts w:ascii="Franklin Gothic Demi" w:hAnsi="Franklin Gothic Demi"/>
                <w:caps/>
                <w:color w:val="9B917E" w:themeColor="accent4"/>
                <w:spacing w:val="44"/>
              </w:rPr>
            </w:pPr>
          </w:p>
        </w:tc>
        <w:tc>
          <w:tcPr>
            <w:tcW w:w="4026" w:type="dxa"/>
          </w:tcPr>
          <w:p w14:paraId="5956F025" w14:textId="77777777" w:rsidR="004E13DA" w:rsidRPr="009E7DDD" w:rsidRDefault="004E13DA" w:rsidP="004E7620">
            <w:pPr>
              <w:pStyle w:val="BodyText"/>
              <w:spacing w:before="200" w:line="260" w:lineRule="atLeast"/>
              <w:rPr>
                <w:rFonts w:ascii="Franklin Gothic Demi" w:hAnsi="Franklin Gothic Demi"/>
                <w:caps/>
                <w:color w:val="9B917E" w:themeColor="accent4"/>
                <w:spacing w:val="44"/>
              </w:rPr>
            </w:pPr>
          </w:p>
        </w:tc>
      </w:tr>
    </w:tbl>
    <w:p w14:paraId="11113301" w14:textId="77777777" w:rsidR="005B1FD7" w:rsidRPr="00375BA6" w:rsidRDefault="005B1FD7" w:rsidP="00A838D1">
      <w:pPr>
        <w:pStyle w:val="DisclaimerHeading"/>
      </w:pPr>
      <w:r w:rsidRPr="00375BA6">
        <w:t>Disclaimer</w:t>
      </w:r>
    </w:p>
    <w:p w14:paraId="5BDE5A3E" w14:textId="77777777" w:rsidR="006730DA" w:rsidRDefault="001B25D3" w:rsidP="001B25D3">
      <w:pPr>
        <w:pStyle w:val="Disclaimer"/>
        <w:rPr>
          <w:lang w:bidi="fa-IR"/>
        </w:rPr>
      </w:pPr>
      <w:r>
        <w:t>While the CIE endeavours to provide reliable analysis and believes the material it presents is accurate, it will not be liable for any party acting on such information.</w:t>
      </w:r>
    </w:p>
    <w:p w14:paraId="7C38F528" w14:textId="77777777" w:rsidR="001B25D3" w:rsidRDefault="001B25D3" w:rsidP="006730DA"/>
    <w:p w14:paraId="3021EA4E" w14:textId="77777777" w:rsidR="001B25D3" w:rsidRDefault="001B25D3" w:rsidP="006730DA">
      <w:pPr>
        <w:sectPr w:rsidR="001B25D3" w:rsidSect="00A838D1">
          <w:headerReference w:type="even" r:id="rId18"/>
          <w:headerReference w:type="default" r:id="rId19"/>
          <w:footerReference w:type="even" r:id="rId20"/>
          <w:footerReference w:type="default" r:id="rId21"/>
          <w:pgSz w:w="11906" w:h="16838" w:code="9"/>
          <w:pgMar w:top="2268" w:right="1701" w:bottom="567" w:left="2268" w:header="680" w:footer="113" w:gutter="0"/>
          <w:cols w:space="708"/>
          <w:docGrid w:linePitch="360"/>
        </w:sectPr>
      </w:pPr>
    </w:p>
    <w:p w14:paraId="20268608" w14:textId="77777777" w:rsidR="00650F3E" w:rsidRDefault="00650F3E" w:rsidP="004E7620">
      <w:pPr>
        <w:pStyle w:val="Contents"/>
      </w:pPr>
      <w:bookmarkStart w:id="2" w:name="DeleteTOC"/>
      <w:bookmarkEnd w:id="1"/>
      <w:r>
        <w:lastRenderedPageBreak/>
        <w:t>Contents</w:t>
      </w:r>
    </w:p>
    <w:p w14:paraId="00F0B6A1" w14:textId="55D4E5F1" w:rsidR="003B131D" w:rsidRDefault="00650F3E">
      <w:pPr>
        <w:pStyle w:val="TOC1"/>
        <w:rPr>
          <w:rFonts w:asciiTheme="minorHAnsi" w:eastAsiaTheme="minorEastAsia" w:hAnsiTheme="minorHAnsi" w:cstheme="minorBidi"/>
          <w:noProof/>
          <w:sz w:val="22"/>
          <w:szCs w:val="22"/>
        </w:rPr>
      </w:pPr>
      <w:r w:rsidRPr="00876B40">
        <w:fldChar w:fldCharType="begin"/>
      </w:r>
      <w:r w:rsidRPr="00876B40">
        <w:instrText xml:space="preserve"> TOC \t "Heading 1,1</w:instrText>
      </w:r>
      <w:r w:rsidR="00D22E66">
        <w:instrText>,</w:instrText>
      </w:r>
      <w:r w:rsidR="008D3341" w:rsidRPr="008D3341">
        <w:instrText>Heading 1 NotNumbered</w:instrText>
      </w:r>
      <w:r w:rsidR="008D3341">
        <w:instrText>,1</w:instrText>
      </w:r>
      <w:r w:rsidRPr="00876B40">
        <w:instrText xml:space="preserve">,Heading 2,2,Heading </w:instrText>
      </w:r>
      <w:r>
        <w:instrText>6</w:instrText>
      </w:r>
      <w:r w:rsidRPr="00876B40">
        <w:instrText xml:space="preserve">,1,Part Title,4" </w:instrText>
      </w:r>
      <w:r w:rsidRPr="00876B40">
        <w:fldChar w:fldCharType="separate"/>
      </w:r>
      <w:r w:rsidR="003B131D">
        <w:rPr>
          <w:noProof/>
          <w:lang w:eastAsia="en-US"/>
        </w:rPr>
        <w:t>Glossary</w:t>
      </w:r>
      <w:r w:rsidR="003B131D">
        <w:rPr>
          <w:noProof/>
        </w:rPr>
        <w:tab/>
      </w:r>
      <w:r w:rsidR="003B131D">
        <w:rPr>
          <w:noProof/>
        </w:rPr>
        <w:fldChar w:fldCharType="begin"/>
      </w:r>
      <w:r w:rsidR="003B131D">
        <w:rPr>
          <w:noProof/>
        </w:rPr>
        <w:instrText xml:space="preserve"> PAGEREF _Toc19280090 \h </w:instrText>
      </w:r>
      <w:r w:rsidR="003B131D">
        <w:rPr>
          <w:noProof/>
        </w:rPr>
      </w:r>
      <w:r w:rsidR="003B131D">
        <w:rPr>
          <w:noProof/>
        </w:rPr>
        <w:fldChar w:fldCharType="separate"/>
      </w:r>
      <w:r w:rsidR="00AD3561">
        <w:rPr>
          <w:noProof/>
        </w:rPr>
        <w:t>1</w:t>
      </w:r>
      <w:r w:rsidR="003B131D">
        <w:rPr>
          <w:noProof/>
        </w:rPr>
        <w:fldChar w:fldCharType="end"/>
      </w:r>
    </w:p>
    <w:p w14:paraId="2D9AEA2C" w14:textId="30EA2669" w:rsidR="003B131D" w:rsidRDefault="003B131D">
      <w:pPr>
        <w:pStyle w:val="TOC1"/>
        <w:rPr>
          <w:rFonts w:asciiTheme="minorHAnsi" w:eastAsiaTheme="minorEastAsia" w:hAnsiTheme="minorHAnsi" w:cstheme="minorBidi"/>
          <w:noProof/>
          <w:sz w:val="22"/>
          <w:szCs w:val="22"/>
        </w:rPr>
      </w:pPr>
      <w:r>
        <w:rPr>
          <w:noProof/>
          <w:lang w:bidi="fa-IR"/>
        </w:rPr>
        <w:t>Executive summary</w:t>
      </w:r>
      <w:r>
        <w:rPr>
          <w:noProof/>
        </w:rPr>
        <w:tab/>
      </w:r>
      <w:r>
        <w:rPr>
          <w:noProof/>
        </w:rPr>
        <w:fldChar w:fldCharType="begin"/>
      </w:r>
      <w:r>
        <w:rPr>
          <w:noProof/>
        </w:rPr>
        <w:instrText xml:space="preserve"> PAGEREF _Toc19280091 \h </w:instrText>
      </w:r>
      <w:r>
        <w:rPr>
          <w:noProof/>
        </w:rPr>
      </w:r>
      <w:r>
        <w:rPr>
          <w:noProof/>
        </w:rPr>
        <w:fldChar w:fldCharType="separate"/>
      </w:r>
      <w:r w:rsidR="00AD3561">
        <w:rPr>
          <w:noProof/>
        </w:rPr>
        <w:t>3</w:t>
      </w:r>
      <w:r>
        <w:rPr>
          <w:noProof/>
        </w:rPr>
        <w:fldChar w:fldCharType="end"/>
      </w:r>
    </w:p>
    <w:p w14:paraId="2B166FDB" w14:textId="4F79702C" w:rsidR="003B131D" w:rsidRDefault="003B131D">
      <w:pPr>
        <w:pStyle w:val="TOC2"/>
        <w:rPr>
          <w:rFonts w:asciiTheme="minorHAnsi" w:eastAsiaTheme="minorEastAsia" w:hAnsiTheme="minorHAnsi" w:cstheme="minorBidi"/>
          <w:noProof/>
          <w:sz w:val="22"/>
          <w:szCs w:val="22"/>
        </w:rPr>
      </w:pPr>
      <w:r>
        <w:rPr>
          <w:noProof/>
        </w:rPr>
        <w:t>Objectives of the CBD program</w:t>
      </w:r>
      <w:r>
        <w:rPr>
          <w:noProof/>
        </w:rPr>
        <w:tab/>
      </w:r>
      <w:r>
        <w:rPr>
          <w:noProof/>
        </w:rPr>
        <w:fldChar w:fldCharType="begin"/>
      </w:r>
      <w:r>
        <w:rPr>
          <w:noProof/>
        </w:rPr>
        <w:instrText xml:space="preserve"> PAGEREF _Toc19280092 \h </w:instrText>
      </w:r>
      <w:r>
        <w:rPr>
          <w:noProof/>
        </w:rPr>
      </w:r>
      <w:r>
        <w:rPr>
          <w:noProof/>
        </w:rPr>
        <w:fldChar w:fldCharType="separate"/>
      </w:r>
      <w:r w:rsidR="00AD3561">
        <w:rPr>
          <w:noProof/>
        </w:rPr>
        <w:t>4</w:t>
      </w:r>
      <w:r>
        <w:rPr>
          <w:noProof/>
        </w:rPr>
        <w:fldChar w:fldCharType="end"/>
      </w:r>
    </w:p>
    <w:p w14:paraId="16CDE9AF" w14:textId="7130F726" w:rsidR="003B131D" w:rsidRDefault="003B131D">
      <w:pPr>
        <w:pStyle w:val="TOC2"/>
        <w:rPr>
          <w:rFonts w:asciiTheme="minorHAnsi" w:eastAsiaTheme="minorEastAsia" w:hAnsiTheme="minorHAnsi" w:cstheme="minorBidi"/>
          <w:noProof/>
          <w:sz w:val="22"/>
          <w:szCs w:val="22"/>
        </w:rPr>
      </w:pPr>
      <w:r>
        <w:rPr>
          <w:noProof/>
        </w:rPr>
        <w:t>Effectiveness of the CBD Program</w:t>
      </w:r>
      <w:r>
        <w:rPr>
          <w:noProof/>
        </w:rPr>
        <w:tab/>
      </w:r>
      <w:r>
        <w:rPr>
          <w:noProof/>
        </w:rPr>
        <w:fldChar w:fldCharType="begin"/>
      </w:r>
      <w:r>
        <w:rPr>
          <w:noProof/>
        </w:rPr>
        <w:instrText xml:space="preserve"> PAGEREF _Toc19280093 \h </w:instrText>
      </w:r>
      <w:r>
        <w:rPr>
          <w:noProof/>
        </w:rPr>
      </w:r>
      <w:r>
        <w:rPr>
          <w:noProof/>
        </w:rPr>
        <w:fldChar w:fldCharType="separate"/>
      </w:r>
      <w:r w:rsidR="00AD3561">
        <w:rPr>
          <w:noProof/>
        </w:rPr>
        <w:t>4</w:t>
      </w:r>
      <w:r>
        <w:rPr>
          <w:noProof/>
        </w:rPr>
        <w:fldChar w:fldCharType="end"/>
      </w:r>
    </w:p>
    <w:p w14:paraId="748A947B" w14:textId="06F0F8EE" w:rsidR="003B131D" w:rsidRDefault="003B131D">
      <w:pPr>
        <w:pStyle w:val="TOC2"/>
        <w:rPr>
          <w:rFonts w:asciiTheme="minorHAnsi" w:eastAsiaTheme="minorEastAsia" w:hAnsiTheme="minorHAnsi" w:cstheme="minorBidi"/>
          <w:noProof/>
          <w:sz w:val="22"/>
          <w:szCs w:val="22"/>
        </w:rPr>
      </w:pPr>
      <w:r>
        <w:rPr>
          <w:noProof/>
        </w:rPr>
        <w:t>Impact of previous changes to the program</w:t>
      </w:r>
      <w:r>
        <w:rPr>
          <w:noProof/>
        </w:rPr>
        <w:tab/>
      </w:r>
      <w:r>
        <w:rPr>
          <w:noProof/>
        </w:rPr>
        <w:fldChar w:fldCharType="begin"/>
      </w:r>
      <w:r>
        <w:rPr>
          <w:noProof/>
        </w:rPr>
        <w:instrText xml:space="preserve"> PAGEREF _Toc19280094 \h </w:instrText>
      </w:r>
      <w:r>
        <w:rPr>
          <w:noProof/>
        </w:rPr>
      </w:r>
      <w:r>
        <w:rPr>
          <w:noProof/>
        </w:rPr>
        <w:fldChar w:fldCharType="separate"/>
      </w:r>
      <w:r w:rsidR="00AD3561">
        <w:rPr>
          <w:noProof/>
        </w:rPr>
        <w:t>6</w:t>
      </w:r>
      <w:r>
        <w:rPr>
          <w:noProof/>
        </w:rPr>
        <w:fldChar w:fldCharType="end"/>
      </w:r>
    </w:p>
    <w:p w14:paraId="036F3A32" w14:textId="0A825962" w:rsidR="003B131D" w:rsidRDefault="003B131D">
      <w:pPr>
        <w:pStyle w:val="TOC2"/>
        <w:rPr>
          <w:rFonts w:asciiTheme="minorHAnsi" w:eastAsiaTheme="minorEastAsia" w:hAnsiTheme="minorHAnsi" w:cstheme="minorBidi"/>
          <w:noProof/>
          <w:sz w:val="22"/>
          <w:szCs w:val="22"/>
        </w:rPr>
      </w:pPr>
      <w:r>
        <w:rPr>
          <w:noProof/>
        </w:rPr>
        <w:t>Potential changes to the CBD Program</w:t>
      </w:r>
      <w:r>
        <w:rPr>
          <w:noProof/>
        </w:rPr>
        <w:tab/>
      </w:r>
      <w:r>
        <w:rPr>
          <w:noProof/>
        </w:rPr>
        <w:fldChar w:fldCharType="begin"/>
      </w:r>
      <w:r>
        <w:rPr>
          <w:noProof/>
        </w:rPr>
        <w:instrText xml:space="preserve"> PAGEREF _Toc19280095 \h </w:instrText>
      </w:r>
      <w:r>
        <w:rPr>
          <w:noProof/>
        </w:rPr>
      </w:r>
      <w:r>
        <w:rPr>
          <w:noProof/>
        </w:rPr>
        <w:fldChar w:fldCharType="separate"/>
      </w:r>
      <w:r w:rsidR="00AD3561">
        <w:rPr>
          <w:noProof/>
        </w:rPr>
        <w:t>6</w:t>
      </w:r>
      <w:r>
        <w:rPr>
          <w:noProof/>
        </w:rPr>
        <w:fldChar w:fldCharType="end"/>
      </w:r>
    </w:p>
    <w:p w14:paraId="5D1843A3" w14:textId="670F70F4" w:rsidR="003B131D" w:rsidRDefault="003B131D">
      <w:pPr>
        <w:pStyle w:val="TOC2"/>
        <w:rPr>
          <w:rFonts w:asciiTheme="minorHAnsi" w:eastAsiaTheme="minorEastAsia" w:hAnsiTheme="minorHAnsi" w:cstheme="minorBidi"/>
          <w:noProof/>
          <w:sz w:val="22"/>
          <w:szCs w:val="22"/>
        </w:rPr>
      </w:pPr>
      <w:r>
        <w:rPr>
          <w:noProof/>
          <w:lang w:eastAsia="en-US" w:bidi="fa-IR"/>
        </w:rPr>
        <w:t>Recommendations</w:t>
      </w:r>
      <w:r>
        <w:rPr>
          <w:noProof/>
        </w:rPr>
        <w:tab/>
      </w:r>
      <w:r>
        <w:rPr>
          <w:noProof/>
        </w:rPr>
        <w:fldChar w:fldCharType="begin"/>
      </w:r>
      <w:r>
        <w:rPr>
          <w:noProof/>
        </w:rPr>
        <w:instrText xml:space="preserve"> PAGEREF _Toc19280096 \h </w:instrText>
      </w:r>
      <w:r>
        <w:rPr>
          <w:noProof/>
        </w:rPr>
      </w:r>
      <w:r>
        <w:rPr>
          <w:noProof/>
        </w:rPr>
        <w:fldChar w:fldCharType="separate"/>
      </w:r>
      <w:r w:rsidR="00AD3561">
        <w:rPr>
          <w:noProof/>
        </w:rPr>
        <w:t>10</w:t>
      </w:r>
      <w:r>
        <w:rPr>
          <w:noProof/>
        </w:rPr>
        <w:fldChar w:fldCharType="end"/>
      </w:r>
    </w:p>
    <w:p w14:paraId="06E7BC41" w14:textId="3658076C" w:rsidR="003B131D" w:rsidRDefault="003B131D">
      <w:pPr>
        <w:pStyle w:val="TOC2"/>
        <w:rPr>
          <w:rFonts w:asciiTheme="minorHAnsi" w:eastAsiaTheme="minorEastAsia" w:hAnsiTheme="minorHAnsi" w:cstheme="minorBidi"/>
          <w:noProof/>
          <w:sz w:val="22"/>
          <w:szCs w:val="22"/>
        </w:rPr>
      </w:pPr>
      <w:r>
        <w:rPr>
          <w:noProof/>
          <w:lang w:eastAsia="en-US" w:bidi="fa-IR"/>
        </w:rPr>
        <w:t>Feedback on our draft recommendations</w:t>
      </w:r>
      <w:r>
        <w:rPr>
          <w:noProof/>
        </w:rPr>
        <w:tab/>
      </w:r>
      <w:r>
        <w:rPr>
          <w:noProof/>
        </w:rPr>
        <w:fldChar w:fldCharType="begin"/>
      </w:r>
      <w:r>
        <w:rPr>
          <w:noProof/>
        </w:rPr>
        <w:instrText xml:space="preserve"> PAGEREF _Toc19280097 \h </w:instrText>
      </w:r>
      <w:r>
        <w:rPr>
          <w:noProof/>
        </w:rPr>
      </w:r>
      <w:r>
        <w:rPr>
          <w:noProof/>
        </w:rPr>
        <w:fldChar w:fldCharType="separate"/>
      </w:r>
      <w:r w:rsidR="00AD3561">
        <w:rPr>
          <w:noProof/>
        </w:rPr>
        <w:t>12</w:t>
      </w:r>
      <w:r>
        <w:rPr>
          <w:noProof/>
        </w:rPr>
        <w:fldChar w:fldCharType="end"/>
      </w:r>
    </w:p>
    <w:p w14:paraId="032DBCA5" w14:textId="2157DB53" w:rsidR="003B131D" w:rsidRDefault="003B131D">
      <w:pPr>
        <w:pStyle w:val="TOC1"/>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Background and introduction</w:t>
      </w:r>
      <w:r>
        <w:rPr>
          <w:noProof/>
        </w:rPr>
        <w:tab/>
      </w:r>
      <w:r>
        <w:rPr>
          <w:noProof/>
        </w:rPr>
        <w:fldChar w:fldCharType="begin"/>
      </w:r>
      <w:r>
        <w:rPr>
          <w:noProof/>
        </w:rPr>
        <w:instrText xml:space="preserve"> PAGEREF _Toc19280098 \h </w:instrText>
      </w:r>
      <w:r>
        <w:rPr>
          <w:noProof/>
        </w:rPr>
      </w:r>
      <w:r>
        <w:rPr>
          <w:noProof/>
        </w:rPr>
        <w:fldChar w:fldCharType="separate"/>
      </w:r>
      <w:r w:rsidR="00AD3561">
        <w:rPr>
          <w:noProof/>
        </w:rPr>
        <w:t>13</w:t>
      </w:r>
      <w:r>
        <w:rPr>
          <w:noProof/>
        </w:rPr>
        <w:fldChar w:fldCharType="end"/>
      </w:r>
    </w:p>
    <w:p w14:paraId="0CAAADCF" w14:textId="1F0891D1" w:rsidR="003B131D" w:rsidRDefault="003B131D">
      <w:pPr>
        <w:pStyle w:val="TOC2"/>
        <w:rPr>
          <w:rFonts w:asciiTheme="minorHAnsi" w:eastAsiaTheme="minorEastAsia" w:hAnsiTheme="minorHAnsi" w:cstheme="minorBidi"/>
          <w:noProof/>
          <w:sz w:val="22"/>
          <w:szCs w:val="22"/>
        </w:rPr>
      </w:pPr>
      <w:r>
        <w:rPr>
          <w:noProof/>
          <w:lang w:bidi="fa-IR"/>
        </w:rPr>
        <w:t>Policy context</w:t>
      </w:r>
      <w:r>
        <w:rPr>
          <w:noProof/>
        </w:rPr>
        <w:tab/>
      </w:r>
      <w:r>
        <w:rPr>
          <w:noProof/>
        </w:rPr>
        <w:fldChar w:fldCharType="begin"/>
      </w:r>
      <w:r>
        <w:rPr>
          <w:noProof/>
        </w:rPr>
        <w:instrText xml:space="preserve"> PAGEREF _Toc19280099 \h </w:instrText>
      </w:r>
      <w:r>
        <w:rPr>
          <w:noProof/>
        </w:rPr>
      </w:r>
      <w:r>
        <w:rPr>
          <w:noProof/>
        </w:rPr>
        <w:fldChar w:fldCharType="separate"/>
      </w:r>
      <w:r w:rsidR="00AD3561">
        <w:rPr>
          <w:noProof/>
        </w:rPr>
        <w:t>13</w:t>
      </w:r>
      <w:r>
        <w:rPr>
          <w:noProof/>
        </w:rPr>
        <w:fldChar w:fldCharType="end"/>
      </w:r>
    </w:p>
    <w:p w14:paraId="0ADA8398" w14:textId="64E390F7" w:rsidR="003B131D" w:rsidRDefault="003B131D">
      <w:pPr>
        <w:pStyle w:val="TOC2"/>
        <w:rPr>
          <w:rFonts w:asciiTheme="minorHAnsi" w:eastAsiaTheme="minorEastAsia" w:hAnsiTheme="minorHAnsi" w:cstheme="minorBidi"/>
          <w:noProof/>
          <w:sz w:val="22"/>
          <w:szCs w:val="22"/>
        </w:rPr>
      </w:pPr>
      <w:r>
        <w:rPr>
          <w:noProof/>
          <w:lang w:bidi="fa-IR"/>
        </w:rPr>
        <w:t>Overview of the CBD Program</w:t>
      </w:r>
      <w:r>
        <w:rPr>
          <w:noProof/>
        </w:rPr>
        <w:tab/>
      </w:r>
      <w:r>
        <w:rPr>
          <w:noProof/>
        </w:rPr>
        <w:fldChar w:fldCharType="begin"/>
      </w:r>
      <w:r>
        <w:rPr>
          <w:noProof/>
        </w:rPr>
        <w:instrText xml:space="preserve"> PAGEREF _Toc19280100 \h </w:instrText>
      </w:r>
      <w:r>
        <w:rPr>
          <w:noProof/>
        </w:rPr>
      </w:r>
      <w:r>
        <w:rPr>
          <w:noProof/>
        </w:rPr>
        <w:fldChar w:fldCharType="separate"/>
      </w:r>
      <w:r w:rsidR="00AD3561">
        <w:rPr>
          <w:noProof/>
        </w:rPr>
        <w:t>14</w:t>
      </w:r>
      <w:r>
        <w:rPr>
          <w:noProof/>
        </w:rPr>
        <w:fldChar w:fldCharType="end"/>
      </w:r>
    </w:p>
    <w:p w14:paraId="7BF71AD3" w14:textId="0CB37893" w:rsidR="003B131D" w:rsidRDefault="003B131D">
      <w:pPr>
        <w:pStyle w:val="TOC2"/>
        <w:rPr>
          <w:rFonts w:asciiTheme="minorHAnsi" w:eastAsiaTheme="minorEastAsia" w:hAnsiTheme="minorHAnsi" w:cstheme="minorBidi"/>
          <w:noProof/>
          <w:sz w:val="22"/>
          <w:szCs w:val="22"/>
        </w:rPr>
      </w:pPr>
      <w:r>
        <w:rPr>
          <w:noProof/>
          <w:lang w:bidi="fa-IR"/>
        </w:rPr>
        <w:t>Review of the CBD Program</w:t>
      </w:r>
      <w:r>
        <w:rPr>
          <w:noProof/>
        </w:rPr>
        <w:tab/>
      </w:r>
      <w:r>
        <w:rPr>
          <w:noProof/>
        </w:rPr>
        <w:fldChar w:fldCharType="begin"/>
      </w:r>
      <w:r>
        <w:rPr>
          <w:noProof/>
        </w:rPr>
        <w:instrText xml:space="preserve"> PAGEREF _Toc19280101 \h </w:instrText>
      </w:r>
      <w:r>
        <w:rPr>
          <w:noProof/>
        </w:rPr>
      </w:r>
      <w:r>
        <w:rPr>
          <w:noProof/>
        </w:rPr>
        <w:fldChar w:fldCharType="separate"/>
      </w:r>
      <w:r w:rsidR="00AD3561">
        <w:rPr>
          <w:noProof/>
        </w:rPr>
        <w:t>20</w:t>
      </w:r>
      <w:r>
        <w:rPr>
          <w:noProof/>
        </w:rPr>
        <w:fldChar w:fldCharType="end"/>
      </w:r>
    </w:p>
    <w:p w14:paraId="51CCFF93" w14:textId="1F6D8D77" w:rsidR="003B131D" w:rsidRDefault="003B131D">
      <w:pPr>
        <w:pStyle w:val="TOC1"/>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Rationale for mandatory disclosure</w:t>
      </w:r>
      <w:r>
        <w:rPr>
          <w:noProof/>
        </w:rPr>
        <w:tab/>
      </w:r>
      <w:r>
        <w:rPr>
          <w:noProof/>
        </w:rPr>
        <w:fldChar w:fldCharType="begin"/>
      </w:r>
      <w:r>
        <w:rPr>
          <w:noProof/>
        </w:rPr>
        <w:instrText xml:space="preserve"> PAGEREF _Toc19280102 \h </w:instrText>
      </w:r>
      <w:r>
        <w:rPr>
          <w:noProof/>
        </w:rPr>
      </w:r>
      <w:r>
        <w:rPr>
          <w:noProof/>
        </w:rPr>
        <w:fldChar w:fldCharType="separate"/>
      </w:r>
      <w:r w:rsidR="00AD3561">
        <w:rPr>
          <w:noProof/>
        </w:rPr>
        <w:t>22</w:t>
      </w:r>
      <w:r>
        <w:rPr>
          <w:noProof/>
        </w:rPr>
        <w:fldChar w:fldCharType="end"/>
      </w:r>
    </w:p>
    <w:p w14:paraId="40758524" w14:textId="3ED10B53" w:rsidR="003B131D" w:rsidRDefault="003B131D">
      <w:pPr>
        <w:pStyle w:val="TOC2"/>
        <w:rPr>
          <w:rFonts w:asciiTheme="minorHAnsi" w:eastAsiaTheme="minorEastAsia" w:hAnsiTheme="minorHAnsi" w:cstheme="minorBidi"/>
          <w:noProof/>
          <w:sz w:val="22"/>
          <w:szCs w:val="22"/>
        </w:rPr>
      </w:pPr>
      <w:r>
        <w:rPr>
          <w:noProof/>
        </w:rPr>
        <w:t>The rationale for government energy efficiency policies</w:t>
      </w:r>
      <w:r>
        <w:rPr>
          <w:noProof/>
        </w:rPr>
        <w:tab/>
      </w:r>
      <w:r>
        <w:rPr>
          <w:noProof/>
        </w:rPr>
        <w:fldChar w:fldCharType="begin"/>
      </w:r>
      <w:r>
        <w:rPr>
          <w:noProof/>
        </w:rPr>
        <w:instrText xml:space="preserve"> PAGEREF _Toc19280103 \h </w:instrText>
      </w:r>
      <w:r>
        <w:rPr>
          <w:noProof/>
        </w:rPr>
      </w:r>
      <w:r>
        <w:rPr>
          <w:noProof/>
        </w:rPr>
        <w:fldChar w:fldCharType="separate"/>
      </w:r>
      <w:r w:rsidR="00AD3561">
        <w:rPr>
          <w:noProof/>
        </w:rPr>
        <w:t>22</w:t>
      </w:r>
      <w:r>
        <w:rPr>
          <w:noProof/>
        </w:rPr>
        <w:fldChar w:fldCharType="end"/>
      </w:r>
    </w:p>
    <w:p w14:paraId="77818EA4" w14:textId="0D14F101" w:rsidR="003B131D" w:rsidRDefault="003B131D">
      <w:pPr>
        <w:pStyle w:val="TOC2"/>
        <w:rPr>
          <w:rFonts w:asciiTheme="minorHAnsi" w:eastAsiaTheme="minorEastAsia" w:hAnsiTheme="minorHAnsi" w:cstheme="minorBidi"/>
          <w:noProof/>
          <w:sz w:val="22"/>
          <w:szCs w:val="22"/>
        </w:rPr>
      </w:pPr>
      <w:r>
        <w:rPr>
          <w:noProof/>
          <w:lang w:bidi="fa-IR"/>
        </w:rPr>
        <w:t>The rationale for mandatory disclosure</w:t>
      </w:r>
      <w:r>
        <w:rPr>
          <w:noProof/>
        </w:rPr>
        <w:tab/>
      </w:r>
      <w:r>
        <w:rPr>
          <w:noProof/>
        </w:rPr>
        <w:fldChar w:fldCharType="begin"/>
      </w:r>
      <w:r>
        <w:rPr>
          <w:noProof/>
        </w:rPr>
        <w:instrText xml:space="preserve"> PAGEREF _Toc19280104 \h </w:instrText>
      </w:r>
      <w:r>
        <w:rPr>
          <w:noProof/>
        </w:rPr>
      </w:r>
      <w:r>
        <w:rPr>
          <w:noProof/>
        </w:rPr>
        <w:fldChar w:fldCharType="separate"/>
      </w:r>
      <w:r w:rsidR="00AD3561">
        <w:rPr>
          <w:noProof/>
        </w:rPr>
        <w:t>25</w:t>
      </w:r>
      <w:r>
        <w:rPr>
          <w:noProof/>
        </w:rPr>
        <w:fldChar w:fldCharType="end"/>
      </w:r>
    </w:p>
    <w:p w14:paraId="404A1E3E" w14:textId="63E47B53" w:rsidR="003B131D" w:rsidRDefault="003B131D">
      <w:pPr>
        <w:pStyle w:val="TOC1"/>
        <w:rPr>
          <w:rFonts w:asciiTheme="minorHAnsi" w:eastAsiaTheme="minorEastAsia" w:hAnsiTheme="minorHAnsi" w:cstheme="minorBidi"/>
          <w:noProof/>
          <w:sz w:val="22"/>
          <w:szCs w:val="22"/>
        </w:rPr>
      </w:pPr>
      <w:r>
        <w:rPr>
          <w:noProof/>
          <w:lang w:bidi="fa-IR"/>
        </w:rPr>
        <w:t>3</w:t>
      </w:r>
      <w:r>
        <w:rPr>
          <w:rFonts w:asciiTheme="minorHAnsi" w:eastAsiaTheme="minorEastAsia" w:hAnsiTheme="minorHAnsi" w:cstheme="minorBidi"/>
          <w:noProof/>
          <w:sz w:val="22"/>
          <w:szCs w:val="22"/>
        </w:rPr>
        <w:tab/>
      </w:r>
      <w:r>
        <w:rPr>
          <w:noProof/>
          <w:lang w:bidi="fa-IR"/>
        </w:rPr>
        <w:t>Review of objectives</w:t>
      </w:r>
      <w:r>
        <w:rPr>
          <w:noProof/>
        </w:rPr>
        <w:tab/>
      </w:r>
      <w:r>
        <w:rPr>
          <w:noProof/>
        </w:rPr>
        <w:fldChar w:fldCharType="begin"/>
      </w:r>
      <w:r>
        <w:rPr>
          <w:noProof/>
        </w:rPr>
        <w:instrText xml:space="preserve"> PAGEREF _Toc19280105 \h </w:instrText>
      </w:r>
      <w:r>
        <w:rPr>
          <w:noProof/>
        </w:rPr>
      </w:r>
      <w:r>
        <w:rPr>
          <w:noProof/>
        </w:rPr>
        <w:fldChar w:fldCharType="separate"/>
      </w:r>
      <w:r w:rsidR="00AD3561">
        <w:rPr>
          <w:noProof/>
        </w:rPr>
        <w:t>27</w:t>
      </w:r>
      <w:r>
        <w:rPr>
          <w:noProof/>
        </w:rPr>
        <w:fldChar w:fldCharType="end"/>
      </w:r>
    </w:p>
    <w:p w14:paraId="76770351" w14:textId="187CE227" w:rsidR="003B131D" w:rsidRDefault="003B131D">
      <w:pPr>
        <w:pStyle w:val="TOC2"/>
        <w:rPr>
          <w:rFonts w:asciiTheme="minorHAnsi" w:eastAsiaTheme="minorEastAsia" w:hAnsiTheme="minorHAnsi" w:cstheme="minorBidi"/>
          <w:noProof/>
          <w:sz w:val="22"/>
          <w:szCs w:val="22"/>
        </w:rPr>
      </w:pPr>
      <w:r>
        <w:rPr>
          <w:noProof/>
          <w:lang w:bidi="fa-IR"/>
        </w:rPr>
        <w:t>Objectives of the CBD Program</w:t>
      </w:r>
      <w:r>
        <w:rPr>
          <w:noProof/>
        </w:rPr>
        <w:tab/>
      </w:r>
      <w:r>
        <w:rPr>
          <w:noProof/>
        </w:rPr>
        <w:fldChar w:fldCharType="begin"/>
      </w:r>
      <w:r>
        <w:rPr>
          <w:noProof/>
        </w:rPr>
        <w:instrText xml:space="preserve"> PAGEREF _Toc19280106 \h </w:instrText>
      </w:r>
      <w:r>
        <w:rPr>
          <w:noProof/>
        </w:rPr>
      </w:r>
      <w:r>
        <w:rPr>
          <w:noProof/>
        </w:rPr>
        <w:fldChar w:fldCharType="separate"/>
      </w:r>
      <w:r w:rsidR="00AD3561">
        <w:rPr>
          <w:noProof/>
        </w:rPr>
        <w:t>27</w:t>
      </w:r>
      <w:r>
        <w:rPr>
          <w:noProof/>
        </w:rPr>
        <w:fldChar w:fldCharType="end"/>
      </w:r>
    </w:p>
    <w:p w14:paraId="4EC72F9D" w14:textId="3DB32DDF" w:rsidR="003B131D" w:rsidRDefault="003B131D">
      <w:pPr>
        <w:pStyle w:val="TOC2"/>
        <w:rPr>
          <w:rFonts w:asciiTheme="minorHAnsi" w:eastAsiaTheme="minorEastAsia" w:hAnsiTheme="minorHAnsi" w:cstheme="minorBidi"/>
          <w:noProof/>
          <w:sz w:val="22"/>
          <w:szCs w:val="22"/>
        </w:rPr>
      </w:pPr>
      <w:r>
        <w:rPr>
          <w:noProof/>
          <w:lang w:bidi="fa-IR"/>
        </w:rPr>
        <w:t>Review of objectives</w:t>
      </w:r>
      <w:r>
        <w:rPr>
          <w:noProof/>
        </w:rPr>
        <w:tab/>
      </w:r>
      <w:r>
        <w:rPr>
          <w:noProof/>
        </w:rPr>
        <w:fldChar w:fldCharType="begin"/>
      </w:r>
      <w:r>
        <w:rPr>
          <w:noProof/>
        </w:rPr>
        <w:instrText xml:space="preserve"> PAGEREF _Toc19280107 \h </w:instrText>
      </w:r>
      <w:r>
        <w:rPr>
          <w:noProof/>
        </w:rPr>
      </w:r>
      <w:r>
        <w:rPr>
          <w:noProof/>
        </w:rPr>
        <w:fldChar w:fldCharType="separate"/>
      </w:r>
      <w:r w:rsidR="00AD3561">
        <w:rPr>
          <w:noProof/>
        </w:rPr>
        <w:t>28</w:t>
      </w:r>
      <w:r>
        <w:rPr>
          <w:noProof/>
        </w:rPr>
        <w:fldChar w:fldCharType="end"/>
      </w:r>
    </w:p>
    <w:p w14:paraId="4A7A772C" w14:textId="248016F1" w:rsidR="003B131D" w:rsidRDefault="003B131D">
      <w:pPr>
        <w:pStyle w:val="TOC4"/>
        <w:rPr>
          <w:rFonts w:asciiTheme="minorHAnsi" w:eastAsiaTheme="minorEastAsia" w:hAnsiTheme="minorHAnsi" w:cstheme="minorBidi"/>
          <w:caps w:val="0"/>
          <w:noProof/>
          <w:color w:val="auto"/>
          <w:spacing w:val="0"/>
          <w:szCs w:val="22"/>
        </w:rPr>
      </w:pPr>
      <w:r>
        <w:rPr>
          <w:noProof/>
        </w:rPr>
        <w:t>Review of existing CBD Program</w:t>
      </w:r>
      <w:r>
        <w:rPr>
          <w:noProof/>
        </w:rPr>
        <w:tab/>
      </w:r>
      <w:r>
        <w:rPr>
          <w:noProof/>
        </w:rPr>
        <w:fldChar w:fldCharType="begin"/>
      </w:r>
      <w:r>
        <w:rPr>
          <w:noProof/>
        </w:rPr>
        <w:instrText xml:space="preserve"> PAGEREF _Toc19280108 \h </w:instrText>
      </w:r>
      <w:r>
        <w:rPr>
          <w:noProof/>
        </w:rPr>
      </w:r>
      <w:r>
        <w:rPr>
          <w:noProof/>
        </w:rPr>
        <w:fldChar w:fldCharType="separate"/>
      </w:r>
      <w:r w:rsidR="00AD3561">
        <w:rPr>
          <w:noProof/>
        </w:rPr>
        <w:t>31</w:t>
      </w:r>
      <w:r>
        <w:rPr>
          <w:noProof/>
        </w:rPr>
        <w:fldChar w:fldCharType="end"/>
      </w:r>
    </w:p>
    <w:p w14:paraId="573AA45B" w14:textId="5E964617" w:rsidR="003B131D" w:rsidRDefault="003B131D">
      <w:pPr>
        <w:pStyle w:val="TOC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Impacts of the CBD Program</w:t>
      </w:r>
      <w:r>
        <w:rPr>
          <w:noProof/>
        </w:rPr>
        <w:tab/>
      </w:r>
      <w:r>
        <w:rPr>
          <w:noProof/>
        </w:rPr>
        <w:fldChar w:fldCharType="begin"/>
      </w:r>
      <w:r>
        <w:rPr>
          <w:noProof/>
        </w:rPr>
        <w:instrText xml:space="preserve"> PAGEREF _Toc19280109 \h </w:instrText>
      </w:r>
      <w:r>
        <w:rPr>
          <w:noProof/>
        </w:rPr>
      </w:r>
      <w:r>
        <w:rPr>
          <w:noProof/>
        </w:rPr>
        <w:fldChar w:fldCharType="separate"/>
      </w:r>
      <w:r w:rsidR="00AD3561">
        <w:rPr>
          <w:noProof/>
        </w:rPr>
        <w:t>33</w:t>
      </w:r>
      <w:r>
        <w:rPr>
          <w:noProof/>
        </w:rPr>
        <w:fldChar w:fldCharType="end"/>
      </w:r>
    </w:p>
    <w:p w14:paraId="7FC01AEF" w14:textId="4F42B02D" w:rsidR="003B131D" w:rsidRDefault="003B131D">
      <w:pPr>
        <w:pStyle w:val="TOC2"/>
        <w:rPr>
          <w:rFonts w:asciiTheme="minorHAnsi" w:eastAsiaTheme="minorEastAsia" w:hAnsiTheme="minorHAnsi" w:cstheme="minorBidi"/>
          <w:noProof/>
          <w:sz w:val="22"/>
          <w:szCs w:val="22"/>
        </w:rPr>
      </w:pPr>
      <w:r>
        <w:rPr>
          <w:noProof/>
        </w:rPr>
        <w:t>Market overview</w:t>
      </w:r>
      <w:r>
        <w:rPr>
          <w:noProof/>
        </w:rPr>
        <w:tab/>
      </w:r>
      <w:r>
        <w:rPr>
          <w:noProof/>
        </w:rPr>
        <w:fldChar w:fldCharType="begin"/>
      </w:r>
      <w:r>
        <w:rPr>
          <w:noProof/>
        </w:rPr>
        <w:instrText xml:space="preserve"> PAGEREF _Toc19280110 \h </w:instrText>
      </w:r>
      <w:r>
        <w:rPr>
          <w:noProof/>
        </w:rPr>
      </w:r>
      <w:r>
        <w:rPr>
          <w:noProof/>
        </w:rPr>
        <w:fldChar w:fldCharType="separate"/>
      </w:r>
      <w:r w:rsidR="00AD3561">
        <w:rPr>
          <w:noProof/>
        </w:rPr>
        <w:t>33</w:t>
      </w:r>
      <w:r>
        <w:rPr>
          <w:noProof/>
        </w:rPr>
        <w:fldChar w:fldCharType="end"/>
      </w:r>
    </w:p>
    <w:p w14:paraId="07D647E7" w14:textId="1F8D3C71" w:rsidR="003B131D" w:rsidRDefault="003B131D">
      <w:pPr>
        <w:pStyle w:val="TOC2"/>
        <w:rPr>
          <w:rFonts w:asciiTheme="minorHAnsi" w:eastAsiaTheme="minorEastAsia" w:hAnsiTheme="minorHAnsi" w:cstheme="minorBidi"/>
          <w:noProof/>
          <w:sz w:val="22"/>
          <w:szCs w:val="22"/>
        </w:rPr>
      </w:pPr>
      <w:r>
        <w:rPr>
          <w:noProof/>
        </w:rPr>
        <w:t>Evidence of market and behavioural failures</w:t>
      </w:r>
      <w:r>
        <w:rPr>
          <w:noProof/>
        </w:rPr>
        <w:tab/>
      </w:r>
      <w:r>
        <w:rPr>
          <w:noProof/>
        </w:rPr>
        <w:fldChar w:fldCharType="begin"/>
      </w:r>
      <w:r>
        <w:rPr>
          <w:noProof/>
        </w:rPr>
        <w:instrText xml:space="preserve"> PAGEREF _Toc19280111 \h </w:instrText>
      </w:r>
      <w:r>
        <w:rPr>
          <w:noProof/>
        </w:rPr>
      </w:r>
      <w:r>
        <w:rPr>
          <w:noProof/>
        </w:rPr>
        <w:fldChar w:fldCharType="separate"/>
      </w:r>
      <w:r w:rsidR="00AD3561">
        <w:rPr>
          <w:noProof/>
        </w:rPr>
        <w:t>33</w:t>
      </w:r>
      <w:r>
        <w:rPr>
          <w:noProof/>
        </w:rPr>
        <w:fldChar w:fldCharType="end"/>
      </w:r>
    </w:p>
    <w:p w14:paraId="42910CCF" w14:textId="2C54695E" w:rsidR="003B131D" w:rsidRDefault="003B131D">
      <w:pPr>
        <w:pStyle w:val="TOC2"/>
        <w:rPr>
          <w:rFonts w:asciiTheme="minorHAnsi" w:eastAsiaTheme="minorEastAsia" w:hAnsiTheme="minorHAnsi" w:cstheme="minorBidi"/>
          <w:noProof/>
          <w:sz w:val="22"/>
          <w:szCs w:val="22"/>
        </w:rPr>
      </w:pPr>
      <w:r>
        <w:rPr>
          <w:noProof/>
        </w:rPr>
        <w:t>Impact on the number of NABERS ratings</w:t>
      </w:r>
      <w:r>
        <w:rPr>
          <w:noProof/>
        </w:rPr>
        <w:tab/>
      </w:r>
      <w:r>
        <w:rPr>
          <w:noProof/>
        </w:rPr>
        <w:fldChar w:fldCharType="begin"/>
      </w:r>
      <w:r>
        <w:rPr>
          <w:noProof/>
        </w:rPr>
        <w:instrText xml:space="preserve"> PAGEREF _Toc19280112 \h </w:instrText>
      </w:r>
      <w:r>
        <w:rPr>
          <w:noProof/>
        </w:rPr>
      </w:r>
      <w:r>
        <w:rPr>
          <w:noProof/>
        </w:rPr>
        <w:fldChar w:fldCharType="separate"/>
      </w:r>
      <w:r w:rsidR="00AD3561">
        <w:rPr>
          <w:noProof/>
        </w:rPr>
        <w:t>35</w:t>
      </w:r>
      <w:r>
        <w:rPr>
          <w:noProof/>
        </w:rPr>
        <w:fldChar w:fldCharType="end"/>
      </w:r>
    </w:p>
    <w:p w14:paraId="51A53B43" w14:textId="69DF43FA" w:rsidR="003B131D" w:rsidRDefault="003B131D">
      <w:pPr>
        <w:pStyle w:val="TOC2"/>
        <w:rPr>
          <w:rFonts w:asciiTheme="minorHAnsi" w:eastAsiaTheme="minorEastAsia" w:hAnsiTheme="minorHAnsi" w:cstheme="minorBidi"/>
          <w:noProof/>
          <w:sz w:val="22"/>
          <w:szCs w:val="22"/>
        </w:rPr>
      </w:pPr>
      <w:r>
        <w:rPr>
          <w:noProof/>
        </w:rPr>
        <w:t>Impact on energy performance</w:t>
      </w:r>
      <w:r>
        <w:rPr>
          <w:noProof/>
        </w:rPr>
        <w:tab/>
      </w:r>
      <w:r>
        <w:rPr>
          <w:noProof/>
        </w:rPr>
        <w:fldChar w:fldCharType="begin"/>
      </w:r>
      <w:r>
        <w:rPr>
          <w:noProof/>
        </w:rPr>
        <w:instrText xml:space="preserve"> PAGEREF _Toc19280113 \h </w:instrText>
      </w:r>
      <w:r>
        <w:rPr>
          <w:noProof/>
        </w:rPr>
      </w:r>
      <w:r>
        <w:rPr>
          <w:noProof/>
        </w:rPr>
        <w:fldChar w:fldCharType="separate"/>
      </w:r>
      <w:r w:rsidR="00AD3561">
        <w:rPr>
          <w:noProof/>
        </w:rPr>
        <w:t>37</w:t>
      </w:r>
      <w:r>
        <w:rPr>
          <w:noProof/>
        </w:rPr>
        <w:fldChar w:fldCharType="end"/>
      </w:r>
    </w:p>
    <w:p w14:paraId="4ADF5FEB" w14:textId="69BEA5A5" w:rsidR="003B131D" w:rsidRDefault="003B131D">
      <w:pPr>
        <w:pStyle w:val="TOC2"/>
        <w:rPr>
          <w:rFonts w:asciiTheme="minorHAnsi" w:eastAsiaTheme="minorEastAsia" w:hAnsiTheme="minorHAnsi" w:cstheme="minorBidi"/>
          <w:noProof/>
          <w:sz w:val="22"/>
          <w:szCs w:val="22"/>
        </w:rPr>
      </w:pPr>
      <w:r>
        <w:rPr>
          <w:noProof/>
        </w:rPr>
        <w:t>Aggregate impacts</w:t>
      </w:r>
      <w:r>
        <w:rPr>
          <w:noProof/>
        </w:rPr>
        <w:tab/>
      </w:r>
      <w:r>
        <w:rPr>
          <w:noProof/>
        </w:rPr>
        <w:fldChar w:fldCharType="begin"/>
      </w:r>
      <w:r>
        <w:rPr>
          <w:noProof/>
        </w:rPr>
        <w:instrText xml:space="preserve"> PAGEREF _Toc19280114 \h </w:instrText>
      </w:r>
      <w:r>
        <w:rPr>
          <w:noProof/>
        </w:rPr>
      </w:r>
      <w:r>
        <w:rPr>
          <w:noProof/>
        </w:rPr>
        <w:fldChar w:fldCharType="separate"/>
      </w:r>
      <w:r w:rsidR="00AD3561">
        <w:rPr>
          <w:noProof/>
        </w:rPr>
        <w:t>47</w:t>
      </w:r>
      <w:r>
        <w:rPr>
          <w:noProof/>
        </w:rPr>
        <w:fldChar w:fldCharType="end"/>
      </w:r>
    </w:p>
    <w:p w14:paraId="766F8765" w14:textId="71794C68" w:rsidR="003B131D" w:rsidRDefault="003B131D">
      <w:pPr>
        <w:pStyle w:val="TOC2"/>
        <w:rPr>
          <w:rFonts w:asciiTheme="minorHAnsi" w:eastAsiaTheme="minorEastAsia" w:hAnsiTheme="minorHAnsi" w:cstheme="minorBidi"/>
          <w:noProof/>
          <w:sz w:val="22"/>
          <w:szCs w:val="22"/>
        </w:rPr>
      </w:pPr>
      <w:r>
        <w:rPr>
          <w:noProof/>
        </w:rPr>
        <w:t>Tenancy lighting performance</w:t>
      </w:r>
      <w:r>
        <w:rPr>
          <w:noProof/>
        </w:rPr>
        <w:tab/>
      </w:r>
      <w:r>
        <w:rPr>
          <w:noProof/>
        </w:rPr>
        <w:fldChar w:fldCharType="begin"/>
      </w:r>
      <w:r>
        <w:rPr>
          <w:noProof/>
        </w:rPr>
        <w:instrText xml:space="preserve"> PAGEREF _Toc19280115 \h </w:instrText>
      </w:r>
      <w:r>
        <w:rPr>
          <w:noProof/>
        </w:rPr>
      </w:r>
      <w:r>
        <w:rPr>
          <w:noProof/>
        </w:rPr>
        <w:fldChar w:fldCharType="separate"/>
      </w:r>
      <w:r w:rsidR="00AD3561">
        <w:rPr>
          <w:noProof/>
        </w:rPr>
        <w:t>50</w:t>
      </w:r>
      <w:r>
        <w:rPr>
          <w:noProof/>
        </w:rPr>
        <w:fldChar w:fldCharType="end"/>
      </w:r>
    </w:p>
    <w:p w14:paraId="2FAA2368" w14:textId="094E01DA" w:rsidR="003B131D" w:rsidRDefault="003B131D">
      <w:pPr>
        <w:pStyle w:val="TOC1"/>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Cost-benefit analysis of existing program</w:t>
      </w:r>
      <w:r>
        <w:rPr>
          <w:noProof/>
        </w:rPr>
        <w:tab/>
      </w:r>
      <w:r>
        <w:rPr>
          <w:noProof/>
        </w:rPr>
        <w:fldChar w:fldCharType="begin"/>
      </w:r>
      <w:r>
        <w:rPr>
          <w:noProof/>
        </w:rPr>
        <w:instrText xml:space="preserve"> PAGEREF _Toc19280116 \h </w:instrText>
      </w:r>
      <w:r>
        <w:rPr>
          <w:noProof/>
        </w:rPr>
      </w:r>
      <w:r>
        <w:rPr>
          <w:noProof/>
        </w:rPr>
        <w:fldChar w:fldCharType="separate"/>
      </w:r>
      <w:r w:rsidR="00AD3561">
        <w:rPr>
          <w:noProof/>
        </w:rPr>
        <w:t>54</w:t>
      </w:r>
      <w:r>
        <w:rPr>
          <w:noProof/>
        </w:rPr>
        <w:fldChar w:fldCharType="end"/>
      </w:r>
    </w:p>
    <w:p w14:paraId="2D1D0E0C" w14:textId="5CC20DF0" w:rsidR="003B131D" w:rsidRDefault="003B131D">
      <w:pPr>
        <w:pStyle w:val="TOC2"/>
        <w:rPr>
          <w:rFonts w:asciiTheme="minorHAnsi" w:eastAsiaTheme="minorEastAsia" w:hAnsiTheme="minorHAnsi" w:cstheme="minorBidi"/>
          <w:noProof/>
          <w:sz w:val="22"/>
          <w:szCs w:val="22"/>
        </w:rPr>
      </w:pPr>
      <w:r>
        <w:rPr>
          <w:noProof/>
        </w:rPr>
        <w:t>Key findings</w:t>
      </w:r>
      <w:r>
        <w:rPr>
          <w:noProof/>
        </w:rPr>
        <w:tab/>
      </w:r>
      <w:r>
        <w:rPr>
          <w:noProof/>
        </w:rPr>
        <w:fldChar w:fldCharType="begin"/>
      </w:r>
      <w:r>
        <w:rPr>
          <w:noProof/>
        </w:rPr>
        <w:instrText xml:space="preserve"> PAGEREF _Toc19280117 \h </w:instrText>
      </w:r>
      <w:r>
        <w:rPr>
          <w:noProof/>
        </w:rPr>
      </w:r>
      <w:r>
        <w:rPr>
          <w:noProof/>
        </w:rPr>
        <w:fldChar w:fldCharType="separate"/>
      </w:r>
      <w:r w:rsidR="00AD3561">
        <w:rPr>
          <w:noProof/>
        </w:rPr>
        <w:t>54</w:t>
      </w:r>
      <w:r>
        <w:rPr>
          <w:noProof/>
        </w:rPr>
        <w:fldChar w:fldCharType="end"/>
      </w:r>
    </w:p>
    <w:p w14:paraId="4EB09DDA" w14:textId="06015D81" w:rsidR="003B131D" w:rsidRDefault="003B131D">
      <w:pPr>
        <w:pStyle w:val="TOC2"/>
        <w:rPr>
          <w:rFonts w:asciiTheme="minorHAnsi" w:eastAsiaTheme="minorEastAsia" w:hAnsiTheme="minorHAnsi" w:cstheme="minorBidi"/>
          <w:noProof/>
          <w:sz w:val="22"/>
          <w:szCs w:val="22"/>
        </w:rPr>
      </w:pPr>
      <w:r>
        <w:rPr>
          <w:noProof/>
        </w:rPr>
        <w:t>The impacts of the CBD Program</w:t>
      </w:r>
      <w:r>
        <w:rPr>
          <w:noProof/>
        </w:rPr>
        <w:tab/>
      </w:r>
      <w:r>
        <w:rPr>
          <w:noProof/>
        </w:rPr>
        <w:fldChar w:fldCharType="begin"/>
      </w:r>
      <w:r>
        <w:rPr>
          <w:noProof/>
        </w:rPr>
        <w:instrText xml:space="preserve"> PAGEREF _Toc19280118 \h </w:instrText>
      </w:r>
      <w:r>
        <w:rPr>
          <w:noProof/>
        </w:rPr>
      </w:r>
      <w:r>
        <w:rPr>
          <w:noProof/>
        </w:rPr>
        <w:fldChar w:fldCharType="separate"/>
      </w:r>
      <w:r w:rsidR="00AD3561">
        <w:rPr>
          <w:noProof/>
        </w:rPr>
        <w:t>56</w:t>
      </w:r>
      <w:r>
        <w:rPr>
          <w:noProof/>
        </w:rPr>
        <w:fldChar w:fldCharType="end"/>
      </w:r>
    </w:p>
    <w:p w14:paraId="68A49693" w14:textId="511DF9FF" w:rsidR="003B131D" w:rsidRDefault="003B131D">
      <w:pPr>
        <w:pStyle w:val="TOC2"/>
        <w:rPr>
          <w:rFonts w:asciiTheme="minorHAnsi" w:eastAsiaTheme="minorEastAsia" w:hAnsiTheme="minorHAnsi" w:cstheme="minorBidi"/>
          <w:noProof/>
          <w:sz w:val="22"/>
          <w:szCs w:val="22"/>
        </w:rPr>
      </w:pPr>
      <w:r>
        <w:rPr>
          <w:noProof/>
        </w:rPr>
        <w:t>Measuring the benefits of the CBD Program</w:t>
      </w:r>
      <w:r>
        <w:rPr>
          <w:noProof/>
        </w:rPr>
        <w:tab/>
      </w:r>
      <w:r>
        <w:rPr>
          <w:noProof/>
        </w:rPr>
        <w:fldChar w:fldCharType="begin"/>
      </w:r>
      <w:r>
        <w:rPr>
          <w:noProof/>
        </w:rPr>
        <w:instrText xml:space="preserve"> PAGEREF _Toc19280119 \h </w:instrText>
      </w:r>
      <w:r>
        <w:rPr>
          <w:noProof/>
        </w:rPr>
      </w:r>
      <w:r>
        <w:rPr>
          <w:noProof/>
        </w:rPr>
        <w:fldChar w:fldCharType="separate"/>
      </w:r>
      <w:r w:rsidR="00AD3561">
        <w:rPr>
          <w:noProof/>
        </w:rPr>
        <w:t>56</w:t>
      </w:r>
      <w:r>
        <w:rPr>
          <w:noProof/>
        </w:rPr>
        <w:fldChar w:fldCharType="end"/>
      </w:r>
    </w:p>
    <w:p w14:paraId="0D317234" w14:textId="27BA3E65" w:rsidR="003B131D" w:rsidRDefault="003B131D">
      <w:pPr>
        <w:pStyle w:val="TOC2"/>
        <w:rPr>
          <w:rFonts w:asciiTheme="minorHAnsi" w:eastAsiaTheme="minorEastAsia" w:hAnsiTheme="minorHAnsi" w:cstheme="minorBidi"/>
          <w:noProof/>
          <w:sz w:val="22"/>
          <w:szCs w:val="22"/>
        </w:rPr>
      </w:pPr>
      <w:r>
        <w:rPr>
          <w:noProof/>
        </w:rPr>
        <w:t>Measuring the costs of the CBD Program</w:t>
      </w:r>
      <w:r>
        <w:rPr>
          <w:noProof/>
        </w:rPr>
        <w:tab/>
      </w:r>
      <w:r>
        <w:rPr>
          <w:noProof/>
        </w:rPr>
        <w:fldChar w:fldCharType="begin"/>
      </w:r>
      <w:r>
        <w:rPr>
          <w:noProof/>
        </w:rPr>
        <w:instrText xml:space="preserve"> PAGEREF _Toc19280120 \h </w:instrText>
      </w:r>
      <w:r>
        <w:rPr>
          <w:noProof/>
        </w:rPr>
      </w:r>
      <w:r>
        <w:rPr>
          <w:noProof/>
        </w:rPr>
        <w:fldChar w:fldCharType="separate"/>
      </w:r>
      <w:r w:rsidR="00AD3561">
        <w:rPr>
          <w:noProof/>
        </w:rPr>
        <w:t>62</w:t>
      </w:r>
      <w:r>
        <w:rPr>
          <w:noProof/>
        </w:rPr>
        <w:fldChar w:fldCharType="end"/>
      </w:r>
    </w:p>
    <w:p w14:paraId="3CF6DE7A" w14:textId="098A2892" w:rsidR="003B131D" w:rsidRDefault="003B131D">
      <w:pPr>
        <w:pStyle w:val="TOC4"/>
        <w:rPr>
          <w:rFonts w:asciiTheme="minorHAnsi" w:eastAsiaTheme="minorEastAsia" w:hAnsiTheme="minorHAnsi" w:cstheme="minorBidi"/>
          <w:caps w:val="0"/>
          <w:noProof/>
          <w:color w:val="auto"/>
          <w:spacing w:val="0"/>
          <w:szCs w:val="22"/>
        </w:rPr>
      </w:pPr>
      <w:r>
        <w:rPr>
          <w:noProof/>
        </w:rPr>
        <w:lastRenderedPageBreak/>
        <w:t>Potential changes to the CBD program</w:t>
      </w:r>
      <w:r>
        <w:rPr>
          <w:noProof/>
        </w:rPr>
        <w:tab/>
      </w:r>
      <w:r>
        <w:rPr>
          <w:noProof/>
        </w:rPr>
        <w:fldChar w:fldCharType="begin"/>
      </w:r>
      <w:r>
        <w:rPr>
          <w:noProof/>
        </w:rPr>
        <w:instrText xml:space="preserve"> PAGEREF _Toc19280121 \h </w:instrText>
      </w:r>
      <w:r>
        <w:rPr>
          <w:noProof/>
        </w:rPr>
      </w:r>
      <w:r>
        <w:rPr>
          <w:noProof/>
        </w:rPr>
        <w:fldChar w:fldCharType="separate"/>
      </w:r>
      <w:r w:rsidR="00AD3561">
        <w:rPr>
          <w:noProof/>
        </w:rPr>
        <w:t>67</w:t>
      </w:r>
      <w:r>
        <w:rPr>
          <w:noProof/>
        </w:rPr>
        <w:fldChar w:fldCharType="end"/>
      </w:r>
    </w:p>
    <w:p w14:paraId="65C1C0E4" w14:textId="6FF9EAFB" w:rsidR="003B131D" w:rsidRDefault="003B131D">
      <w:pPr>
        <w:pStyle w:val="TOC1"/>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Offices</w:t>
      </w:r>
      <w:r>
        <w:rPr>
          <w:noProof/>
        </w:rPr>
        <w:tab/>
      </w:r>
      <w:r>
        <w:rPr>
          <w:noProof/>
        </w:rPr>
        <w:fldChar w:fldCharType="begin"/>
      </w:r>
      <w:r>
        <w:rPr>
          <w:noProof/>
        </w:rPr>
        <w:instrText xml:space="preserve"> PAGEREF _Toc19280122 \h </w:instrText>
      </w:r>
      <w:r>
        <w:rPr>
          <w:noProof/>
        </w:rPr>
      </w:r>
      <w:r>
        <w:rPr>
          <w:noProof/>
        </w:rPr>
        <w:fldChar w:fldCharType="separate"/>
      </w:r>
      <w:r w:rsidR="00AD3561">
        <w:rPr>
          <w:noProof/>
        </w:rPr>
        <w:t>69</w:t>
      </w:r>
      <w:r>
        <w:rPr>
          <w:noProof/>
        </w:rPr>
        <w:fldChar w:fldCharType="end"/>
      </w:r>
    </w:p>
    <w:p w14:paraId="5511CB1C" w14:textId="01F87407" w:rsidR="003B131D" w:rsidRDefault="003B131D">
      <w:pPr>
        <w:pStyle w:val="TOC2"/>
        <w:rPr>
          <w:rFonts w:asciiTheme="minorHAnsi" w:eastAsiaTheme="minorEastAsia" w:hAnsiTheme="minorHAnsi" w:cstheme="minorBidi"/>
          <w:noProof/>
          <w:sz w:val="22"/>
          <w:szCs w:val="22"/>
        </w:rPr>
      </w:pPr>
      <w:r>
        <w:rPr>
          <w:noProof/>
        </w:rPr>
        <w:t>Key findings and draft recommendations</w:t>
      </w:r>
      <w:r>
        <w:rPr>
          <w:noProof/>
        </w:rPr>
        <w:tab/>
      </w:r>
      <w:r>
        <w:rPr>
          <w:noProof/>
        </w:rPr>
        <w:fldChar w:fldCharType="begin"/>
      </w:r>
      <w:r>
        <w:rPr>
          <w:noProof/>
        </w:rPr>
        <w:instrText xml:space="preserve"> PAGEREF _Toc19280123 \h </w:instrText>
      </w:r>
      <w:r>
        <w:rPr>
          <w:noProof/>
        </w:rPr>
      </w:r>
      <w:r>
        <w:rPr>
          <w:noProof/>
        </w:rPr>
        <w:fldChar w:fldCharType="separate"/>
      </w:r>
      <w:r w:rsidR="00AD3561">
        <w:rPr>
          <w:noProof/>
        </w:rPr>
        <w:t>69</w:t>
      </w:r>
      <w:r>
        <w:rPr>
          <w:noProof/>
        </w:rPr>
        <w:fldChar w:fldCharType="end"/>
      </w:r>
    </w:p>
    <w:p w14:paraId="26A9DAAC" w14:textId="7EB68BD3" w:rsidR="003B131D" w:rsidRDefault="003B131D">
      <w:pPr>
        <w:pStyle w:val="TOC2"/>
        <w:rPr>
          <w:rFonts w:asciiTheme="minorHAnsi" w:eastAsiaTheme="minorEastAsia" w:hAnsiTheme="minorHAnsi" w:cstheme="minorBidi"/>
          <w:noProof/>
          <w:sz w:val="22"/>
          <w:szCs w:val="22"/>
        </w:rPr>
      </w:pPr>
      <w:r>
        <w:rPr>
          <w:noProof/>
          <w:lang w:bidi="fa-IR"/>
        </w:rPr>
        <w:t>Design options for a mandatory disclosure scheme</w:t>
      </w:r>
      <w:r>
        <w:rPr>
          <w:noProof/>
        </w:rPr>
        <w:tab/>
      </w:r>
      <w:r>
        <w:rPr>
          <w:noProof/>
        </w:rPr>
        <w:fldChar w:fldCharType="begin"/>
      </w:r>
      <w:r>
        <w:rPr>
          <w:noProof/>
        </w:rPr>
        <w:instrText xml:space="preserve"> PAGEREF _Toc19280124 \h </w:instrText>
      </w:r>
      <w:r>
        <w:rPr>
          <w:noProof/>
        </w:rPr>
      </w:r>
      <w:r>
        <w:rPr>
          <w:noProof/>
        </w:rPr>
        <w:fldChar w:fldCharType="separate"/>
      </w:r>
      <w:r w:rsidR="00AD3561">
        <w:rPr>
          <w:noProof/>
        </w:rPr>
        <w:t>69</w:t>
      </w:r>
      <w:r>
        <w:rPr>
          <w:noProof/>
        </w:rPr>
        <w:fldChar w:fldCharType="end"/>
      </w:r>
    </w:p>
    <w:p w14:paraId="5D36C8BB" w14:textId="0FEEB623" w:rsidR="003B131D" w:rsidRDefault="003B131D">
      <w:pPr>
        <w:pStyle w:val="TOC2"/>
        <w:rPr>
          <w:rFonts w:asciiTheme="minorHAnsi" w:eastAsiaTheme="minorEastAsia" w:hAnsiTheme="minorHAnsi" w:cstheme="minorBidi"/>
          <w:noProof/>
          <w:sz w:val="22"/>
          <w:szCs w:val="22"/>
        </w:rPr>
      </w:pPr>
      <w:r>
        <w:rPr>
          <w:noProof/>
        </w:rPr>
        <w:t>Mandatory disclosure for office tenancies</w:t>
      </w:r>
      <w:r>
        <w:rPr>
          <w:noProof/>
        </w:rPr>
        <w:tab/>
      </w:r>
      <w:r>
        <w:rPr>
          <w:noProof/>
        </w:rPr>
        <w:fldChar w:fldCharType="begin"/>
      </w:r>
      <w:r>
        <w:rPr>
          <w:noProof/>
        </w:rPr>
        <w:instrText xml:space="preserve"> PAGEREF _Toc19280125 \h </w:instrText>
      </w:r>
      <w:r>
        <w:rPr>
          <w:noProof/>
        </w:rPr>
      </w:r>
      <w:r>
        <w:rPr>
          <w:noProof/>
        </w:rPr>
        <w:fldChar w:fldCharType="separate"/>
      </w:r>
      <w:r w:rsidR="00AD3561">
        <w:rPr>
          <w:noProof/>
        </w:rPr>
        <w:t>70</w:t>
      </w:r>
      <w:r>
        <w:rPr>
          <w:noProof/>
        </w:rPr>
        <w:fldChar w:fldCharType="end"/>
      </w:r>
    </w:p>
    <w:p w14:paraId="19BF9C61" w14:textId="253B835C" w:rsidR="003B131D" w:rsidRDefault="003B131D">
      <w:pPr>
        <w:pStyle w:val="TOC2"/>
        <w:rPr>
          <w:rFonts w:asciiTheme="minorHAnsi" w:eastAsiaTheme="minorEastAsia" w:hAnsiTheme="minorHAnsi" w:cstheme="minorBidi"/>
          <w:noProof/>
          <w:sz w:val="22"/>
          <w:szCs w:val="22"/>
        </w:rPr>
      </w:pPr>
      <w:r>
        <w:rPr>
          <w:noProof/>
        </w:rPr>
        <w:t>Review of the CBD Program for offices</w:t>
      </w:r>
      <w:r>
        <w:rPr>
          <w:noProof/>
        </w:rPr>
        <w:tab/>
      </w:r>
      <w:r>
        <w:rPr>
          <w:noProof/>
        </w:rPr>
        <w:fldChar w:fldCharType="begin"/>
      </w:r>
      <w:r>
        <w:rPr>
          <w:noProof/>
        </w:rPr>
        <w:instrText xml:space="preserve"> PAGEREF _Toc19280126 \h </w:instrText>
      </w:r>
      <w:r>
        <w:rPr>
          <w:noProof/>
        </w:rPr>
      </w:r>
      <w:r>
        <w:rPr>
          <w:noProof/>
        </w:rPr>
        <w:fldChar w:fldCharType="separate"/>
      </w:r>
      <w:r w:rsidR="00AD3561">
        <w:rPr>
          <w:noProof/>
        </w:rPr>
        <w:t>74</w:t>
      </w:r>
      <w:r>
        <w:rPr>
          <w:noProof/>
        </w:rPr>
        <w:fldChar w:fldCharType="end"/>
      </w:r>
    </w:p>
    <w:p w14:paraId="66DF0509" w14:textId="4E36673B" w:rsidR="003B131D" w:rsidRDefault="003B131D">
      <w:pPr>
        <w:pStyle w:val="TOC2"/>
        <w:rPr>
          <w:rFonts w:asciiTheme="minorHAnsi" w:eastAsiaTheme="minorEastAsia" w:hAnsiTheme="minorHAnsi" w:cstheme="minorBidi"/>
          <w:noProof/>
          <w:sz w:val="22"/>
          <w:szCs w:val="22"/>
        </w:rPr>
      </w:pPr>
      <w:r>
        <w:rPr>
          <w:noProof/>
        </w:rPr>
        <w:t>Many publicly-listed companies already prepare ‘sustainability reports’, documenting the business’s environmental performance across a range of measures. We see little value in making the disclosure of tenancy ratings in annual reports mandatory.Reform options</w:t>
      </w:r>
      <w:r>
        <w:rPr>
          <w:noProof/>
        </w:rPr>
        <w:tab/>
      </w:r>
      <w:r>
        <w:rPr>
          <w:noProof/>
        </w:rPr>
        <w:fldChar w:fldCharType="begin"/>
      </w:r>
      <w:r>
        <w:rPr>
          <w:noProof/>
        </w:rPr>
        <w:instrText xml:space="preserve"> PAGEREF _Toc19280127 \h </w:instrText>
      </w:r>
      <w:r>
        <w:rPr>
          <w:noProof/>
        </w:rPr>
      </w:r>
      <w:r>
        <w:rPr>
          <w:noProof/>
        </w:rPr>
        <w:fldChar w:fldCharType="separate"/>
      </w:r>
      <w:r w:rsidR="00AD3561">
        <w:rPr>
          <w:noProof/>
        </w:rPr>
        <w:t>83</w:t>
      </w:r>
      <w:r>
        <w:rPr>
          <w:noProof/>
        </w:rPr>
        <w:fldChar w:fldCharType="end"/>
      </w:r>
    </w:p>
    <w:p w14:paraId="14D11545" w14:textId="15A47F3E" w:rsidR="003B131D" w:rsidRDefault="003B131D">
      <w:pPr>
        <w:pStyle w:val="TOC2"/>
        <w:rPr>
          <w:rFonts w:asciiTheme="minorHAnsi" w:eastAsiaTheme="minorEastAsia" w:hAnsiTheme="minorHAnsi" w:cstheme="minorBidi"/>
          <w:noProof/>
          <w:sz w:val="22"/>
          <w:szCs w:val="22"/>
        </w:rPr>
      </w:pPr>
      <w:r>
        <w:rPr>
          <w:noProof/>
        </w:rPr>
        <w:t>Cost-benefit analysis</w:t>
      </w:r>
      <w:r>
        <w:rPr>
          <w:noProof/>
        </w:rPr>
        <w:tab/>
      </w:r>
      <w:r>
        <w:rPr>
          <w:noProof/>
        </w:rPr>
        <w:fldChar w:fldCharType="begin"/>
      </w:r>
      <w:r>
        <w:rPr>
          <w:noProof/>
        </w:rPr>
        <w:instrText xml:space="preserve"> PAGEREF _Toc19280128 \h </w:instrText>
      </w:r>
      <w:r>
        <w:rPr>
          <w:noProof/>
        </w:rPr>
      </w:r>
      <w:r>
        <w:rPr>
          <w:noProof/>
        </w:rPr>
        <w:fldChar w:fldCharType="separate"/>
      </w:r>
      <w:r w:rsidR="00AD3561">
        <w:rPr>
          <w:noProof/>
        </w:rPr>
        <w:t>85</w:t>
      </w:r>
      <w:r>
        <w:rPr>
          <w:noProof/>
        </w:rPr>
        <w:fldChar w:fldCharType="end"/>
      </w:r>
    </w:p>
    <w:p w14:paraId="3429BA3B" w14:textId="691B727A" w:rsidR="003B131D" w:rsidRDefault="003B131D">
      <w:pPr>
        <w:pStyle w:val="TOC2"/>
        <w:rPr>
          <w:rFonts w:asciiTheme="minorHAnsi" w:eastAsiaTheme="minorEastAsia" w:hAnsiTheme="minorHAnsi" w:cstheme="minorBidi"/>
          <w:noProof/>
          <w:sz w:val="22"/>
          <w:szCs w:val="22"/>
        </w:rPr>
      </w:pPr>
      <w:r>
        <w:rPr>
          <w:noProof/>
        </w:rPr>
        <w:t>Feedback on draft recommendations</w:t>
      </w:r>
      <w:r>
        <w:rPr>
          <w:noProof/>
        </w:rPr>
        <w:tab/>
      </w:r>
      <w:r>
        <w:rPr>
          <w:noProof/>
        </w:rPr>
        <w:fldChar w:fldCharType="begin"/>
      </w:r>
      <w:r>
        <w:rPr>
          <w:noProof/>
        </w:rPr>
        <w:instrText xml:space="preserve"> PAGEREF _Toc19280129 \h </w:instrText>
      </w:r>
      <w:r>
        <w:rPr>
          <w:noProof/>
        </w:rPr>
      </w:r>
      <w:r>
        <w:rPr>
          <w:noProof/>
        </w:rPr>
        <w:fldChar w:fldCharType="separate"/>
      </w:r>
      <w:r w:rsidR="00AD3561">
        <w:rPr>
          <w:noProof/>
        </w:rPr>
        <w:t>91</w:t>
      </w:r>
      <w:r>
        <w:rPr>
          <w:noProof/>
        </w:rPr>
        <w:fldChar w:fldCharType="end"/>
      </w:r>
    </w:p>
    <w:p w14:paraId="3FDA2BD2" w14:textId="6F6C2CCD" w:rsidR="003B131D" w:rsidRDefault="003B131D">
      <w:pPr>
        <w:pStyle w:val="TOC1"/>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Shopping centres</w:t>
      </w:r>
      <w:r>
        <w:rPr>
          <w:noProof/>
        </w:rPr>
        <w:tab/>
      </w:r>
      <w:r>
        <w:rPr>
          <w:noProof/>
        </w:rPr>
        <w:fldChar w:fldCharType="begin"/>
      </w:r>
      <w:r>
        <w:rPr>
          <w:noProof/>
        </w:rPr>
        <w:instrText xml:space="preserve"> PAGEREF _Toc19280130 \h </w:instrText>
      </w:r>
      <w:r>
        <w:rPr>
          <w:noProof/>
        </w:rPr>
      </w:r>
      <w:r>
        <w:rPr>
          <w:noProof/>
        </w:rPr>
        <w:fldChar w:fldCharType="separate"/>
      </w:r>
      <w:r w:rsidR="00AD3561">
        <w:rPr>
          <w:noProof/>
        </w:rPr>
        <w:t>92</w:t>
      </w:r>
      <w:r>
        <w:rPr>
          <w:noProof/>
        </w:rPr>
        <w:fldChar w:fldCharType="end"/>
      </w:r>
    </w:p>
    <w:p w14:paraId="2FCFEE95" w14:textId="21957BB0" w:rsidR="003B131D" w:rsidRDefault="003B131D">
      <w:pPr>
        <w:pStyle w:val="TOC2"/>
        <w:rPr>
          <w:rFonts w:asciiTheme="minorHAnsi" w:eastAsiaTheme="minorEastAsia" w:hAnsiTheme="minorHAnsi" w:cstheme="minorBidi"/>
          <w:noProof/>
          <w:sz w:val="22"/>
          <w:szCs w:val="22"/>
        </w:rPr>
      </w:pPr>
      <w:r>
        <w:rPr>
          <w:noProof/>
        </w:rPr>
        <w:t>Key findings and draft recommendations</w:t>
      </w:r>
      <w:r>
        <w:rPr>
          <w:noProof/>
        </w:rPr>
        <w:tab/>
      </w:r>
      <w:r>
        <w:rPr>
          <w:noProof/>
        </w:rPr>
        <w:fldChar w:fldCharType="begin"/>
      </w:r>
      <w:r>
        <w:rPr>
          <w:noProof/>
        </w:rPr>
        <w:instrText xml:space="preserve"> PAGEREF _Toc19280131 \h </w:instrText>
      </w:r>
      <w:r>
        <w:rPr>
          <w:noProof/>
        </w:rPr>
      </w:r>
      <w:r>
        <w:rPr>
          <w:noProof/>
        </w:rPr>
        <w:fldChar w:fldCharType="separate"/>
      </w:r>
      <w:r w:rsidR="00AD3561">
        <w:rPr>
          <w:noProof/>
        </w:rPr>
        <w:t>92</w:t>
      </w:r>
      <w:r>
        <w:rPr>
          <w:noProof/>
        </w:rPr>
        <w:fldChar w:fldCharType="end"/>
      </w:r>
    </w:p>
    <w:p w14:paraId="5700950E" w14:textId="445B8D88" w:rsidR="003B131D" w:rsidRDefault="003B131D">
      <w:pPr>
        <w:pStyle w:val="TOC2"/>
        <w:rPr>
          <w:rFonts w:asciiTheme="minorHAnsi" w:eastAsiaTheme="minorEastAsia" w:hAnsiTheme="minorHAnsi" w:cstheme="minorBidi"/>
          <w:noProof/>
          <w:sz w:val="22"/>
          <w:szCs w:val="22"/>
        </w:rPr>
      </w:pPr>
      <w:r>
        <w:rPr>
          <w:noProof/>
        </w:rPr>
        <w:t>Market overview</w:t>
      </w:r>
      <w:r>
        <w:rPr>
          <w:noProof/>
        </w:rPr>
        <w:tab/>
      </w:r>
      <w:r>
        <w:rPr>
          <w:noProof/>
        </w:rPr>
        <w:fldChar w:fldCharType="begin"/>
      </w:r>
      <w:r>
        <w:rPr>
          <w:noProof/>
        </w:rPr>
        <w:instrText xml:space="preserve"> PAGEREF _Toc19280132 \h </w:instrText>
      </w:r>
      <w:r>
        <w:rPr>
          <w:noProof/>
        </w:rPr>
      </w:r>
      <w:r>
        <w:rPr>
          <w:noProof/>
        </w:rPr>
        <w:fldChar w:fldCharType="separate"/>
      </w:r>
      <w:r w:rsidR="00AD3561">
        <w:rPr>
          <w:noProof/>
        </w:rPr>
        <w:t>93</w:t>
      </w:r>
      <w:r>
        <w:rPr>
          <w:noProof/>
        </w:rPr>
        <w:fldChar w:fldCharType="end"/>
      </w:r>
    </w:p>
    <w:p w14:paraId="4C632C80" w14:textId="5D80488E" w:rsidR="003B131D" w:rsidRDefault="003B131D">
      <w:pPr>
        <w:pStyle w:val="TOC2"/>
        <w:rPr>
          <w:rFonts w:asciiTheme="minorHAnsi" w:eastAsiaTheme="minorEastAsia" w:hAnsiTheme="minorHAnsi" w:cstheme="minorBidi"/>
          <w:noProof/>
          <w:sz w:val="22"/>
          <w:szCs w:val="22"/>
        </w:rPr>
      </w:pPr>
      <w:r>
        <w:rPr>
          <w:noProof/>
        </w:rPr>
        <w:t>Evidence of market and behavioural failures</w:t>
      </w:r>
      <w:r>
        <w:rPr>
          <w:noProof/>
        </w:rPr>
        <w:tab/>
      </w:r>
      <w:r>
        <w:rPr>
          <w:noProof/>
        </w:rPr>
        <w:fldChar w:fldCharType="begin"/>
      </w:r>
      <w:r>
        <w:rPr>
          <w:noProof/>
        </w:rPr>
        <w:instrText xml:space="preserve"> PAGEREF _Toc19280133 \h </w:instrText>
      </w:r>
      <w:r>
        <w:rPr>
          <w:noProof/>
        </w:rPr>
      </w:r>
      <w:r>
        <w:rPr>
          <w:noProof/>
        </w:rPr>
        <w:fldChar w:fldCharType="separate"/>
      </w:r>
      <w:r w:rsidR="00AD3561">
        <w:rPr>
          <w:noProof/>
        </w:rPr>
        <w:t>98</w:t>
      </w:r>
      <w:r>
        <w:rPr>
          <w:noProof/>
        </w:rPr>
        <w:fldChar w:fldCharType="end"/>
      </w:r>
    </w:p>
    <w:p w14:paraId="13AF125B" w14:textId="5EAB67DF" w:rsidR="003B131D" w:rsidRDefault="003B131D">
      <w:pPr>
        <w:pStyle w:val="TOC2"/>
        <w:rPr>
          <w:rFonts w:asciiTheme="minorHAnsi" w:eastAsiaTheme="minorEastAsia" w:hAnsiTheme="minorHAnsi" w:cstheme="minorBidi"/>
          <w:noProof/>
          <w:sz w:val="22"/>
          <w:szCs w:val="22"/>
        </w:rPr>
      </w:pPr>
      <w:r>
        <w:rPr>
          <w:noProof/>
        </w:rPr>
        <w:t>Would mandatory disclosure drive behavioural change?</w:t>
      </w:r>
      <w:r>
        <w:rPr>
          <w:noProof/>
        </w:rPr>
        <w:tab/>
      </w:r>
      <w:r>
        <w:rPr>
          <w:noProof/>
        </w:rPr>
        <w:fldChar w:fldCharType="begin"/>
      </w:r>
      <w:r>
        <w:rPr>
          <w:noProof/>
        </w:rPr>
        <w:instrText xml:space="preserve"> PAGEREF _Toc19280134 \h </w:instrText>
      </w:r>
      <w:r>
        <w:rPr>
          <w:noProof/>
        </w:rPr>
      </w:r>
      <w:r>
        <w:rPr>
          <w:noProof/>
        </w:rPr>
        <w:fldChar w:fldCharType="separate"/>
      </w:r>
      <w:r w:rsidR="00AD3561">
        <w:rPr>
          <w:noProof/>
        </w:rPr>
        <w:t>102</w:t>
      </w:r>
      <w:r>
        <w:rPr>
          <w:noProof/>
        </w:rPr>
        <w:fldChar w:fldCharType="end"/>
      </w:r>
    </w:p>
    <w:p w14:paraId="3E5FD718" w14:textId="13A179A0" w:rsidR="003B131D" w:rsidRDefault="003B131D">
      <w:pPr>
        <w:pStyle w:val="TOC2"/>
        <w:rPr>
          <w:rFonts w:asciiTheme="minorHAnsi" w:eastAsiaTheme="minorEastAsia" w:hAnsiTheme="minorHAnsi" w:cstheme="minorBidi"/>
          <w:noProof/>
          <w:sz w:val="22"/>
          <w:szCs w:val="22"/>
        </w:rPr>
      </w:pPr>
      <w:r>
        <w:rPr>
          <w:noProof/>
        </w:rPr>
        <w:t>Views of stakeholders</w:t>
      </w:r>
      <w:r>
        <w:rPr>
          <w:noProof/>
        </w:rPr>
        <w:tab/>
      </w:r>
      <w:r>
        <w:rPr>
          <w:noProof/>
        </w:rPr>
        <w:fldChar w:fldCharType="begin"/>
      </w:r>
      <w:r>
        <w:rPr>
          <w:noProof/>
        </w:rPr>
        <w:instrText xml:space="preserve"> PAGEREF _Toc19280135 \h </w:instrText>
      </w:r>
      <w:r>
        <w:rPr>
          <w:noProof/>
        </w:rPr>
      </w:r>
      <w:r>
        <w:rPr>
          <w:noProof/>
        </w:rPr>
        <w:fldChar w:fldCharType="separate"/>
      </w:r>
      <w:r w:rsidR="00AD3561">
        <w:rPr>
          <w:noProof/>
        </w:rPr>
        <w:t>103</w:t>
      </w:r>
      <w:r>
        <w:rPr>
          <w:noProof/>
        </w:rPr>
        <w:fldChar w:fldCharType="end"/>
      </w:r>
    </w:p>
    <w:p w14:paraId="7DCB89BC" w14:textId="53389D79" w:rsidR="003B131D" w:rsidRDefault="003B131D">
      <w:pPr>
        <w:pStyle w:val="TOC2"/>
        <w:rPr>
          <w:rFonts w:asciiTheme="minorHAnsi" w:eastAsiaTheme="minorEastAsia" w:hAnsiTheme="minorHAnsi" w:cstheme="minorBidi"/>
          <w:noProof/>
          <w:sz w:val="22"/>
          <w:szCs w:val="22"/>
        </w:rPr>
      </w:pPr>
      <w:r>
        <w:rPr>
          <w:noProof/>
        </w:rPr>
        <w:t>Costs and benefits of mandatory disclosure for shopping centres</w:t>
      </w:r>
      <w:r>
        <w:rPr>
          <w:noProof/>
        </w:rPr>
        <w:tab/>
      </w:r>
      <w:r>
        <w:rPr>
          <w:noProof/>
        </w:rPr>
        <w:fldChar w:fldCharType="begin"/>
      </w:r>
      <w:r>
        <w:rPr>
          <w:noProof/>
        </w:rPr>
        <w:instrText xml:space="preserve"> PAGEREF _Toc19280136 \h </w:instrText>
      </w:r>
      <w:r>
        <w:rPr>
          <w:noProof/>
        </w:rPr>
      </w:r>
      <w:r>
        <w:rPr>
          <w:noProof/>
        </w:rPr>
        <w:fldChar w:fldCharType="separate"/>
      </w:r>
      <w:r w:rsidR="00AD3561">
        <w:rPr>
          <w:noProof/>
        </w:rPr>
        <w:t>103</w:t>
      </w:r>
      <w:r>
        <w:rPr>
          <w:noProof/>
        </w:rPr>
        <w:fldChar w:fldCharType="end"/>
      </w:r>
    </w:p>
    <w:p w14:paraId="046FDF38" w14:textId="58A86E23" w:rsidR="003B131D" w:rsidRDefault="003B131D">
      <w:pPr>
        <w:pStyle w:val="TOC2"/>
        <w:rPr>
          <w:rFonts w:asciiTheme="minorHAnsi" w:eastAsiaTheme="minorEastAsia" w:hAnsiTheme="minorHAnsi" w:cstheme="minorBidi"/>
          <w:noProof/>
          <w:sz w:val="22"/>
          <w:szCs w:val="22"/>
        </w:rPr>
      </w:pPr>
      <w:r>
        <w:rPr>
          <w:noProof/>
        </w:rPr>
        <w:t>Feedback on our draft recommendations</w:t>
      </w:r>
      <w:r>
        <w:rPr>
          <w:noProof/>
        </w:rPr>
        <w:tab/>
      </w:r>
      <w:r>
        <w:rPr>
          <w:noProof/>
        </w:rPr>
        <w:fldChar w:fldCharType="begin"/>
      </w:r>
      <w:r>
        <w:rPr>
          <w:noProof/>
        </w:rPr>
        <w:instrText xml:space="preserve"> PAGEREF _Toc19280137 \h </w:instrText>
      </w:r>
      <w:r>
        <w:rPr>
          <w:noProof/>
        </w:rPr>
      </w:r>
      <w:r>
        <w:rPr>
          <w:noProof/>
        </w:rPr>
        <w:fldChar w:fldCharType="separate"/>
      </w:r>
      <w:r w:rsidR="00AD3561">
        <w:rPr>
          <w:noProof/>
        </w:rPr>
        <w:t>106</w:t>
      </w:r>
      <w:r>
        <w:rPr>
          <w:noProof/>
        </w:rPr>
        <w:fldChar w:fldCharType="end"/>
      </w:r>
    </w:p>
    <w:p w14:paraId="52D32CCD" w14:textId="2A0394E1" w:rsidR="003B131D" w:rsidRDefault="003B131D">
      <w:pPr>
        <w:pStyle w:val="TOC1"/>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Hotels (accommodation)</w:t>
      </w:r>
      <w:r>
        <w:rPr>
          <w:noProof/>
        </w:rPr>
        <w:tab/>
      </w:r>
      <w:r>
        <w:rPr>
          <w:noProof/>
        </w:rPr>
        <w:fldChar w:fldCharType="begin"/>
      </w:r>
      <w:r>
        <w:rPr>
          <w:noProof/>
        </w:rPr>
        <w:instrText xml:space="preserve"> PAGEREF _Toc19280138 \h </w:instrText>
      </w:r>
      <w:r>
        <w:rPr>
          <w:noProof/>
        </w:rPr>
      </w:r>
      <w:r>
        <w:rPr>
          <w:noProof/>
        </w:rPr>
        <w:fldChar w:fldCharType="separate"/>
      </w:r>
      <w:r w:rsidR="00AD3561">
        <w:rPr>
          <w:noProof/>
        </w:rPr>
        <w:t>107</w:t>
      </w:r>
      <w:r>
        <w:rPr>
          <w:noProof/>
        </w:rPr>
        <w:fldChar w:fldCharType="end"/>
      </w:r>
    </w:p>
    <w:p w14:paraId="0A6A9CED" w14:textId="6C545DBC" w:rsidR="003B131D" w:rsidRDefault="003B131D">
      <w:pPr>
        <w:pStyle w:val="TOC2"/>
        <w:rPr>
          <w:rFonts w:asciiTheme="minorHAnsi" w:eastAsiaTheme="minorEastAsia" w:hAnsiTheme="minorHAnsi" w:cstheme="minorBidi"/>
          <w:noProof/>
          <w:sz w:val="22"/>
          <w:szCs w:val="22"/>
        </w:rPr>
      </w:pPr>
      <w:r>
        <w:rPr>
          <w:noProof/>
        </w:rPr>
        <w:t>Key findings and draft recommendations</w:t>
      </w:r>
      <w:r>
        <w:rPr>
          <w:noProof/>
        </w:rPr>
        <w:tab/>
      </w:r>
      <w:r>
        <w:rPr>
          <w:noProof/>
        </w:rPr>
        <w:fldChar w:fldCharType="begin"/>
      </w:r>
      <w:r>
        <w:rPr>
          <w:noProof/>
        </w:rPr>
        <w:instrText xml:space="preserve"> PAGEREF _Toc19280139 \h </w:instrText>
      </w:r>
      <w:r>
        <w:rPr>
          <w:noProof/>
        </w:rPr>
      </w:r>
      <w:r>
        <w:rPr>
          <w:noProof/>
        </w:rPr>
        <w:fldChar w:fldCharType="separate"/>
      </w:r>
      <w:r w:rsidR="00AD3561">
        <w:rPr>
          <w:noProof/>
        </w:rPr>
        <w:t>107</w:t>
      </w:r>
      <w:r>
        <w:rPr>
          <w:noProof/>
        </w:rPr>
        <w:fldChar w:fldCharType="end"/>
      </w:r>
    </w:p>
    <w:p w14:paraId="3712EB84" w14:textId="4EF90774" w:rsidR="003B131D" w:rsidRDefault="003B131D">
      <w:pPr>
        <w:pStyle w:val="TOC2"/>
        <w:rPr>
          <w:rFonts w:asciiTheme="minorHAnsi" w:eastAsiaTheme="minorEastAsia" w:hAnsiTheme="minorHAnsi" w:cstheme="minorBidi"/>
          <w:noProof/>
          <w:sz w:val="22"/>
          <w:szCs w:val="22"/>
        </w:rPr>
      </w:pPr>
      <w:r>
        <w:rPr>
          <w:noProof/>
        </w:rPr>
        <w:t>Market overview</w:t>
      </w:r>
      <w:r>
        <w:rPr>
          <w:noProof/>
        </w:rPr>
        <w:tab/>
      </w:r>
      <w:r>
        <w:rPr>
          <w:noProof/>
        </w:rPr>
        <w:fldChar w:fldCharType="begin"/>
      </w:r>
      <w:r>
        <w:rPr>
          <w:noProof/>
        </w:rPr>
        <w:instrText xml:space="preserve"> PAGEREF _Toc19280140 \h </w:instrText>
      </w:r>
      <w:r>
        <w:rPr>
          <w:noProof/>
        </w:rPr>
      </w:r>
      <w:r>
        <w:rPr>
          <w:noProof/>
        </w:rPr>
        <w:fldChar w:fldCharType="separate"/>
      </w:r>
      <w:r w:rsidR="00AD3561">
        <w:rPr>
          <w:noProof/>
        </w:rPr>
        <w:t>109</w:t>
      </w:r>
      <w:r>
        <w:rPr>
          <w:noProof/>
        </w:rPr>
        <w:fldChar w:fldCharType="end"/>
      </w:r>
    </w:p>
    <w:p w14:paraId="6BE2025D" w14:textId="08844722" w:rsidR="003B131D" w:rsidRDefault="003B131D">
      <w:pPr>
        <w:pStyle w:val="TOC2"/>
        <w:rPr>
          <w:rFonts w:asciiTheme="minorHAnsi" w:eastAsiaTheme="minorEastAsia" w:hAnsiTheme="minorHAnsi" w:cstheme="minorBidi"/>
          <w:noProof/>
          <w:sz w:val="22"/>
          <w:szCs w:val="22"/>
        </w:rPr>
      </w:pPr>
      <w:r>
        <w:rPr>
          <w:noProof/>
          <w:lang w:eastAsia="en-US"/>
        </w:rPr>
        <w:t>The effectiveness of ratings tools to reduce energy consumption</w:t>
      </w:r>
      <w:r>
        <w:rPr>
          <w:noProof/>
        </w:rPr>
        <w:tab/>
      </w:r>
      <w:r>
        <w:rPr>
          <w:noProof/>
        </w:rPr>
        <w:fldChar w:fldCharType="begin"/>
      </w:r>
      <w:r>
        <w:rPr>
          <w:noProof/>
        </w:rPr>
        <w:instrText xml:space="preserve"> PAGEREF _Toc19280141 \h </w:instrText>
      </w:r>
      <w:r>
        <w:rPr>
          <w:noProof/>
        </w:rPr>
      </w:r>
      <w:r>
        <w:rPr>
          <w:noProof/>
        </w:rPr>
        <w:fldChar w:fldCharType="separate"/>
      </w:r>
      <w:r w:rsidR="00AD3561">
        <w:rPr>
          <w:noProof/>
        </w:rPr>
        <w:t>114</w:t>
      </w:r>
      <w:r>
        <w:rPr>
          <w:noProof/>
        </w:rPr>
        <w:fldChar w:fldCharType="end"/>
      </w:r>
    </w:p>
    <w:p w14:paraId="58819AB3" w14:textId="65B5D891" w:rsidR="003B131D" w:rsidRDefault="003B131D">
      <w:pPr>
        <w:pStyle w:val="TOC2"/>
        <w:rPr>
          <w:rFonts w:asciiTheme="minorHAnsi" w:eastAsiaTheme="minorEastAsia" w:hAnsiTheme="minorHAnsi" w:cstheme="minorBidi"/>
          <w:noProof/>
          <w:sz w:val="22"/>
          <w:szCs w:val="22"/>
        </w:rPr>
      </w:pPr>
      <w:r>
        <w:rPr>
          <w:noProof/>
        </w:rPr>
        <w:t>Energy performance of hotels</w:t>
      </w:r>
      <w:r>
        <w:rPr>
          <w:noProof/>
        </w:rPr>
        <w:tab/>
      </w:r>
      <w:r>
        <w:rPr>
          <w:noProof/>
        </w:rPr>
        <w:fldChar w:fldCharType="begin"/>
      </w:r>
      <w:r>
        <w:rPr>
          <w:noProof/>
        </w:rPr>
        <w:instrText xml:space="preserve"> PAGEREF _Toc19280142 \h </w:instrText>
      </w:r>
      <w:r>
        <w:rPr>
          <w:noProof/>
        </w:rPr>
      </w:r>
      <w:r>
        <w:rPr>
          <w:noProof/>
        </w:rPr>
        <w:fldChar w:fldCharType="separate"/>
      </w:r>
      <w:r w:rsidR="00AD3561">
        <w:rPr>
          <w:noProof/>
        </w:rPr>
        <w:t>120</w:t>
      </w:r>
      <w:r>
        <w:rPr>
          <w:noProof/>
        </w:rPr>
        <w:fldChar w:fldCharType="end"/>
      </w:r>
    </w:p>
    <w:p w14:paraId="7F18BB09" w14:textId="5E1D67A8" w:rsidR="003B131D" w:rsidRDefault="003B131D">
      <w:pPr>
        <w:pStyle w:val="TOC2"/>
        <w:rPr>
          <w:rFonts w:asciiTheme="minorHAnsi" w:eastAsiaTheme="minorEastAsia" w:hAnsiTheme="minorHAnsi" w:cstheme="minorBidi"/>
          <w:noProof/>
          <w:sz w:val="22"/>
          <w:szCs w:val="22"/>
        </w:rPr>
      </w:pPr>
      <w:r>
        <w:rPr>
          <w:noProof/>
        </w:rPr>
        <w:t>Case studies of hotels reducing energy</w:t>
      </w:r>
      <w:r>
        <w:rPr>
          <w:noProof/>
        </w:rPr>
        <w:tab/>
      </w:r>
      <w:r>
        <w:rPr>
          <w:noProof/>
        </w:rPr>
        <w:fldChar w:fldCharType="begin"/>
      </w:r>
      <w:r>
        <w:rPr>
          <w:noProof/>
        </w:rPr>
        <w:instrText xml:space="preserve"> PAGEREF _Toc19280143 \h </w:instrText>
      </w:r>
      <w:r>
        <w:rPr>
          <w:noProof/>
        </w:rPr>
      </w:r>
      <w:r>
        <w:rPr>
          <w:noProof/>
        </w:rPr>
        <w:fldChar w:fldCharType="separate"/>
      </w:r>
      <w:r w:rsidR="00AD3561">
        <w:rPr>
          <w:noProof/>
        </w:rPr>
        <w:t>122</w:t>
      </w:r>
      <w:r>
        <w:rPr>
          <w:noProof/>
        </w:rPr>
        <w:fldChar w:fldCharType="end"/>
      </w:r>
    </w:p>
    <w:p w14:paraId="72CC4BB1" w14:textId="123C7015" w:rsidR="003B131D" w:rsidRDefault="003B131D">
      <w:pPr>
        <w:pStyle w:val="TOC2"/>
        <w:rPr>
          <w:rFonts w:asciiTheme="minorHAnsi" w:eastAsiaTheme="minorEastAsia" w:hAnsiTheme="minorHAnsi" w:cstheme="minorBidi"/>
          <w:noProof/>
          <w:sz w:val="22"/>
          <w:szCs w:val="22"/>
        </w:rPr>
      </w:pPr>
      <w:r>
        <w:rPr>
          <w:noProof/>
        </w:rPr>
        <w:t>Evidence of market and behavioural failures</w:t>
      </w:r>
      <w:r>
        <w:rPr>
          <w:noProof/>
        </w:rPr>
        <w:tab/>
      </w:r>
      <w:r>
        <w:rPr>
          <w:noProof/>
        </w:rPr>
        <w:fldChar w:fldCharType="begin"/>
      </w:r>
      <w:r>
        <w:rPr>
          <w:noProof/>
        </w:rPr>
        <w:instrText xml:space="preserve"> PAGEREF _Toc19280144 \h </w:instrText>
      </w:r>
      <w:r>
        <w:rPr>
          <w:noProof/>
        </w:rPr>
      </w:r>
      <w:r>
        <w:rPr>
          <w:noProof/>
        </w:rPr>
        <w:fldChar w:fldCharType="separate"/>
      </w:r>
      <w:r w:rsidR="00AD3561">
        <w:rPr>
          <w:noProof/>
        </w:rPr>
        <w:t>126</w:t>
      </w:r>
      <w:r>
        <w:rPr>
          <w:noProof/>
        </w:rPr>
        <w:fldChar w:fldCharType="end"/>
      </w:r>
    </w:p>
    <w:p w14:paraId="2280B638" w14:textId="488EB51A" w:rsidR="003B131D" w:rsidRDefault="003B131D">
      <w:pPr>
        <w:pStyle w:val="TOC2"/>
        <w:rPr>
          <w:rFonts w:asciiTheme="minorHAnsi" w:eastAsiaTheme="minorEastAsia" w:hAnsiTheme="minorHAnsi" w:cstheme="minorBidi"/>
          <w:noProof/>
          <w:sz w:val="22"/>
          <w:szCs w:val="22"/>
        </w:rPr>
      </w:pPr>
      <w:r>
        <w:rPr>
          <w:noProof/>
        </w:rPr>
        <w:t>Would mandatory disclosure drive behavioural change?</w:t>
      </w:r>
      <w:r>
        <w:rPr>
          <w:noProof/>
        </w:rPr>
        <w:tab/>
      </w:r>
      <w:r>
        <w:rPr>
          <w:noProof/>
        </w:rPr>
        <w:fldChar w:fldCharType="begin"/>
      </w:r>
      <w:r>
        <w:rPr>
          <w:noProof/>
        </w:rPr>
        <w:instrText xml:space="preserve"> PAGEREF _Toc19280145 \h </w:instrText>
      </w:r>
      <w:r>
        <w:rPr>
          <w:noProof/>
        </w:rPr>
      </w:r>
      <w:r>
        <w:rPr>
          <w:noProof/>
        </w:rPr>
        <w:fldChar w:fldCharType="separate"/>
      </w:r>
      <w:r w:rsidR="00AD3561">
        <w:rPr>
          <w:noProof/>
        </w:rPr>
        <w:t>128</w:t>
      </w:r>
      <w:r>
        <w:rPr>
          <w:noProof/>
        </w:rPr>
        <w:fldChar w:fldCharType="end"/>
      </w:r>
    </w:p>
    <w:p w14:paraId="3EDB51FE" w14:textId="4DD4E3EE" w:rsidR="003B131D" w:rsidRDefault="003B131D">
      <w:pPr>
        <w:pStyle w:val="TOC2"/>
        <w:rPr>
          <w:rFonts w:asciiTheme="minorHAnsi" w:eastAsiaTheme="minorEastAsia" w:hAnsiTheme="minorHAnsi" w:cstheme="minorBidi"/>
          <w:noProof/>
          <w:sz w:val="22"/>
          <w:szCs w:val="22"/>
        </w:rPr>
      </w:pPr>
      <w:r>
        <w:rPr>
          <w:noProof/>
        </w:rPr>
        <w:t>Options for mandatory disclosure</w:t>
      </w:r>
      <w:r>
        <w:rPr>
          <w:noProof/>
        </w:rPr>
        <w:tab/>
      </w:r>
      <w:r>
        <w:rPr>
          <w:noProof/>
        </w:rPr>
        <w:fldChar w:fldCharType="begin"/>
      </w:r>
      <w:r>
        <w:rPr>
          <w:noProof/>
        </w:rPr>
        <w:instrText xml:space="preserve"> PAGEREF _Toc19280146 \h </w:instrText>
      </w:r>
      <w:r>
        <w:rPr>
          <w:noProof/>
        </w:rPr>
      </w:r>
      <w:r>
        <w:rPr>
          <w:noProof/>
        </w:rPr>
        <w:fldChar w:fldCharType="separate"/>
      </w:r>
      <w:r w:rsidR="00AD3561">
        <w:rPr>
          <w:noProof/>
        </w:rPr>
        <w:t>128</w:t>
      </w:r>
      <w:r>
        <w:rPr>
          <w:noProof/>
        </w:rPr>
        <w:fldChar w:fldCharType="end"/>
      </w:r>
    </w:p>
    <w:p w14:paraId="7EE55A55" w14:textId="53331479" w:rsidR="003B131D" w:rsidRDefault="003B131D">
      <w:pPr>
        <w:pStyle w:val="TOC2"/>
        <w:rPr>
          <w:rFonts w:asciiTheme="minorHAnsi" w:eastAsiaTheme="minorEastAsia" w:hAnsiTheme="minorHAnsi" w:cstheme="minorBidi"/>
          <w:noProof/>
          <w:sz w:val="22"/>
          <w:szCs w:val="22"/>
        </w:rPr>
      </w:pPr>
      <w:r>
        <w:rPr>
          <w:noProof/>
        </w:rPr>
        <w:t>Costs and benefits of mandatory disclosure</w:t>
      </w:r>
      <w:r>
        <w:rPr>
          <w:noProof/>
        </w:rPr>
        <w:tab/>
      </w:r>
      <w:r>
        <w:rPr>
          <w:noProof/>
        </w:rPr>
        <w:fldChar w:fldCharType="begin"/>
      </w:r>
      <w:r>
        <w:rPr>
          <w:noProof/>
        </w:rPr>
        <w:instrText xml:space="preserve"> PAGEREF _Toc19280147 \h </w:instrText>
      </w:r>
      <w:r>
        <w:rPr>
          <w:noProof/>
        </w:rPr>
      </w:r>
      <w:r>
        <w:rPr>
          <w:noProof/>
        </w:rPr>
        <w:fldChar w:fldCharType="separate"/>
      </w:r>
      <w:r w:rsidR="00AD3561">
        <w:rPr>
          <w:noProof/>
        </w:rPr>
        <w:t>129</w:t>
      </w:r>
      <w:r>
        <w:rPr>
          <w:noProof/>
        </w:rPr>
        <w:fldChar w:fldCharType="end"/>
      </w:r>
    </w:p>
    <w:p w14:paraId="3FC75FA5" w14:textId="04733C70" w:rsidR="003B131D" w:rsidRDefault="003B131D">
      <w:pPr>
        <w:pStyle w:val="TOC2"/>
        <w:rPr>
          <w:rFonts w:asciiTheme="minorHAnsi" w:eastAsiaTheme="minorEastAsia" w:hAnsiTheme="minorHAnsi" w:cstheme="minorBidi"/>
          <w:noProof/>
          <w:sz w:val="22"/>
          <w:szCs w:val="22"/>
        </w:rPr>
      </w:pPr>
      <w:r>
        <w:rPr>
          <w:noProof/>
        </w:rPr>
        <w:t>Views of stakeholders</w:t>
      </w:r>
      <w:r>
        <w:rPr>
          <w:noProof/>
        </w:rPr>
        <w:tab/>
      </w:r>
      <w:r>
        <w:rPr>
          <w:noProof/>
        </w:rPr>
        <w:fldChar w:fldCharType="begin"/>
      </w:r>
      <w:r>
        <w:rPr>
          <w:noProof/>
        </w:rPr>
        <w:instrText xml:space="preserve"> PAGEREF _Toc19280148 \h </w:instrText>
      </w:r>
      <w:r>
        <w:rPr>
          <w:noProof/>
        </w:rPr>
      </w:r>
      <w:r>
        <w:rPr>
          <w:noProof/>
        </w:rPr>
        <w:fldChar w:fldCharType="separate"/>
      </w:r>
      <w:r w:rsidR="00AD3561">
        <w:rPr>
          <w:noProof/>
        </w:rPr>
        <w:t>132</w:t>
      </w:r>
      <w:r>
        <w:rPr>
          <w:noProof/>
        </w:rPr>
        <w:fldChar w:fldCharType="end"/>
      </w:r>
    </w:p>
    <w:p w14:paraId="5EAD2504" w14:textId="2D3BEACF" w:rsidR="003B131D" w:rsidRDefault="003B131D">
      <w:pPr>
        <w:pStyle w:val="TOC2"/>
        <w:rPr>
          <w:rFonts w:asciiTheme="minorHAnsi" w:eastAsiaTheme="minorEastAsia" w:hAnsiTheme="minorHAnsi" w:cstheme="minorBidi"/>
          <w:noProof/>
          <w:sz w:val="22"/>
          <w:szCs w:val="22"/>
        </w:rPr>
      </w:pPr>
      <w:r>
        <w:rPr>
          <w:noProof/>
        </w:rPr>
        <w:t>Feedback</w:t>
      </w:r>
      <w:r>
        <w:rPr>
          <w:noProof/>
        </w:rPr>
        <w:tab/>
      </w:r>
      <w:r>
        <w:rPr>
          <w:noProof/>
        </w:rPr>
        <w:fldChar w:fldCharType="begin"/>
      </w:r>
      <w:r>
        <w:rPr>
          <w:noProof/>
        </w:rPr>
        <w:instrText xml:space="preserve"> PAGEREF _Toc19280149 \h </w:instrText>
      </w:r>
      <w:r>
        <w:rPr>
          <w:noProof/>
        </w:rPr>
      </w:r>
      <w:r>
        <w:rPr>
          <w:noProof/>
        </w:rPr>
        <w:fldChar w:fldCharType="separate"/>
      </w:r>
      <w:r w:rsidR="00AD3561">
        <w:rPr>
          <w:noProof/>
        </w:rPr>
        <w:t>133</w:t>
      </w:r>
      <w:r>
        <w:rPr>
          <w:noProof/>
        </w:rPr>
        <w:fldChar w:fldCharType="end"/>
      </w:r>
    </w:p>
    <w:p w14:paraId="3371EFC2" w14:textId="4ECEBD61" w:rsidR="003B131D" w:rsidRDefault="003B131D">
      <w:pPr>
        <w:pStyle w:val="TOC1"/>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Data centres</w:t>
      </w:r>
      <w:r>
        <w:rPr>
          <w:noProof/>
        </w:rPr>
        <w:tab/>
      </w:r>
      <w:r>
        <w:rPr>
          <w:noProof/>
        </w:rPr>
        <w:fldChar w:fldCharType="begin"/>
      </w:r>
      <w:r>
        <w:rPr>
          <w:noProof/>
        </w:rPr>
        <w:instrText xml:space="preserve"> PAGEREF _Toc19280150 \h </w:instrText>
      </w:r>
      <w:r>
        <w:rPr>
          <w:noProof/>
        </w:rPr>
      </w:r>
      <w:r>
        <w:rPr>
          <w:noProof/>
        </w:rPr>
        <w:fldChar w:fldCharType="separate"/>
      </w:r>
      <w:r w:rsidR="00AD3561">
        <w:rPr>
          <w:noProof/>
        </w:rPr>
        <w:t>134</w:t>
      </w:r>
      <w:r>
        <w:rPr>
          <w:noProof/>
        </w:rPr>
        <w:fldChar w:fldCharType="end"/>
      </w:r>
    </w:p>
    <w:p w14:paraId="3507AF22" w14:textId="0A1A26BC" w:rsidR="003B131D" w:rsidRDefault="003B131D">
      <w:pPr>
        <w:pStyle w:val="TOC2"/>
        <w:rPr>
          <w:rFonts w:asciiTheme="minorHAnsi" w:eastAsiaTheme="minorEastAsia" w:hAnsiTheme="minorHAnsi" w:cstheme="minorBidi"/>
          <w:noProof/>
          <w:sz w:val="22"/>
          <w:szCs w:val="22"/>
        </w:rPr>
      </w:pPr>
      <w:r>
        <w:rPr>
          <w:noProof/>
        </w:rPr>
        <w:t>Key findings and draft recommendations</w:t>
      </w:r>
      <w:r>
        <w:rPr>
          <w:noProof/>
        </w:rPr>
        <w:tab/>
      </w:r>
      <w:r>
        <w:rPr>
          <w:noProof/>
        </w:rPr>
        <w:fldChar w:fldCharType="begin"/>
      </w:r>
      <w:r>
        <w:rPr>
          <w:noProof/>
        </w:rPr>
        <w:instrText xml:space="preserve"> PAGEREF _Toc19280151 \h </w:instrText>
      </w:r>
      <w:r>
        <w:rPr>
          <w:noProof/>
        </w:rPr>
      </w:r>
      <w:r>
        <w:rPr>
          <w:noProof/>
        </w:rPr>
        <w:fldChar w:fldCharType="separate"/>
      </w:r>
      <w:r w:rsidR="00AD3561">
        <w:rPr>
          <w:noProof/>
        </w:rPr>
        <w:t>134</w:t>
      </w:r>
      <w:r>
        <w:rPr>
          <w:noProof/>
        </w:rPr>
        <w:fldChar w:fldCharType="end"/>
      </w:r>
    </w:p>
    <w:p w14:paraId="02D67409" w14:textId="1FC1E178" w:rsidR="003B131D" w:rsidRDefault="003B131D">
      <w:pPr>
        <w:pStyle w:val="TOC2"/>
        <w:rPr>
          <w:rFonts w:asciiTheme="minorHAnsi" w:eastAsiaTheme="minorEastAsia" w:hAnsiTheme="minorHAnsi" w:cstheme="minorBidi"/>
          <w:noProof/>
          <w:sz w:val="22"/>
          <w:szCs w:val="22"/>
        </w:rPr>
      </w:pPr>
      <w:r>
        <w:rPr>
          <w:noProof/>
        </w:rPr>
        <w:t>Market overview</w:t>
      </w:r>
      <w:r>
        <w:rPr>
          <w:noProof/>
        </w:rPr>
        <w:tab/>
      </w:r>
      <w:r>
        <w:rPr>
          <w:noProof/>
        </w:rPr>
        <w:fldChar w:fldCharType="begin"/>
      </w:r>
      <w:r>
        <w:rPr>
          <w:noProof/>
        </w:rPr>
        <w:instrText xml:space="preserve"> PAGEREF _Toc19280152 \h </w:instrText>
      </w:r>
      <w:r>
        <w:rPr>
          <w:noProof/>
        </w:rPr>
      </w:r>
      <w:r>
        <w:rPr>
          <w:noProof/>
        </w:rPr>
        <w:fldChar w:fldCharType="separate"/>
      </w:r>
      <w:r w:rsidR="00AD3561">
        <w:rPr>
          <w:noProof/>
        </w:rPr>
        <w:t>135</w:t>
      </w:r>
      <w:r>
        <w:rPr>
          <w:noProof/>
        </w:rPr>
        <w:fldChar w:fldCharType="end"/>
      </w:r>
    </w:p>
    <w:p w14:paraId="782E3816" w14:textId="7496FF6F" w:rsidR="003B131D" w:rsidRDefault="003B131D">
      <w:pPr>
        <w:pStyle w:val="TOC2"/>
        <w:rPr>
          <w:rFonts w:asciiTheme="minorHAnsi" w:eastAsiaTheme="minorEastAsia" w:hAnsiTheme="minorHAnsi" w:cstheme="minorBidi"/>
          <w:noProof/>
          <w:sz w:val="22"/>
          <w:szCs w:val="22"/>
        </w:rPr>
      </w:pPr>
      <w:r>
        <w:rPr>
          <w:noProof/>
        </w:rPr>
        <w:t>Options for mandatory disclosure</w:t>
      </w:r>
      <w:r>
        <w:rPr>
          <w:noProof/>
        </w:rPr>
        <w:tab/>
      </w:r>
      <w:r>
        <w:rPr>
          <w:noProof/>
        </w:rPr>
        <w:fldChar w:fldCharType="begin"/>
      </w:r>
      <w:r>
        <w:rPr>
          <w:noProof/>
        </w:rPr>
        <w:instrText xml:space="preserve"> PAGEREF _Toc19280153 \h </w:instrText>
      </w:r>
      <w:r>
        <w:rPr>
          <w:noProof/>
        </w:rPr>
      </w:r>
      <w:r>
        <w:rPr>
          <w:noProof/>
        </w:rPr>
        <w:fldChar w:fldCharType="separate"/>
      </w:r>
      <w:r w:rsidR="00AD3561">
        <w:rPr>
          <w:noProof/>
        </w:rPr>
        <w:t>137</w:t>
      </w:r>
      <w:r>
        <w:rPr>
          <w:noProof/>
        </w:rPr>
        <w:fldChar w:fldCharType="end"/>
      </w:r>
    </w:p>
    <w:p w14:paraId="202A9464" w14:textId="1CFC493F" w:rsidR="003B131D" w:rsidRDefault="003B131D">
      <w:pPr>
        <w:pStyle w:val="TOC2"/>
        <w:rPr>
          <w:rFonts w:asciiTheme="minorHAnsi" w:eastAsiaTheme="minorEastAsia" w:hAnsiTheme="minorHAnsi" w:cstheme="minorBidi"/>
          <w:noProof/>
          <w:sz w:val="22"/>
          <w:szCs w:val="22"/>
        </w:rPr>
      </w:pPr>
      <w:r>
        <w:rPr>
          <w:noProof/>
        </w:rPr>
        <w:t>Evidence of market and behavioural failures</w:t>
      </w:r>
      <w:r>
        <w:rPr>
          <w:noProof/>
        </w:rPr>
        <w:tab/>
      </w:r>
      <w:r>
        <w:rPr>
          <w:noProof/>
        </w:rPr>
        <w:fldChar w:fldCharType="begin"/>
      </w:r>
      <w:r>
        <w:rPr>
          <w:noProof/>
        </w:rPr>
        <w:instrText xml:space="preserve"> PAGEREF _Toc19280154 \h </w:instrText>
      </w:r>
      <w:r>
        <w:rPr>
          <w:noProof/>
        </w:rPr>
      </w:r>
      <w:r>
        <w:rPr>
          <w:noProof/>
        </w:rPr>
        <w:fldChar w:fldCharType="separate"/>
      </w:r>
      <w:r w:rsidR="00AD3561">
        <w:rPr>
          <w:noProof/>
        </w:rPr>
        <w:t>140</w:t>
      </w:r>
      <w:r>
        <w:rPr>
          <w:noProof/>
        </w:rPr>
        <w:fldChar w:fldCharType="end"/>
      </w:r>
    </w:p>
    <w:p w14:paraId="1C8B7634" w14:textId="37FC3500" w:rsidR="003B131D" w:rsidRDefault="003B131D">
      <w:pPr>
        <w:pStyle w:val="TOC2"/>
        <w:rPr>
          <w:rFonts w:asciiTheme="minorHAnsi" w:eastAsiaTheme="minorEastAsia" w:hAnsiTheme="minorHAnsi" w:cstheme="minorBidi"/>
          <w:noProof/>
          <w:sz w:val="22"/>
          <w:szCs w:val="22"/>
        </w:rPr>
      </w:pPr>
      <w:r>
        <w:rPr>
          <w:noProof/>
        </w:rPr>
        <w:t>Would mandatory disclosure drive behavioural change?</w:t>
      </w:r>
      <w:r>
        <w:rPr>
          <w:noProof/>
        </w:rPr>
        <w:tab/>
      </w:r>
      <w:r>
        <w:rPr>
          <w:noProof/>
        </w:rPr>
        <w:fldChar w:fldCharType="begin"/>
      </w:r>
      <w:r>
        <w:rPr>
          <w:noProof/>
        </w:rPr>
        <w:instrText xml:space="preserve"> PAGEREF _Toc19280155 \h </w:instrText>
      </w:r>
      <w:r>
        <w:rPr>
          <w:noProof/>
        </w:rPr>
      </w:r>
      <w:r>
        <w:rPr>
          <w:noProof/>
        </w:rPr>
        <w:fldChar w:fldCharType="separate"/>
      </w:r>
      <w:r w:rsidR="00AD3561">
        <w:rPr>
          <w:noProof/>
        </w:rPr>
        <w:t>144</w:t>
      </w:r>
      <w:r>
        <w:rPr>
          <w:noProof/>
        </w:rPr>
        <w:fldChar w:fldCharType="end"/>
      </w:r>
    </w:p>
    <w:p w14:paraId="2D42735F" w14:textId="07407DCB" w:rsidR="003B131D" w:rsidRDefault="003B131D">
      <w:pPr>
        <w:pStyle w:val="TOC2"/>
        <w:rPr>
          <w:rFonts w:asciiTheme="minorHAnsi" w:eastAsiaTheme="minorEastAsia" w:hAnsiTheme="minorHAnsi" w:cstheme="minorBidi"/>
          <w:noProof/>
          <w:sz w:val="22"/>
          <w:szCs w:val="22"/>
        </w:rPr>
      </w:pPr>
      <w:r>
        <w:rPr>
          <w:noProof/>
        </w:rPr>
        <w:t>Stakeholder views</w:t>
      </w:r>
      <w:r>
        <w:rPr>
          <w:noProof/>
        </w:rPr>
        <w:tab/>
      </w:r>
      <w:r>
        <w:rPr>
          <w:noProof/>
        </w:rPr>
        <w:fldChar w:fldCharType="begin"/>
      </w:r>
      <w:r>
        <w:rPr>
          <w:noProof/>
        </w:rPr>
        <w:instrText xml:space="preserve"> PAGEREF _Toc19280156 \h </w:instrText>
      </w:r>
      <w:r>
        <w:rPr>
          <w:noProof/>
        </w:rPr>
      </w:r>
      <w:r>
        <w:rPr>
          <w:noProof/>
        </w:rPr>
        <w:fldChar w:fldCharType="separate"/>
      </w:r>
      <w:r w:rsidR="00AD3561">
        <w:rPr>
          <w:noProof/>
        </w:rPr>
        <w:t>146</w:t>
      </w:r>
      <w:r>
        <w:rPr>
          <w:noProof/>
        </w:rPr>
        <w:fldChar w:fldCharType="end"/>
      </w:r>
    </w:p>
    <w:p w14:paraId="6950CC1D" w14:textId="72A65478" w:rsidR="003B131D" w:rsidRDefault="003B131D">
      <w:pPr>
        <w:pStyle w:val="TOC2"/>
        <w:rPr>
          <w:rFonts w:asciiTheme="minorHAnsi" w:eastAsiaTheme="minorEastAsia" w:hAnsiTheme="minorHAnsi" w:cstheme="minorBidi"/>
          <w:noProof/>
          <w:sz w:val="22"/>
          <w:szCs w:val="22"/>
        </w:rPr>
      </w:pPr>
      <w:r>
        <w:rPr>
          <w:noProof/>
        </w:rPr>
        <w:t>Information on costs and benefits</w:t>
      </w:r>
      <w:r>
        <w:rPr>
          <w:noProof/>
        </w:rPr>
        <w:tab/>
      </w:r>
      <w:r>
        <w:rPr>
          <w:noProof/>
        </w:rPr>
        <w:fldChar w:fldCharType="begin"/>
      </w:r>
      <w:r>
        <w:rPr>
          <w:noProof/>
        </w:rPr>
        <w:instrText xml:space="preserve"> PAGEREF _Toc19280157 \h </w:instrText>
      </w:r>
      <w:r>
        <w:rPr>
          <w:noProof/>
        </w:rPr>
      </w:r>
      <w:r>
        <w:rPr>
          <w:noProof/>
        </w:rPr>
        <w:fldChar w:fldCharType="separate"/>
      </w:r>
      <w:r w:rsidR="00AD3561">
        <w:rPr>
          <w:noProof/>
        </w:rPr>
        <w:t>146</w:t>
      </w:r>
      <w:r>
        <w:rPr>
          <w:noProof/>
        </w:rPr>
        <w:fldChar w:fldCharType="end"/>
      </w:r>
    </w:p>
    <w:p w14:paraId="5BB3751C" w14:textId="09FFF5A8" w:rsidR="003B131D" w:rsidRDefault="003B131D">
      <w:pPr>
        <w:pStyle w:val="TOC2"/>
        <w:rPr>
          <w:rFonts w:asciiTheme="minorHAnsi" w:eastAsiaTheme="minorEastAsia" w:hAnsiTheme="minorHAnsi" w:cstheme="minorBidi"/>
          <w:noProof/>
          <w:sz w:val="22"/>
          <w:szCs w:val="22"/>
        </w:rPr>
      </w:pPr>
      <w:r>
        <w:rPr>
          <w:noProof/>
        </w:rPr>
        <w:lastRenderedPageBreak/>
        <w:t>Feedback on our draft recommendations</w:t>
      </w:r>
      <w:r>
        <w:rPr>
          <w:noProof/>
        </w:rPr>
        <w:tab/>
      </w:r>
      <w:r>
        <w:rPr>
          <w:noProof/>
        </w:rPr>
        <w:fldChar w:fldCharType="begin"/>
      </w:r>
      <w:r>
        <w:rPr>
          <w:noProof/>
        </w:rPr>
        <w:instrText xml:space="preserve"> PAGEREF _Toc19280158 \h </w:instrText>
      </w:r>
      <w:r>
        <w:rPr>
          <w:noProof/>
        </w:rPr>
      </w:r>
      <w:r>
        <w:rPr>
          <w:noProof/>
        </w:rPr>
        <w:fldChar w:fldCharType="separate"/>
      </w:r>
      <w:r w:rsidR="00AD3561">
        <w:rPr>
          <w:noProof/>
        </w:rPr>
        <w:t>147</w:t>
      </w:r>
      <w:r>
        <w:rPr>
          <w:noProof/>
        </w:rPr>
        <w:fldChar w:fldCharType="end"/>
      </w:r>
    </w:p>
    <w:p w14:paraId="0EA0A7B0" w14:textId="35F4F323" w:rsidR="003B131D" w:rsidRDefault="003B131D">
      <w:pPr>
        <w:pStyle w:val="TOC1"/>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Other issues</w:t>
      </w:r>
      <w:r>
        <w:rPr>
          <w:noProof/>
        </w:rPr>
        <w:tab/>
      </w:r>
      <w:r>
        <w:rPr>
          <w:noProof/>
        </w:rPr>
        <w:fldChar w:fldCharType="begin"/>
      </w:r>
      <w:r>
        <w:rPr>
          <w:noProof/>
        </w:rPr>
        <w:instrText xml:space="preserve"> PAGEREF _Toc19280159 \h </w:instrText>
      </w:r>
      <w:r>
        <w:rPr>
          <w:noProof/>
        </w:rPr>
      </w:r>
      <w:r>
        <w:rPr>
          <w:noProof/>
        </w:rPr>
        <w:fldChar w:fldCharType="separate"/>
      </w:r>
      <w:r w:rsidR="00AD3561">
        <w:rPr>
          <w:noProof/>
        </w:rPr>
        <w:t>148</w:t>
      </w:r>
      <w:r>
        <w:rPr>
          <w:noProof/>
        </w:rPr>
        <w:fldChar w:fldCharType="end"/>
      </w:r>
    </w:p>
    <w:p w14:paraId="444DCFB9" w14:textId="227756D4" w:rsidR="003B131D" w:rsidRDefault="003B131D">
      <w:pPr>
        <w:pStyle w:val="TOC2"/>
        <w:rPr>
          <w:rFonts w:asciiTheme="minorHAnsi" w:eastAsiaTheme="minorEastAsia" w:hAnsiTheme="minorHAnsi" w:cstheme="minorBidi"/>
          <w:noProof/>
          <w:sz w:val="22"/>
          <w:szCs w:val="22"/>
        </w:rPr>
      </w:pPr>
      <w:r>
        <w:rPr>
          <w:noProof/>
        </w:rPr>
        <w:t>Sectors not reviewed in detail</w:t>
      </w:r>
      <w:r>
        <w:rPr>
          <w:noProof/>
        </w:rPr>
        <w:tab/>
      </w:r>
      <w:r>
        <w:rPr>
          <w:noProof/>
        </w:rPr>
        <w:fldChar w:fldCharType="begin"/>
      </w:r>
      <w:r>
        <w:rPr>
          <w:noProof/>
        </w:rPr>
        <w:instrText xml:space="preserve"> PAGEREF _Toc19280160 \h </w:instrText>
      </w:r>
      <w:r>
        <w:rPr>
          <w:noProof/>
        </w:rPr>
      </w:r>
      <w:r>
        <w:rPr>
          <w:noProof/>
        </w:rPr>
        <w:fldChar w:fldCharType="separate"/>
      </w:r>
      <w:r w:rsidR="00AD3561">
        <w:rPr>
          <w:noProof/>
        </w:rPr>
        <w:t>148</w:t>
      </w:r>
      <w:r>
        <w:rPr>
          <w:noProof/>
        </w:rPr>
        <w:fldChar w:fldCharType="end"/>
      </w:r>
    </w:p>
    <w:p w14:paraId="7826BC4D" w14:textId="6B0531E3" w:rsidR="003B131D" w:rsidRDefault="003B131D">
      <w:pPr>
        <w:pStyle w:val="TOC2"/>
        <w:rPr>
          <w:rFonts w:asciiTheme="minorHAnsi" w:eastAsiaTheme="minorEastAsia" w:hAnsiTheme="minorHAnsi" w:cstheme="minorBidi"/>
          <w:noProof/>
          <w:sz w:val="22"/>
          <w:szCs w:val="22"/>
        </w:rPr>
      </w:pPr>
      <w:r>
        <w:rPr>
          <w:noProof/>
        </w:rPr>
        <w:t>Cost recovery arrangements</w:t>
      </w:r>
      <w:r>
        <w:rPr>
          <w:noProof/>
        </w:rPr>
        <w:tab/>
      </w:r>
      <w:r>
        <w:rPr>
          <w:noProof/>
        </w:rPr>
        <w:fldChar w:fldCharType="begin"/>
      </w:r>
      <w:r>
        <w:rPr>
          <w:noProof/>
        </w:rPr>
        <w:instrText xml:space="preserve"> PAGEREF _Toc19280161 \h </w:instrText>
      </w:r>
      <w:r>
        <w:rPr>
          <w:noProof/>
        </w:rPr>
      </w:r>
      <w:r>
        <w:rPr>
          <w:noProof/>
        </w:rPr>
        <w:fldChar w:fldCharType="separate"/>
      </w:r>
      <w:r w:rsidR="00AD3561">
        <w:rPr>
          <w:noProof/>
        </w:rPr>
        <w:t>150</w:t>
      </w:r>
      <w:r>
        <w:rPr>
          <w:noProof/>
        </w:rPr>
        <w:fldChar w:fldCharType="end"/>
      </w:r>
    </w:p>
    <w:p w14:paraId="0112DCD9" w14:textId="5FCBAD9C" w:rsidR="003B131D" w:rsidRDefault="003B131D">
      <w:pPr>
        <w:pStyle w:val="TOC1"/>
        <w:rPr>
          <w:rFonts w:asciiTheme="minorHAnsi" w:eastAsiaTheme="minorEastAsia" w:hAnsiTheme="minorHAnsi" w:cstheme="minorBidi"/>
          <w:noProof/>
          <w:sz w:val="22"/>
          <w:szCs w:val="22"/>
        </w:rPr>
      </w:pPr>
      <w:r>
        <w:rPr>
          <w:noProof/>
        </w:rPr>
        <w:t>A</w:t>
      </w:r>
      <w:r>
        <w:rPr>
          <w:rFonts w:asciiTheme="minorHAnsi" w:eastAsiaTheme="minorEastAsia" w:hAnsiTheme="minorHAnsi" w:cstheme="minorBidi"/>
          <w:noProof/>
          <w:sz w:val="22"/>
          <w:szCs w:val="22"/>
        </w:rPr>
        <w:tab/>
      </w:r>
      <w:r>
        <w:rPr>
          <w:noProof/>
        </w:rPr>
        <w:t>Cost-benefit analysis by state and territory</w:t>
      </w:r>
      <w:r>
        <w:rPr>
          <w:noProof/>
        </w:rPr>
        <w:tab/>
      </w:r>
      <w:r>
        <w:rPr>
          <w:noProof/>
        </w:rPr>
        <w:fldChar w:fldCharType="begin"/>
      </w:r>
      <w:r>
        <w:rPr>
          <w:noProof/>
        </w:rPr>
        <w:instrText xml:space="preserve"> PAGEREF _Toc19280162 \h </w:instrText>
      </w:r>
      <w:r>
        <w:rPr>
          <w:noProof/>
        </w:rPr>
      </w:r>
      <w:r>
        <w:rPr>
          <w:noProof/>
        </w:rPr>
        <w:fldChar w:fldCharType="separate"/>
      </w:r>
      <w:r w:rsidR="00AD3561">
        <w:rPr>
          <w:noProof/>
        </w:rPr>
        <w:t>152</w:t>
      </w:r>
      <w:r>
        <w:rPr>
          <w:noProof/>
        </w:rPr>
        <w:fldChar w:fldCharType="end"/>
      </w:r>
    </w:p>
    <w:p w14:paraId="4BAF2282" w14:textId="02ED9EB8" w:rsidR="003B131D" w:rsidRDefault="003B131D">
      <w:pPr>
        <w:pStyle w:val="TOC1"/>
        <w:rPr>
          <w:rFonts w:asciiTheme="minorHAnsi" w:eastAsiaTheme="minorEastAsia" w:hAnsiTheme="minorHAnsi" w:cstheme="minorBidi"/>
          <w:noProof/>
          <w:sz w:val="22"/>
          <w:szCs w:val="22"/>
        </w:rPr>
      </w:pPr>
      <w:r>
        <w:rPr>
          <w:noProof/>
        </w:rPr>
        <w:t>B</w:t>
      </w:r>
      <w:r>
        <w:rPr>
          <w:rFonts w:asciiTheme="minorHAnsi" w:eastAsiaTheme="minorEastAsia" w:hAnsiTheme="minorHAnsi" w:cstheme="minorBidi"/>
          <w:noProof/>
          <w:sz w:val="22"/>
          <w:szCs w:val="22"/>
        </w:rPr>
        <w:tab/>
      </w:r>
      <w:r>
        <w:rPr>
          <w:noProof/>
        </w:rPr>
        <w:t>Valuing the benefits of saving energy</w:t>
      </w:r>
      <w:r>
        <w:rPr>
          <w:noProof/>
        </w:rPr>
        <w:tab/>
      </w:r>
      <w:r>
        <w:rPr>
          <w:noProof/>
        </w:rPr>
        <w:fldChar w:fldCharType="begin"/>
      </w:r>
      <w:r>
        <w:rPr>
          <w:noProof/>
        </w:rPr>
        <w:instrText xml:space="preserve"> PAGEREF _Toc19280163 \h </w:instrText>
      </w:r>
      <w:r>
        <w:rPr>
          <w:noProof/>
        </w:rPr>
      </w:r>
      <w:r>
        <w:rPr>
          <w:noProof/>
        </w:rPr>
        <w:fldChar w:fldCharType="separate"/>
      </w:r>
      <w:r w:rsidR="00AD3561">
        <w:rPr>
          <w:noProof/>
        </w:rPr>
        <w:t>155</w:t>
      </w:r>
      <w:r>
        <w:rPr>
          <w:noProof/>
        </w:rPr>
        <w:fldChar w:fldCharType="end"/>
      </w:r>
    </w:p>
    <w:p w14:paraId="18CBBF7B" w14:textId="0FF3B05B" w:rsidR="003B131D" w:rsidRDefault="003B131D">
      <w:pPr>
        <w:pStyle w:val="TOC1"/>
        <w:rPr>
          <w:rFonts w:asciiTheme="minorHAnsi" w:eastAsiaTheme="minorEastAsia" w:hAnsiTheme="minorHAnsi" w:cstheme="minorBidi"/>
          <w:noProof/>
          <w:sz w:val="22"/>
          <w:szCs w:val="22"/>
        </w:rPr>
      </w:pPr>
      <w:r>
        <w:rPr>
          <w:noProof/>
        </w:rPr>
        <w:t>C</w:t>
      </w:r>
      <w:r>
        <w:rPr>
          <w:rFonts w:asciiTheme="minorHAnsi" w:eastAsiaTheme="minorEastAsia" w:hAnsiTheme="minorHAnsi" w:cstheme="minorBidi"/>
          <w:noProof/>
          <w:sz w:val="22"/>
          <w:szCs w:val="22"/>
        </w:rPr>
        <w:tab/>
      </w:r>
      <w:r>
        <w:rPr>
          <w:noProof/>
        </w:rPr>
        <w:t>Statistical analysis of change in building energy use and star ratings</w:t>
      </w:r>
      <w:r>
        <w:rPr>
          <w:noProof/>
        </w:rPr>
        <w:tab/>
      </w:r>
      <w:r>
        <w:rPr>
          <w:noProof/>
        </w:rPr>
        <w:fldChar w:fldCharType="begin"/>
      </w:r>
      <w:r>
        <w:rPr>
          <w:noProof/>
        </w:rPr>
        <w:instrText xml:space="preserve"> PAGEREF _Toc19280164 \h </w:instrText>
      </w:r>
      <w:r>
        <w:rPr>
          <w:noProof/>
        </w:rPr>
      </w:r>
      <w:r>
        <w:rPr>
          <w:noProof/>
        </w:rPr>
        <w:fldChar w:fldCharType="separate"/>
      </w:r>
      <w:r w:rsidR="00AD3561">
        <w:rPr>
          <w:noProof/>
        </w:rPr>
        <w:t>171</w:t>
      </w:r>
      <w:r>
        <w:rPr>
          <w:noProof/>
        </w:rPr>
        <w:fldChar w:fldCharType="end"/>
      </w:r>
    </w:p>
    <w:p w14:paraId="5B7D7FFD" w14:textId="19E45CA7" w:rsidR="003B131D" w:rsidRDefault="003B131D">
      <w:pPr>
        <w:pStyle w:val="TOC1"/>
        <w:rPr>
          <w:rFonts w:asciiTheme="minorHAnsi" w:eastAsiaTheme="minorEastAsia" w:hAnsiTheme="minorHAnsi" w:cstheme="minorBidi"/>
          <w:noProof/>
          <w:sz w:val="22"/>
          <w:szCs w:val="22"/>
        </w:rPr>
      </w:pPr>
      <w:r>
        <w:rPr>
          <w:noProof/>
        </w:rPr>
        <w:t>D</w:t>
      </w:r>
      <w:r>
        <w:rPr>
          <w:rFonts w:asciiTheme="minorHAnsi" w:eastAsiaTheme="minorEastAsia" w:hAnsiTheme="minorHAnsi" w:cstheme="minorBidi"/>
          <w:noProof/>
          <w:sz w:val="22"/>
          <w:szCs w:val="22"/>
        </w:rPr>
        <w:tab/>
      </w:r>
      <w:r>
        <w:rPr>
          <w:noProof/>
        </w:rPr>
        <w:t>Buildings entering the NABERS system</w:t>
      </w:r>
      <w:r>
        <w:rPr>
          <w:noProof/>
        </w:rPr>
        <w:tab/>
      </w:r>
      <w:r>
        <w:rPr>
          <w:noProof/>
        </w:rPr>
        <w:fldChar w:fldCharType="begin"/>
      </w:r>
      <w:r>
        <w:rPr>
          <w:noProof/>
        </w:rPr>
        <w:instrText xml:space="preserve"> PAGEREF _Toc19280165 \h </w:instrText>
      </w:r>
      <w:r>
        <w:rPr>
          <w:noProof/>
        </w:rPr>
      </w:r>
      <w:r>
        <w:rPr>
          <w:noProof/>
        </w:rPr>
        <w:fldChar w:fldCharType="separate"/>
      </w:r>
      <w:r w:rsidR="00AD3561">
        <w:rPr>
          <w:noProof/>
        </w:rPr>
        <w:t>174</w:t>
      </w:r>
      <w:r>
        <w:rPr>
          <w:noProof/>
        </w:rPr>
        <w:fldChar w:fldCharType="end"/>
      </w:r>
    </w:p>
    <w:p w14:paraId="78A3F07D" w14:textId="77777777" w:rsidR="00650F3E" w:rsidRPr="002B76B3" w:rsidRDefault="00650F3E" w:rsidP="004E7620">
      <w:pPr>
        <w:pStyle w:val="BodyText"/>
        <w:spacing w:before="480"/>
        <w:rPr>
          <w:rFonts w:ascii="Franklin Gothic Demi" w:hAnsi="Franklin Gothic Demi"/>
          <w:caps/>
          <w:spacing w:val="10"/>
          <w:sz w:val="22"/>
        </w:rPr>
      </w:pPr>
      <w:r w:rsidRPr="00876B40">
        <w:fldChar w:fldCharType="end"/>
      </w:r>
      <w:r w:rsidRPr="002B76B3">
        <w:rPr>
          <w:rFonts w:ascii="Franklin Gothic Demi" w:hAnsi="Franklin Gothic Demi"/>
          <w:caps/>
          <w:spacing w:val="10"/>
          <w:sz w:val="22"/>
        </w:rPr>
        <w:t>Boxes, charts and tables</w:t>
      </w:r>
    </w:p>
    <w:p w14:paraId="444DD49C" w14:textId="25164306" w:rsidR="003B131D" w:rsidRDefault="00ED0E85">
      <w:pPr>
        <w:pStyle w:val="TableofFigures"/>
        <w:rPr>
          <w:rFonts w:eastAsiaTheme="minorEastAsia" w:cstheme="minorBidi"/>
          <w:noProof/>
          <w:sz w:val="22"/>
          <w:szCs w:val="22"/>
        </w:rPr>
      </w:pPr>
      <w:r>
        <w:fldChar w:fldCharType="begin"/>
      </w:r>
      <w:r>
        <w:instrText xml:space="preserve"> TOC \t "Caption" \c </w:instrText>
      </w:r>
      <w:r>
        <w:fldChar w:fldCharType="separate"/>
      </w:r>
      <w:r w:rsidR="003B131D">
        <w:rPr>
          <w:noProof/>
        </w:rPr>
        <w:t>1</w:t>
      </w:r>
      <w:r w:rsidR="003B131D">
        <w:rPr>
          <w:rFonts w:eastAsiaTheme="minorEastAsia" w:cstheme="minorBidi"/>
          <w:noProof/>
          <w:sz w:val="22"/>
          <w:szCs w:val="22"/>
        </w:rPr>
        <w:tab/>
      </w:r>
      <w:r w:rsidR="003B131D">
        <w:rPr>
          <w:noProof/>
        </w:rPr>
        <w:t>Terms of Reference</w:t>
      </w:r>
      <w:r w:rsidR="003B131D">
        <w:rPr>
          <w:noProof/>
        </w:rPr>
        <w:tab/>
      </w:r>
      <w:r w:rsidR="003B131D">
        <w:rPr>
          <w:noProof/>
        </w:rPr>
        <w:fldChar w:fldCharType="begin"/>
      </w:r>
      <w:r w:rsidR="003B131D">
        <w:rPr>
          <w:noProof/>
        </w:rPr>
        <w:instrText xml:space="preserve"> PAGEREF _Toc19280166 \h </w:instrText>
      </w:r>
      <w:r w:rsidR="003B131D">
        <w:rPr>
          <w:noProof/>
        </w:rPr>
      </w:r>
      <w:r w:rsidR="003B131D">
        <w:rPr>
          <w:noProof/>
        </w:rPr>
        <w:fldChar w:fldCharType="separate"/>
      </w:r>
      <w:r w:rsidR="00AD3561">
        <w:rPr>
          <w:noProof/>
        </w:rPr>
        <w:t>3</w:t>
      </w:r>
      <w:r w:rsidR="003B131D">
        <w:rPr>
          <w:noProof/>
        </w:rPr>
        <w:fldChar w:fldCharType="end"/>
      </w:r>
    </w:p>
    <w:p w14:paraId="78E23F68" w14:textId="02B2012F" w:rsidR="003B131D" w:rsidRDefault="003B131D">
      <w:pPr>
        <w:pStyle w:val="TableofFigures"/>
        <w:rPr>
          <w:rFonts w:eastAsiaTheme="minorEastAsia" w:cstheme="minorBidi"/>
          <w:noProof/>
          <w:sz w:val="22"/>
          <w:szCs w:val="22"/>
        </w:rPr>
      </w:pPr>
      <w:r>
        <w:rPr>
          <w:noProof/>
        </w:rPr>
        <w:t>2</w:t>
      </w:r>
      <w:r>
        <w:rPr>
          <w:rFonts w:eastAsiaTheme="minorEastAsia" w:cstheme="minorBidi"/>
          <w:noProof/>
          <w:sz w:val="22"/>
          <w:szCs w:val="22"/>
        </w:rPr>
        <w:tab/>
      </w:r>
      <w:r>
        <w:rPr>
          <w:noProof/>
        </w:rPr>
        <w:t>CBD Program — cost-benefit analysis</w:t>
      </w:r>
      <w:r>
        <w:rPr>
          <w:noProof/>
        </w:rPr>
        <w:tab/>
      </w:r>
      <w:r>
        <w:rPr>
          <w:noProof/>
        </w:rPr>
        <w:fldChar w:fldCharType="begin"/>
      </w:r>
      <w:r>
        <w:rPr>
          <w:noProof/>
        </w:rPr>
        <w:instrText xml:space="preserve"> PAGEREF _Toc19280167 \h </w:instrText>
      </w:r>
      <w:r>
        <w:rPr>
          <w:noProof/>
        </w:rPr>
      </w:r>
      <w:r>
        <w:rPr>
          <w:noProof/>
        </w:rPr>
        <w:fldChar w:fldCharType="separate"/>
      </w:r>
      <w:r w:rsidR="00AD3561">
        <w:rPr>
          <w:noProof/>
        </w:rPr>
        <w:t>5</w:t>
      </w:r>
      <w:r>
        <w:rPr>
          <w:noProof/>
        </w:rPr>
        <w:fldChar w:fldCharType="end"/>
      </w:r>
    </w:p>
    <w:p w14:paraId="1AA777B6" w14:textId="28047642" w:rsidR="003B131D" w:rsidRDefault="003B131D">
      <w:pPr>
        <w:pStyle w:val="TableofFigures"/>
        <w:rPr>
          <w:rFonts w:eastAsiaTheme="minorEastAsia" w:cstheme="minorBidi"/>
          <w:noProof/>
          <w:sz w:val="22"/>
          <w:szCs w:val="22"/>
        </w:rPr>
      </w:pPr>
      <w:r>
        <w:rPr>
          <w:noProof/>
        </w:rPr>
        <w:t>3</w:t>
      </w:r>
      <w:r>
        <w:rPr>
          <w:rFonts w:eastAsiaTheme="minorEastAsia" w:cstheme="minorBidi"/>
          <w:noProof/>
          <w:sz w:val="22"/>
          <w:szCs w:val="22"/>
        </w:rPr>
        <w:tab/>
      </w:r>
      <w:r>
        <w:rPr>
          <w:noProof/>
        </w:rPr>
        <w:t>Quantitative assessment of expansion sectors</w:t>
      </w:r>
      <w:r>
        <w:rPr>
          <w:noProof/>
        </w:rPr>
        <w:tab/>
      </w:r>
      <w:r>
        <w:rPr>
          <w:noProof/>
        </w:rPr>
        <w:fldChar w:fldCharType="begin"/>
      </w:r>
      <w:r>
        <w:rPr>
          <w:noProof/>
        </w:rPr>
        <w:instrText xml:space="preserve"> PAGEREF _Toc19280168 \h </w:instrText>
      </w:r>
      <w:r>
        <w:rPr>
          <w:noProof/>
        </w:rPr>
      </w:r>
      <w:r>
        <w:rPr>
          <w:noProof/>
        </w:rPr>
        <w:fldChar w:fldCharType="separate"/>
      </w:r>
      <w:r w:rsidR="00AD3561">
        <w:rPr>
          <w:noProof/>
        </w:rPr>
        <w:t>7</w:t>
      </w:r>
      <w:r>
        <w:rPr>
          <w:noProof/>
        </w:rPr>
        <w:fldChar w:fldCharType="end"/>
      </w:r>
    </w:p>
    <w:p w14:paraId="25A84F92" w14:textId="12A569E6" w:rsidR="003B131D" w:rsidRDefault="003B131D">
      <w:pPr>
        <w:pStyle w:val="TableofFigures"/>
        <w:rPr>
          <w:rFonts w:eastAsiaTheme="minorEastAsia" w:cstheme="minorBidi"/>
          <w:noProof/>
          <w:sz w:val="22"/>
          <w:szCs w:val="22"/>
        </w:rPr>
      </w:pPr>
      <w:r>
        <w:rPr>
          <w:noProof/>
        </w:rPr>
        <w:t>1.1</w:t>
      </w:r>
      <w:r>
        <w:rPr>
          <w:rFonts w:eastAsiaTheme="minorEastAsia" w:cstheme="minorBidi"/>
          <w:noProof/>
          <w:sz w:val="22"/>
          <w:szCs w:val="22"/>
        </w:rPr>
        <w:tab/>
      </w:r>
      <w:r>
        <w:rPr>
          <w:noProof/>
        </w:rPr>
        <w:t>The Paris Climate Agreement</w:t>
      </w:r>
      <w:r>
        <w:rPr>
          <w:noProof/>
        </w:rPr>
        <w:tab/>
      </w:r>
      <w:r>
        <w:rPr>
          <w:noProof/>
        </w:rPr>
        <w:fldChar w:fldCharType="begin"/>
      </w:r>
      <w:r>
        <w:rPr>
          <w:noProof/>
        </w:rPr>
        <w:instrText xml:space="preserve"> PAGEREF _Toc19280169 \h </w:instrText>
      </w:r>
      <w:r>
        <w:rPr>
          <w:noProof/>
        </w:rPr>
      </w:r>
      <w:r>
        <w:rPr>
          <w:noProof/>
        </w:rPr>
        <w:fldChar w:fldCharType="separate"/>
      </w:r>
      <w:r w:rsidR="00AD3561">
        <w:rPr>
          <w:noProof/>
        </w:rPr>
        <w:t>13</w:t>
      </w:r>
      <w:r>
        <w:rPr>
          <w:noProof/>
        </w:rPr>
        <w:fldChar w:fldCharType="end"/>
      </w:r>
    </w:p>
    <w:p w14:paraId="45014E55" w14:textId="1430BD81" w:rsidR="003B131D" w:rsidRDefault="003B131D">
      <w:pPr>
        <w:pStyle w:val="TableofFigures"/>
        <w:rPr>
          <w:rFonts w:eastAsiaTheme="minorEastAsia" w:cstheme="minorBidi"/>
          <w:noProof/>
          <w:sz w:val="22"/>
          <w:szCs w:val="22"/>
        </w:rPr>
      </w:pPr>
      <w:r>
        <w:rPr>
          <w:noProof/>
        </w:rPr>
        <w:t>1.2</w:t>
      </w:r>
      <w:r>
        <w:rPr>
          <w:rFonts w:eastAsiaTheme="minorEastAsia" w:cstheme="minorBidi"/>
          <w:noProof/>
          <w:sz w:val="22"/>
          <w:szCs w:val="22"/>
        </w:rPr>
        <w:tab/>
      </w:r>
      <w:r>
        <w:rPr>
          <w:noProof/>
        </w:rPr>
        <w:t>Energy use in commercial buildings</w:t>
      </w:r>
      <w:r>
        <w:rPr>
          <w:noProof/>
        </w:rPr>
        <w:tab/>
      </w:r>
      <w:r>
        <w:rPr>
          <w:noProof/>
        </w:rPr>
        <w:fldChar w:fldCharType="begin"/>
      </w:r>
      <w:r>
        <w:rPr>
          <w:noProof/>
        </w:rPr>
        <w:instrText xml:space="preserve"> PAGEREF _Toc19280170 \h </w:instrText>
      </w:r>
      <w:r>
        <w:rPr>
          <w:noProof/>
        </w:rPr>
      </w:r>
      <w:r>
        <w:rPr>
          <w:noProof/>
        </w:rPr>
        <w:fldChar w:fldCharType="separate"/>
      </w:r>
      <w:r w:rsidR="00AD3561">
        <w:rPr>
          <w:noProof/>
        </w:rPr>
        <w:t>15</w:t>
      </w:r>
      <w:r>
        <w:rPr>
          <w:noProof/>
        </w:rPr>
        <w:fldChar w:fldCharType="end"/>
      </w:r>
    </w:p>
    <w:p w14:paraId="5E26F8DB" w14:textId="120A4DA4" w:rsidR="003B131D" w:rsidRDefault="003B131D">
      <w:pPr>
        <w:pStyle w:val="TableofFigures"/>
        <w:rPr>
          <w:rFonts w:eastAsiaTheme="minorEastAsia" w:cstheme="minorBidi"/>
          <w:noProof/>
          <w:sz w:val="22"/>
          <w:szCs w:val="22"/>
        </w:rPr>
      </w:pPr>
      <w:r>
        <w:rPr>
          <w:noProof/>
        </w:rPr>
        <w:t>1.3</w:t>
      </w:r>
      <w:r>
        <w:rPr>
          <w:rFonts w:eastAsiaTheme="minorEastAsia" w:cstheme="minorBidi"/>
          <w:noProof/>
          <w:sz w:val="22"/>
          <w:szCs w:val="22"/>
        </w:rPr>
        <w:tab/>
      </w:r>
      <w:r>
        <w:rPr>
          <w:noProof/>
        </w:rPr>
        <w:t>The evolution of the CBD Program</w:t>
      </w:r>
      <w:r>
        <w:rPr>
          <w:noProof/>
        </w:rPr>
        <w:tab/>
      </w:r>
      <w:r>
        <w:rPr>
          <w:noProof/>
        </w:rPr>
        <w:fldChar w:fldCharType="begin"/>
      </w:r>
      <w:r>
        <w:rPr>
          <w:noProof/>
        </w:rPr>
        <w:instrText xml:space="preserve"> PAGEREF _Toc19280171 \h </w:instrText>
      </w:r>
      <w:r>
        <w:rPr>
          <w:noProof/>
        </w:rPr>
      </w:r>
      <w:r>
        <w:rPr>
          <w:noProof/>
        </w:rPr>
        <w:fldChar w:fldCharType="separate"/>
      </w:r>
      <w:r w:rsidR="00AD3561">
        <w:rPr>
          <w:noProof/>
        </w:rPr>
        <w:t>16</w:t>
      </w:r>
      <w:r>
        <w:rPr>
          <w:noProof/>
        </w:rPr>
        <w:fldChar w:fldCharType="end"/>
      </w:r>
    </w:p>
    <w:p w14:paraId="1825CB91" w14:textId="37443412" w:rsidR="003B131D" w:rsidRDefault="003B131D">
      <w:pPr>
        <w:pStyle w:val="TableofFigures"/>
        <w:rPr>
          <w:rFonts w:eastAsiaTheme="minorEastAsia" w:cstheme="minorBidi"/>
          <w:noProof/>
          <w:sz w:val="22"/>
          <w:szCs w:val="22"/>
        </w:rPr>
      </w:pPr>
      <w:r>
        <w:rPr>
          <w:noProof/>
        </w:rPr>
        <w:t>1.4</w:t>
      </w:r>
      <w:r>
        <w:rPr>
          <w:rFonts w:eastAsiaTheme="minorEastAsia" w:cstheme="minorBidi"/>
          <w:noProof/>
          <w:sz w:val="22"/>
          <w:szCs w:val="22"/>
        </w:rPr>
        <w:tab/>
      </w:r>
      <w:r>
        <w:rPr>
          <w:noProof/>
        </w:rPr>
        <w:t>Energy use of non-residential buildings</w:t>
      </w:r>
      <w:r>
        <w:rPr>
          <w:noProof/>
        </w:rPr>
        <w:tab/>
      </w:r>
      <w:r>
        <w:rPr>
          <w:noProof/>
        </w:rPr>
        <w:fldChar w:fldCharType="begin"/>
      </w:r>
      <w:r>
        <w:rPr>
          <w:noProof/>
        </w:rPr>
        <w:instrText xml:space="preserve"> PAGEREF _Toc19280172 \h </w:instrText>
      </w:r>
      <w:r>
        <w:rPr>
          <w:noProof/>
        </w:rPr>
      </w:r>
      <w:r>
        <w:rPr>
          <w:noProof/>
        </w:rPr>
        <w:fldChar w:fldCharType="separate"/>
      </w:r>
      <w:r w:rsidR="00AD3561">
        <w:rPr>
          <w:noProof/>
        </w:rPr>
        <w:t>17</w:t>
      </w:r>
      <w:r>
        <w:rPr>
          <w:noProof/>
        </w:rPr>
        <w:fldChar w:fldCharType="end"/>
      </w:r>
    </w:p>
    <w:p w14:paraId="7CFF43A0" w14:textId="47E1DD46" w:rsidR="003B131D" w:rsidRDefault="003B131D">
      <w:pPr>
        <w:pStyle w:val="TableofFigures"/>
        <w:rPr>
          <w:rFonts w:eastAsiaTheme="minorEastAsia" w:cstheme="minorBidi"/>
          <w:noProof/>
          <w:sz w:val="22"/>
          <w:szCs w:val="22"/>
        </w:rPr>
      </w:pPr>
      <w:r>
        <w:rPr>
          <w:noProof/>
        </w:rPr>
        <w:t>1.5</w:t>
      </w:r>
      <w:r>
        <w:rPr>
          <w:rFonts w:eastAsiaTheme="minorEastAsia" w:cstheme="minorBidi"/>
          <w:noProof/>
          <w:sz w:val="22"/>
          <w:szCs w:val="22"/>
        </w:rPr>
        <w:tab/>
      </w:r>
      <w:r>
        <w:rPr>
          <w:noProof/>
        </w:rPr>
        <w:t>Energy use in commercial buildings</w:t>
      </w:r>
      <w:r>
        <w:rPr>
          <w:noProof/>
        </w:rPr>
        <w:tab/>
      </w:r>
      <w:r>
        <w:rPr>
          <w:noProof/>
        </w:rPr>
        <w:fldChar w:fldCharType="begin"/>
      </w:r>
      <w:r>
        <w:rPr>
          <w:noProof/>
        </w:rPr>
        <w:instrText xml:space="preserve"> PAGEREF _Toc19280173 \h </w:instrText>
      </w:r>
      <w:r>
        <w:rPr>
          <w:noProof/>
        </w:rPr>
      </w:r>
      <w:r>
        <w:rPr>
          <w:noProof/>
        </w:rPr>
        <w:fldChar w:fldCharType="separate"/>
      </w:r>
      <w:r w:rsidR="00AD3561">
        <w:rPr>
          <w:noProof/>
        </w:rPr>
        <w:t>17</w:t>
      </w:r>
      <w:r>
        <w:rPr>
          <w:noProof/>
        </w:rPr>
        <w:fldChar w:fldCharType="end"/>
      </w:r>
    </w:p>
    <w:p w14:paraId="67D25C0A" w14:textId="7E5FB8B3" w:rsidR="003B131D" w:rsidRDefault="003B131D">
      <w:pPr>
        <w:pStyle w:val="TableofFigures"/>
        <w:rPr>
          <w:rFonts w:eastAsiaTheme="minorEastAsia" w:cstheme="minorBidi"/>
          <w:noProof/>
          <w:sz w:val="22"/>
          <w:szCs w:val="22"/>
        </w:rPr>
      </w:pPr>
      <w:r>
        <w:rPr>
          <w:noProof/>
        </w:rPr>
        <w:t>1.6</w:t>
      </w:r>
      <w:r>
        <w:rPr>
          <w:rFonts w:eastAsiaTheme="minorEastAsia" w:cstheme="minorBidi"/>
          <w:noProof/>
          <w:sz w:val="22"/>
          <w:szCs w:val="22"/>
        </w:rPr>
        <w:tab/>
      </w:r>
      <w:r>
        <w:rPr>
          <w:noProof/>
        </w:rPr>
        <w:t>NABERS and CBD coverage — Sydney central business district</w:t>
      </w:r>
      <w:r>
        <w:rPr>
          <w:noProof/>
        </w:rPr>
        <w:tab/>
      </w:r>
      <w:r>
        <w:rPr>
          <w:noProof/>
        </w:rPr>
        <w:fldChar w:fldCharType="begin"/>
      </w:r>
      <w:r>
        <w:rPr>
          <w:noProof/>
        </w:rPr>
        <w:instrText xml:space="preserve"> PAGEREF _Toc19280174 \h </w:instrText>
      </w:r>
      <w:r>
        <w:rPr>
          <w:noProof/>
        </w:rPr>
      </w:r>
      <w:r>
        <w:rPr>
          <w:noProof/>
        </w:rPr>
        <w:fldChar w:fldCharType="separate"/>
      </w:r>
      <w:r w:rsidR="00AD3561">
        <w:rPr>
          <w:noProof/>
        </w:rPr>
        <w:t>18</w:t>
      </w:r>
      <w:r>
        <w:rPr>
          <w:noProof/>
        </w:rPr>
        <w:fldChar w:fldCharType="end"/>
      </w:r>
    </w:p>
    <w:p w14:paraId="0C21E2D9" w14:textId="0BF61E2B" w:rsidR="003B131D" w:rsidRDefault="003B131D">
      <w:pPr>
        <w:pStyle w:val="TableofFigures"/>
        <w:rPr>
          <w:rFonts w:eastAsiaTheme="minorEastAsia" w:cstheme="minorBidi"/>
          <w:noProof/>
          <w:sz w:val="22"/>
          <w:szCs w:val="22"/>
        </w:rPr>
      </w:pPr>
      <w:r>
        <w:rPr>
          <w:noProof/>
        </w:rPr>
        <w:t>1.7</w:t>
      </w:r>
      <w:r>
        <w:rPr>
          <w:rFonts w:eastAsiaTheme="minorEastAsia" w:cstheme="minorBidi"/>
          <w:noProof/>
          <w:sz w:val="22"/>
          <w:szCs w:val="22"/>
        </w:rPr>
        <w:tab/>
      </w:r>
      <w:r>
        <w:rPr>
          <w:noProof/>
        </w:rPr>
        <w:t>NABERS and CBD coverage — Melbourne central business district</w:t>
      </w:r>
      <w:r>
        <w:rPr>
          <w:noProof/>
        </w:rPr>
        <w:tab/>
      </w:r>
      <w:r>
        <w:rPr>
          <w:noProof/>
        </w:rPr>
        <w:fldChar w:fldCharType="begin"/>
      </w:r>
      <w:r>
        <w:rPr>
          <w:noProof/>
        </w:rPr>
        <w:instrText xml:space="preserve"> PAGEREF _Toc19280175 \h </w:instrText>
      </w:r>
      <w:r>
        <w:rPr>
          <w:noProof/>
        </w:rPr>
      </w:r>
      <w:r>
        <w:rPr>
          <w:noProof/>
        </w:rPr>
        <w:fldChar w:fldCharType="separate"/>
      </w:r>
      <w:r w:rsidR="00AD3561">
        <w:rPr>
          <w:noProof/>
        </w:rPr>
        <w:t>19</w:t>
      </w:r>
      <w:r>
        <w:rPr>
          <w:noProof/>
        </w:rPr>
        <w:fldChar w:fldCharType="end"/>
      </w:r>
    </w:p>
    <w:p w14:paraId="0B0851F0" w14:textId="4561D32C" w:rsidR="003B131D" w:rsidRDefault="003B131D">
      <w:pPr>
        <w:pStyle w:val="TableofFigures"/>
        <w:rPr>
          <w:rFonts w:eastAsiaTheme="minorEastAsia" w:cstheme="minorBidi"/>
          <w:noProof/>
          <w:sz w:val="22"/>
          <w:szCs w:val="22"/>
        </w:rPr>
      </w:pPr>
      <w:r>
        <w:rPr>
          <w:noProof/>
        </w:rPr>
        <w:t>1.8</w:t>
      </w:r>
      <w:r>
        <w:rPr>
          <w:rFonts w:eastAsiaTheme="minorEastAsia" w:cstheme="minorBidi"/>
          <w:noProof/>
          <w:sz w:val="22"/>
          <w:szCs w:val="22"/>
        </w:rPr>
        <w:tab/>
      </w:r>
      <w:r>
        <w:rPr>
          <w:noProof/>
        </w:rPr>
        <w:t>Terms of Reference</w:t>
      </w:r>
      <w:r>
        <w:rPr>
          <w:noProof/>
        </w:rPr>
        <w:tab/>
      </w:r>
      <w:r>
        <w:rPr>
          <w:noProof/>
        </w:rPr>
        <w:fldChar w:fldCharType="begin"/>
      </w:r>
      <w:r>
        <w:rPr>
          <w:noProof/>
        </w:rPr>
        <w:instrText xml:space="preserve"> PAGEREF _Toc19280176 \h </w:instrText>
      </w:r>
      <w:r>
        <w:rPr>
          <w:noProof/>
        </w:rPr>
      </w:r>
      <w:r>
        <w:rPr>
          <w:noProof/>
        </w:rPr>
        <w:fldChar w:fldCharType="separate"/>
      </w:r>
      <w:r w:rsidR="00AD3561">
        <w:rPr>
          <w:noProof/>
        </w:rPr>
        <w:t>20</w:t>
      </w:r>
      <w:r>
        <w:rPr>
          <w:noProof/>
        </w:rPr>
        <w:fldChar w:fldCharType="end"/>
      </w:r>
    </w:p>
    <w:p w14:paraId="593C1304" w14:textId="750817C4" w:rsidR="003B131D" w:rsidRDefault="003B131D">
      <w:pPr>
        <w:pStyle w:val="TableofFigures"/>
        <w:rPr>
          <w:rFonts w:eastAsiaTheme="minorEastAsia" w:cstheme="minorBidi"/>
          <w:noProof/>
          <w:sz w:val="22"/>
          <w:szCs w:val="22"/>
        </w:rPr>
      </w:pPr>
      <w:r>
        <w:rPr>
          <w:noProof/>
        </w:rPr>
        <w:t>2.1</w:t>
      </w:r>
      <w:r>
        <w:rPr>
          <w:rFonts w:eastAsiaTheme="minorEastAsia" w:cstheme="minorBidi"/>
          <w:noProof/>
          <w:sz w:val="22"/>
          <w:szCs w:val="22"/>
        </w:rPr>
        <w:tab/>
      </w:r>
      <w:r>
        <w:rPr>
          <w:noProof/>
        </w:rPr>
        <w:t>Global context</w:t>
      </w:r>
      <w:r>
        <w:rPr>
          <w:noProof/>
        </w:rPr>
        <w:tab/>
      </w:r>
      <w:r>
        <w:rPr>
          <w:noProof/>
        </w:rPr>
        <w:fldChar w:fldCharType="begin"/>
      </w:r>
      <w:r>
        <w:rPr>
          <w:noProof/>
        </w:rPr>
        <w:instrText xml:space="preserve"> PAGEREF _Toc19280177 \h </w:instrText>
      </w:r>
      <w:r>
        <w:rPr>
          <w:noProof/>
        </w:rPr>
      </w:r>
      <w:r>
        <w:rPr>
          <w:noProof/>
        </w:rPr>
        <w:fldChar w:fldCharType="separate"/>
      </w:r>
      <w:r w:rsidR="00AD3561">
        <w:rPr>
          <w:noProof/>
        </w:rPr>
        <w:t>23</w:t>
      </w:r>
      <w:r>
        <w:rPr>
          <w:noProof/>
        </w:rPr>
        <w:fldChar w:fldCharType="end"/>
      </w:r>
    </w:p>
    <w:p w14:paraId="70B26E72" w14:textId="4A4EA9C0" w:rsidR="003B131D" w:rsidRDefault="003B131D">
      <w:pPr>
        <w:pStyle w:val="TableofFigures"/>
        <w:rPr>
          <w:rFonts w:eastAsiaTheme="minorEastAsia" w:cstheme="minorBidi"/>
          <w:noProof/>
          <w:sz w:val="22"/>
          <w:szCs w:val="22"/>
        </w:rPr>
      </w:pPr>
      <w:r>
        <w:rPr>
          <w:noProof/>
        </w:rPr>
        <w:t>2.2</w:t>
      </w:r>
      <w:r>
        <w:rPr>
          <w:rFonts w:eastAsiaTheme="minorEastAsia" w:cstheme="minorBidi"/>
          <w:noProof/>
          <w:sz w:val="22"/>
          <w:szCs w:val="22"/>
        </w:rPr>
        <w:tab/>
      </w:r>
      <w:r>
        <w:rPr>
          <w:noProof/>
        </w:rPr>
        <w:t>Program logic</w:t>
      </w:r>
      <w:r>
        <w:rPr>
          <w:noProof/>
        </w:rPr>
        <w:tab/>
      </w:r>
      <w:r>
        <w:rPr>
          <w:noProof/>
        </w:rPr>
        <w:fldChar w:fldCharType="begin"/>
      </w:r>
      <w:r>
        <w:rPr>
          <w:noProof/>
        </w:rPr>
        <w:instrText xml:space="preserve"> PAGEREF _Toc19280178 \h </w:instrText>
      </w:r>
      <w:r>
        <w:rPr>
          <w:noProof/>
        </w:rPr>
      </w:r>
      <w:r>
        <w:rPr>
          <w:noProof/>
        </w:rPr>
        <w:fldChar w:fldCharType="separate"/>
      </w:r>
      <w:r w:rsidR="00AD3561">
        <w:rPr>
          <w:noProof/>
        </w:rPr>
        <w:t>25</w:t>
      </w:r>
      <w:r>
        <w:rPr>
          <w:noProof/>
        </w:rPr>
        <w:fldChar w:fldCharType="end"/>
      </w:r>
    </w:p>
    <w:p w14:paraId="0843FE22" w14:textId="28C2C243" w:rsidR="003B131D" w:rsidRDefault="003B131D">
      <w:pPr>
        <w:pStyle w:val="TableofFigures"/>
        <w:rPr>
          <w:rFonts w:eastAsiaTheme="minorEastAsia" w:cstheme="minorBidi"/>
          <w:noProof/>
          <w:sz w:val="22"/>
          <w:szCs w:val="22"/>
        </w:rPr>
      </w:pPr>
      <w:r>
        <w:rPr>
          <w:noProof/>
        </w:rPr>
        <w:t>4.1</w:t>
      </w:r>
      <w:r>
        <w:rPr>
          <w:rFonts w:eastAsiaTheme="minorEastAsia" w:cstheme="minorBidi"/>
          <w:noProof/>
          <w:sz w:val="22"/>
          <w:szCs w:val="22"/>
        </w:rPr>
        <w:tab/>
      </w:r>
      <w:r>
        <w:rPr>
          <w:noProof/>
        </w:rPr>
        <w:t>Number of NABERS Office Energy ratings over time</w:t>
      </w:r>
      <w:r>
        <w:rPr>
          <w:noProof/>
        </w:rPr>
        <w:tab/>
      </w:r>
      <w:r>
        <w:rPr>
          <w:noProof/>
        </w:rPr>
        <w:fldChar w:fldCharType="begin"/>
      </w:r>
      <w:r>
        <w:rPr>
          <w:noProof/>
        </w:rPr>
        <w:instrText xml:space="preserve"> PAGEREF _Toc19280179 \h </w:instrText>
      </w:r>
      <w:r>
        <w:rPr>
          <w:noProof/>
        </w:rPr>
      </w:r>
      <w:r>
        <w:rPr>
          <w:noProof/>
        </w:rPr>
        <w:fldChar w:fldCharType="separate"/>
      </w:r>
      <w:r w:rsidR="00AD3561">
        <w:rPr>
          <w:noProof/>
        </w:rPr>
        <w:t>35</w:t>
      </w:r>
      <w:r>
        <w:rPr>
          <w:noProof/>
        </w:rPr>
        <w:fldChar w:fldCharType="end"/>
      </w:r>
    </w:p>
    <w:p w14:paraId="3379156D" w14:textId="5D2DA13D" w:rsidR="003B131D" w:rsidRDefault="003B131D">
      <w:pPr>
        <w:pStyle w:val="TableofFigures"/>
        <w:rPr>
          <w:rFonts w:eastAsiaTheme="minorEastAsia" w:cstheme="minorBidi"/>
          <w:noProof/>
          <w:sz w:val="22"/>
          <w:szCs w:val="22"/>
        </w:rPr>
      </w:pPr>
      <w:r>
        <w:rPr>
          <w:noProof/>
        </w:rPr>
        <w:t>4.2</w:t>
      </w:r>
      <w:r>
        <w:rPr>
          <w:rFonts w:eastAsiaTheme="minorEastAsia" w:cstheme="minorBidi"/>
          <w:noProof/>
          <w:sz w:val="22"/>
          <w:szCs w:val="22"/>
        </w:rPr>
        <w:tab/>
      </w:r>
      <w:r>
        <w:rPr>
          <w:noProof/>
        </w:rPr>
        <w:t>Number of new NABERS Office Energy ratings</w:t>
      </w:r>
      <w:r>
        <w:rPr>
          <w:noProof/>
        </w:rPr>
        <w:tab/>
      </w:r>
      <w:r>
        <w:rPr>
          <w:noProof/>
        </w:rPr>
        <w:fldChar w:fldCharType="begin"/>
      </w:r>
      <w:r>
        <w:rPr>
          <w:noProof/>
        </w:rPr>
        <w:instrText xml:space="preserve"> PAGEREF _Toc19280180 \h </w:instrText>
      </w:r>
      <w:r>
        <w:rPr>
          <w:noProof/>
        </w:rPr>
      </w:r>
      <w:r>
        <w:rPr>
          <w:noProof/>
        </w:rPr>
        <w:fldChar w:fldCharType="separate"/>
      </w:r>
      <w:r w:rsidR="00AD3561">
        <w:rPr>
          <w:noProof/>
        </w:rPr>
        <w:t>36</w:t>
      </w:r>
      <w:r>
        <w:rPr>
          <w:noProof/>
        </w:rPr>
        <w:fldChar w:fldCharType="end"/>
      </w:r>
    </w:p>
    <w:p w14:paraId="4737BD7B" w14:textId="30E6B8B6" w:rsidR="003B131D" w:rsidRDefault="003B131D">
      <w:pPr>
        <w:pStyle w:val="TableofFigures"/>
        <w:rPr>
          <w:rFonts w:eastAsiaTheme="minorEastAsia" w:cstheme="minorBidi"/>
          <w:noProof/>
          <w:sz w:val="22"/>
          <w:szCs w:val="22"/>
        </w:rPr>
      </w:pPr>
      <w:r>
        <w:rPr>
          <w:noProof/>
        </w:rPr>
        <w:t>4.3</w:t>
      </w:r>
      <w:r>
        <w:rPr>
          <w:rFonts w:eastAsiaTheme="minorEastAsia" w:cstheme="minorBidi"/>
          <w:noProof/>
          <w:sz w:val="22"/>
          <w:szCs w:val="22"/>
        </w:rPr>
        <w:tab/>
      </w:r>
      <w:r>
        <w:rPr>
          <w:noProof/>
        </w:rPr>
        <w:t>Composition of new NABERS Office Energy ratings by net lettable area</w:t>
      </w:r>
      <w:r>
        <w:rPr>
          <w:noProof/>
        </w:rPr>
        <w:tab/>
      </w:r>
      <w:r>
        <w:rPr>
          <w:noProof/>
        </w:rPr>
        <w:fldChar w:fldCharType="begin"/>
      </w:r>
      <w:r>
        <w:rPr>
          <w:noProof/>
        </w:rPr>
        <w:instrText xml:space="preserve"> PAGEREF _Toc19280181 \h </w:instrText>
      </w:r>
      <w:r>
        <w:rPr>
          <w:noProof/>
        </w:rPr>
      </w:r>
      <w:r>
        <w:rPr>
          <w:noProof/>
        </w:rPr>
        <w:fldChar w:fldCharType="separate"/>
      </w:r>
      <w:r w:rsidR="00AD3561">
        <w:rPr>
          <w:noProof/>
        </w:rPr>
        <w:t>36</w:t>
      </w:r>
      <w:r>
        <w:rPr>
          <w:noProof/>
        </w:rPr>
        <w:fldChar w:fldCharType="end"/>
      </w:r>
    </w:p>
    <w:p w14:paraId="406CEB14" w14:textId="6F2F7141" w:rsidR="003B131D" w:rsidRDefault="003B131D">
      <w:pPr>
        <w:pStyle w:val="TableofFigures"/>
        <w:rPr>
          <w:rFonts w:eastAsiaTheme="minorEastAsia" w:cstheme="minorBidi"/>
          <w:noProof/>
          <w:sz w:val="22"/>
          <w:szCs w:val="22"/>
        </w:rPr>
      </w:pPr>
      <w:r>
        <w:rPr>
          <w:noProof/>
        </w:rPr>
        <w:t>4.4</w:t>
      </w:r>
      <w:r>
        <w:rPr>
          <w:rFonts w:eastAsiaTheme="minorEastAsia" w:cstheme="minorBidi"/>
          <w:noProof/>
          <w:sz w:val="22"/>
          <w:szCs w:val="22"/>
        </w:rPr>
        <w:tab/>
      </w:r>
      <w:r>
        <w:rPr>
          <w:noProof/>
        </w:rPr>
        <w:t>Number of new NABERS ratings</w:t>
      </w:r>
      <w:r>
        <w:rPr>
          <w:noProof/>
        </w:rPr>
        <w:tab/>
      </w:r>
      <w:r>
        <w:rPr>
          <w:noProof/>
        </w:rPr>
        <w:fldChar w:fldCharType="begin"/>
      </w:r>
      <w:r>
        <w:rPr>
          <w:noProof/>
        </w:rPr>
        <w:instrText xml:space="preserve"> PAGEREF _Toc19280182 \h </w:instrText>
      </w:r>
      <w:r>
        <w:rPr>
          <w:noProof/>
        </w:rPr>
      </w:r>
      <w:r>
        <w:rPr>
          <w:noProof/>
        </w:rPr>
        <w:fldChar w:fldCharType="separate"/>
      </w:r>
      <w:r w:rsidR="00AD3561">
        <w:rPr>
          <w:noProof/>
        </w:rPr>
        <w:t>37</w:t>
      </w:r>
      <w:r>
        <w:rPr>
          <w:noProof/>
        </w:rPr>
        <w:fldChar w:fldCharType="end"/>
      </w:r>
    </w:p>
    <w:p w14:paraId="2D833E7A" w14:textId="6FF39618" w:rsidR="003B131D" w:rsidRDefault="003B131D">
      <w:pPr>
        <w:pStyle w:val="TableofFigures"/>
        <w:rPr>
          <w:rFonts w:eastAsiaTheme="minorEastAsia" w:cstheme="minorBidi"/>
          <w:noProof/>
          <w:sz w:val="22"/>
          <w:szCs w:val="22"/>
        </w:rPr>
      </w:pPr>
      <w:r>
        <w:rPr>
          <w:noProof/>
        </w:rPr>
        <w:t>4.5</w:t>
      </w:r>
      <w:r>
        <w:rPr>
          <w:rFonts w:eastAsiaTheme="minorEastAsia" w:cstheme="minorBidi"/>
          <w:noProof/>
          <w:sz w:val="22"/>
          <w:szCs w:val="22"/>
        </w:rPr>
        <w:tab/>
      </w:r>
      <w:r>
        <w:rPr>
          <w:noProof/>
        </w:rPr>
        <w:t>Share of BEECs achieving different star ratings</w:t>
      </w:r>
      <w:r>
        <w:rPr>
          <w:noProof/>
        </w:rPr>
        <w:tab/>
      </w:r>
      <w:r>
        <w:rPr>
          <w:noProof/>
        </w:rPr>
        <w:fldChar w:fldCharType="begin"/>
      </w:r>
      <w:r>
        <w:rPr>
          <w:noProof/>
        </w:rPr>
        <w:instrText xml:space="preserve"> PAGEREF _Toc19280183 \h </w:instrText>
      </w:r>
      <w:r>
        <w:rPr>
          <w:noProof/>
        </w:rPr>
      </w:r>
      <w:r>
        <w:rPr>
          <w:noProof/>
        </w:rPr>
        <w:fldChar w:fldCharType="separate"/>
      </w:r>
      <w:r w:rsidR="00AD3561">
        <w:rPr>
          <w:noProof/>
        </w:rPr>
        <w:t>38</w:t>
      </w:r>
      <w:r>
        <w:rPr>
          <w:noProof/>
        </w:rPr>
        <w:fldChar w:fldCharType="end"/>
      </w:r>
    </w:p>
    <w:p w14:paraId="1F008A7D" w14:textId="0895FDCC" w:rsidR="003B131D" w:rsidRDefault="003B131D">
      <w:pPr>
        <w:pStyle w:val="TableofFigures"/>
        <w:rPr>
          <w:rFonts w:eastAsiaTheme="minorEastAsia" w:cstheme="minorBidi"/>
          <w:noProof/>
          <w:sz w:val="22"/>
          <w:szCs w:val="22"/>
        </w:rPr>
      </w:pPr>
      <w:r>
        <w:rPr>
          <w:noProof/>
        </w:rPr>
        <w:t>4.6</w:t>
      </w:r>
      <w:r>
        <w:rPr>
          <w:rFonts w:eastAsiaTheme="minorEastAsia" w:cstheme="minorBidi"/>
          <w:noProof/>
          <w:sz w:val="22"/>
          <w:szCs w:val="22"/>
        </w:rPr>
        <w:tab/>
      </w:r>
      <w:r>
        <w:rPr>
          <w:noProof/>
        </w:rPr>
        <w:t>Average energy use and average star rating</w:t>
      </w:r>
      <w:r>
        <w:rPr>
          <w:noProof/>
        </w:rPr>
        <w:tab/>
      </w:r>
      <w:r>
        <w:rPr>
          <w:noProof/>
        </w:rPr>
        <w:fldChar w:fldCharType="begin"/>
      </w:r>
      <w:r>
        <w:rPr>
          <w:noProof/>
        </w:rPr>
        <w:instrText xml:space="preserve"> PAGEREF _Toc19280184 \h </w:instrText>
      </w:r>
      <w:r>
        <w:rPr>
          <w:noProof/>
        </w:rPr>
      </w:r>
      <w:r>
        <w:rPr>
          <w:noProof/>
        </w:rPr>
        <w:fldChar w:fldCharType="separate"/>
      </w:r>
      <w:r w:rsidR="00AD3561">
        <w:rPr>
          <w:noProof/>
        </w:rPr>
        <w:t>38</w:t>
      </w:r>
      <w:r>
        <w:rPr>
          <w:noProof/>
        </w:rPr>
        <w:fldChar w:fldCharType="end"/>
      </w:r>
    </w:p>
    <w:p w14:paraId="72CDB1C7" w14:textId="2512E63B" w:rsidR="003B131D" w:rsidRDefault="003B131D">
      <w:pPr>
        <w:pStyle w:val="TableofFigures"/>
        <w:rPr>
          <w:rFonts w:eastAsiaTheme="minorEastAsia" w:cstheme="minorBidi"/>
          <w:noProof/>
          <w:sz w:val="22"/>
          <w:szCs w:val="22"/>
        </w:rPr>
      </w:pPr>
      <w:r>
        <w:rPr>
          <w:noProof/>
        </w:rPr>
        <w:t>4.7</w:t>
      </w:r>
      <w:r>
        <w:rPr>
          <w:rFonts w:eastAsiaTheme="minorEastAsia" w:cstheme="minorBidi"/>
          <w:noProof/>
          <w:sz w:val="22"/>
          <w:szCs w:val="22"/>
        </w:rPr>
        <w:tab/>
      </w:r>
      <w:r>
        <w:rPr>
          <w:noProof/>
        </w:rPr>
        <w:t>Changes in star rating across buildings</w:t>
      </w:r>
      <w:r>
        <w:rPr>
          <w:noProof/>
        </w:rPr>
        <w:tab/>
      </w:r>
      <w:r>
        <w:rPr>
          <w:noProof/>
        </w:rPr>
        <w:fldChar w:fldCharType="begin"/>
      </w:r>
      <w:r>
        <w:rPr>
          <w:noProof/>
        </w:rPr>
        <w:instrText xml:space="preserve"> PAGEREF _Toc19280185 \h </w:instrText>
      </w:r>
      <w:r>
        <w:rPr>
          <w:noProof/>
        </w:rPr>
      </w:r>
      <w:r>
        <w:rPr>
          <w:noProof/>
        </w:rPr>
        <w:fldChar w:fldCharType="separate"/>
      </w:r>
      <w:r w:rsidR="00AD3561">
        <w:rPr>
          <w:noProof/>
        </w:rPr>
        <w:t>39</w:t>
      </w:r>
      <w:r>
        <w:rPr>
          <w:noProof/>
        </w:rPr>
        <w:fldChar w:fldCharType="end"/>
      </w:r>
    </w:p>
    <w:p w14:paraId="582A0D5D" w14:textId="52ACC011" w:rsidR="003B131D" w:rsidRDefault="003B131D">
      <w:pPr>
        <w:pStyle w:val="TableofFigures"/>
        <w:rPr>
          <w:rFonts w:eastAsiaTheme="minorEastAsia" w:cstheme="minorBidi"/>
          <w:noProof/>
          <w:sz w:val="22"/>
          <w:szCs w:val="22"/>
        </w:rPr>
      </w:pPr>
      <w:r>
        <w:rPr>
          <w:noProof/>
        </w:rPr>
        <w:t>4.8</w:t>
      </w:r>
      <w:r>
        <w:rPr>
          <w:rFonts w:eastAsiaTheme="minorEastAsia" w:cstheme="minorBidi"/>
          <w:noProof/>
          <w:sz w:val="22"/>
          <w:szCs w:val="22"/>
        </w:rPr>
        <w:tab/>
      </w:r>
      <w:r>
        <w:rPr>
          <w:noProof/>
        </w:rPr>
        <w:t>Changes for buildings based on initial star rating</w:t>
      </w:r>
      <w:r>
        <w:rPr>
          <w:noProof/>
        </w:rPr>
        <w:tab/>
      </w:r>
      <w:r>
        <w:rPr>
          <w:noProof/>
        </w:rPr>
        <w:fldChar w:fldCharType="begin"/>
      </w:r>
      <w:r>
        <w:rPr>
          <w:noProof/>
        </w:rPr>
        <w:instrText xml:space="preserve"> PAGEREF _Toc19280186 \h </w:instrText>
      </w:r>
      <w:r>
        <w:rPr>
          <w:noProof/>
        </w:rPr>
      </w:r>
      <w:r>
        <w:rPr>
          <w:noProof/>
        </w:rPr>
        <w:fldChar w:fldCharType="separate"/>
      </w:r>
      <w:r w:rsidR="00AD3561">
        <w:rPr>
          <w:noProof/>
        </w:rPr>
        <w:t>39</w:t>
      </w:r>
      <w:r>
        <w:rPr>
          <w:noProof/>
        </w:rPr>
        <w:fldChar w:fldCharType="end"/>
      </w:r>
    </w:p>
    <w:p w14:paraId="604F7C2E" w14:textId="6F905211" w:rsidR="003B131D" w:rsidRDefault="003B131D">
      <w:pPr>
        <w:pStyle w:val="TableofFigures"/>
        <w:rPr>
          <w:rFonts w:eastAsiaTheme="minorEastAsia" w:cstheme="minorBidi"/>
          <w:noProof/>
          <w:sz w:val="22"/>
          <w:szCs w:val="22"/>
        </w:rPr>
      </w:pPr>
      <w:r>
        <w:rPr>
          <w:noProof/>
        </w:rPr>
        <w:t>4.9</w:t>
      </w:r>
      <w:r>
        <w:rPr>
          <w:rFonts w:eastAsiaTheme="minorEastAsia" w:cstheme="minorBidi"/>
          <w:noProof/>
          <w:sz w:val="22"/>
          <w:szCs w:val="22"/>
        </w:rPr>
        <w:tab/>
      </w:r>
      <w:r>
        <w:rPr>
          <w:noProof/>
        </w:rPr>
        <w:t>Factors that impact on improvements in building energy performance</w:t>
      </w:r>
      <w:r>
        <w:rPr>
          <w:noProof/>
        </w:rPr>
        <w:tab/>
      </w:r>
      <w:r>
        <w:rPr>
          <w:noProof/>
        </w:rPr>
        <w:fldChar w:fldCharType="begin"/>
      </w:r>
      <w:r>
        <w:rPr>
          <w:noProof/>
        </w:rPr>
        <w:instrText xml:space="preserve"> PAGEREF _Toc19280187 \h </w:instrText>
      </w:r>
      <w:r>
        <w:rPr>
          <w:noProof/>
        </w:rPr>
      </w:r>
      <w:r>
        <w:rPr>
          <w:noProof/>
        </w:rPr>
        <w:fldChar w:fldCharType="separate"/>
      </w:r>
      <w:r w:rsidR="00AD3561">
        <w:rPr>
          <w:noProof/>
        </w:rPr>
        <w:t>41</w:t>
      </w:r>
      <w:r>
        <w:rPr>
          <w:noProof/>
        </w:rPr>
        <w:fldChar w:fldCharType="end"/>
      </w:r>
    </w:p>
    <w:p w14:paraId="645BD0EB" w14:textId="0EC8B6FE" w:rsidR="003B131D" w:rsidRDefault="003B131D">
      <w:pPr>
        <w:pStyle w:val="TableofFigures"/>
        <w:rPr>
          <w:rFonts w:eastAsiaTheme="minorEastAsia" w:cstheme="minorBidi"/>
          <w:noProof/>
          <w:sz w:val="22"/>
          <w:szCs w:val="22"/>
        </w:rPr>
      </w:pPr>
      <w:r>
        <w:rPr>
          <w:noProof/>
        </w:rPr>
        <w:t>4.10</w:t>
      </w:r>
      <w:r>
        <w:rPr>
          <w:rFonts w:eastAsiaTheme="minorEastAsia" w:cstheme="minorBidi"/>
          <w:noProof/>
          <w:sz w:val="22"/>
          <w:szCs w:val="22"/>
        </w:rPr>
        <w:tab/>
      </w:r>
      <w:r>
        <w:rPr>
          <w:noProof/>
        </w:rPr>
        <w:t>Illustrative energy cost and GHG emissions reductions</w:t>
      </w:r>
      <w:r>
        <w:rPr>
          <w:noProof/>
        </w:rPr>
        <w:tab/>
      </w:r>
      <w:r>
        <w:rPr>
          <w:noProof/>
        </w:rPr>
        <w:fldChar w:fldCharType="begin"/>
      </w:r>
      <w:r>
        <w:rPr>
          <w:noProof/>
        </w:rPr>
        <w:instrText xml:space="preserve"> PAGEREF _Toc19280188 \h </w:instrText>
      </w:r>
      <w:r>
        <w:rPr>
          <w:noProof/>
        </w:rPr>
      </w:r>
      <w:r>
        <w:rPr>
          <w:noProof/>
        </w:rPr>
        <w:fldChar w:fldCharType="separate"/>
      </w:r>
      <w:r w:rsidR="00AD3561">
        <w:rPr>
          <w:noProof/>
        </w:rPr>
        <w:t>41</w:t>
      </w:r>
      <w:r>
        <w:rPr>
          <w:noProof/>
        </w:rPr>
        <w:fldChar w:fldCharType="end"/>
      </w:r>
    </w:p>
    <w:p w14:paraId="316AA9E7" w14:textId="1A086E59" w:rsidR="003B131D" w:rsidRDefault="003B131D">
      <w:pPr>
        <w:pStyle w:val="TableofFigures"/>
        <w:rPr>
          <w:rFonts w:eastAsiaTheme="minorEastAsia" w:cstheme="minorBidi"/>
          <w:noProof/>
          <w:sz w:val="22"/>
          <w:szCs w:val="22"/>
        </w:rPr>
      </w:pPr>
      <w:r>
        <w:rPr>
          <w:noProof/>
        </w:rPr>
        <w:t>4.11</w:t>
      </w:r>
      <w:r>
        <w:rPr>
          <w:rFonts w:eastAsiaTheme="minorEastAsia" w:cstheme="minorBidi"/>
          <w:noProof/>
          <w:sz w:val="22"/>
          <w:szCs w:val="22"/>
        </w:rPr>
        <w:tab/>
      </w:r>
      <w:r>
        <w:rPr>
          <w:noProof/>
        </w:rPr>
        <w:t>Changes in energy use from NABERS and counterfactual</w:t>
      </w:r>
      <w:r>
        <w:rPr>
          <w:noProof/>
        </w:rPr>
        <w:tab/>
      </w:r>
      <w:r>
        <w:rPr>
          <w:noProof/>
        </w:rPr>
        <w:fldChar w:fldCharType="begin"/>
      </w:r>
      <w:r>
        <w:rPr>
          <w:noProof/>
        </w:rPr>
        <w:instrText xml:space="preserve"> PAGEREF _Toc19280189 \h </w:instrText>
      </w:r>
      <w:r>
        <w:rPr>
          <w:noProof/>
        </w:rPr>
      </w:r>
      <w:r>
        <w:rPr>
          <w:noProof/>
        </w:rPr>
        <w:fldChar w:fldCharType="separate"/>
      </w:r>
      <w:r w:rsidR="00AD3561">
        <w:rPr>
          <w:noProof/>
        </w:rPr>
        <w:t>43</w:t>
      </w:r>
      <w:r>
        <w:rPr>
          <w:noProof/>
        </w:rPr>
        <w:fldChar w:fldCharType="end"/>
      </w:r>
    </w:p>
    <w:p w14:paraId="6404D749" w14:textId="0C725DE2" w:rsidR="003B131D" w:rsidRDefault="003B131D">
      <w:pPr>
        <w:pStyle w:val="TableofFigures"/>
        <w:rPr>
          <w:rFonts w:eastAsiaTheme="minorEastAsia" w:cstheme="minorBidi"/>
          <w:noProof/>
          <w:sz w:val="22"/>
          <w:szCs w:val="22"/>
        </w:rPr>
      </w:pPr>
      <w:r>
        <w:rPr>
          <w:noProof/>
        </w:rPr>
        <w:t>4.12</w:t>
      </w:r>
      <w:r>
        <w:rPr>
          <w:rFonts w:eastAsiaTheme="minorEastAsia" w:cstheme="minorBidi"/>
          <w:noProof/>
          <w:sz w:val="22"/>
          <w:szCs w:val="22"/>
        </w:rPr>
        <w:tab/>
      </w:r>
      <w:r>
        <w:rPr>
          <w:noProof/>
        </w:rPr>
        <w:t>Energy efficiency opportunities — office building case study</w:t>
      </w:r>
      <w:r>
        <w:rPr>
          <w:noProof/>
        </w:rPr>
        <w:tab/>
      </w:r>
      <w:r>
        <w:rPr>
          <w:noProof/>
        </w:rPr>
        <w:fldChar w:fldCharType="begin"/>
      </w:r>
      <w:r>
        <w:rPr>
          <w:noProof/>
        </w:rPr>
        <w:instrText xml:space="preserve"> PAGEREF _Toc19280190 \h </w:instrText>
      </w:r>
      <w:r>
        <w:rPr>
          <w:noProof/>
        </w:rPr>
      </w:r>
      <w:r>
        <w:rPr>
          <w:noProof/>
        </w:rPr>
        <w:fldChar w:fldCharType="separate"/>
      </w:r>
      <w:r w:rsidR="00AD3561">
        <w:rPr>
          <w:noProof/>
        </w:rPr>
        <w:t>46</w:t>
      </w:r>
      <w:r>
        <w:rPr>
          <w:noProof/>
        </w:rPr>
        <w:fldChar w:fldCharType="end"/>
      </w:r>
    </w:p>
    <w:p w14:paraId="28C3F997" w14:textId="7DDC3C5B" w:rsidR="003B131D" w:rsidRDefault="003B131D">
      <w:pPr>
        <w:pStyle w:val="TableofFigures"/>
        <w:rPr>
          <w:rFonts w:eastAsiaTheme="minorEastAsia" w:cstheme="minorBidi"/>
          <w:noProof/>
          <w:sz w:val="22"/>
          <w:szCs w:val="22"/>
        </w:rPr>
      </w:pPr>
      <w:r>
        <w:rPr>
          <w:noProof/>
        </w:rPr>
        <w:t>4.13</w:t>
      </w:r>
      <w:r>
        <w:rPr>
          <w:rFonts w:eastAsiaTheme="minorEastAsia" w:cstheme="minorBidi"/>
          <w:noProof/>
          <w:sz w:val="22"/>
          <w:szCs w:val="22"/>
        </w:rPr>
        <w:tab/>
      </w:r>
      <w:r>
        <w:rPr>
          <w:noProof/>
        </w:rPr>
        <w:t>Average costs and benefits of various energy efficiency strategies</w:t>
      </w:r>
      <w:r>
        <w:rPr>
          <w:noProof/>
        </w:rPr>
        <w:tab/>
      </w:r>
      <w:r>
        <w:rPr>
          <w:noProof/>
        </w:rPr>
        <w:fldChar w:fldCharType="begin"/>
      </w:r>
      <w:r>
        <w:rPr>
          <w:noProof/>
        </w:rPr>
        <w:instrText xml:space="preserve"> PAGEREF _Toc19280191 \h </w:instrText>
      </w:r>
      <w:r>
        <w:rPr>
          <w:noProof/>
        </w:rPr>
      </w:r>
      <w:r>
        <w:rPr>
          <w:noProof/>
        </w:rPr>
        <w:fldChar w:fldCharType="separate"/>
      </w:r>
      <w:r w:rsidR="00AD3561">
        <w:rPr>
          <w:noProof/>
        </w:rPr>
        <w:t>47</w:t>
      </w:r>
      <w:r>
        <w:rPr>
          <w:noProof/>
        </w:rPr>
        <w:fldChar w:fldCharType="end"/>
      </w:r>
    </w:p>
    <w:p w14:paraId="014AE92E" w14:textId="132DB18B" w:rsidR="003B131D" w:rsidRDefault="003B131D">
      <w:pPr>
        <w:pStyle w:val="TableofFigures"/>
        <w:rPr>
          <w:rFonts w:eastAsiaTheme="minorEastAsia" w:cstheme="minorBidi"/>
          <w:noProof/>
          <w:sz w:val="22"/>
          <w:szCs w:val="22"/>
        </w:rPr>
      </w:pPr>
      <w:r>
        <w:rPr>
          <w:noProof/>
        </w:rPr>
        <w:t>4.14</w:t>
      </w:r>
      <w:r>
        <w:rPr>
          <w:rFonts w:eastAsiaTheme="minorEastAsia" w:cstheme="minorBidi"/>
          <w:noProof/>
          <w:sz w:val="22"/>
          <w:szCs w:val="22"/>
        </w:rPr>
        <w:tab/>
      </w:r>
      <w:r>
        <w:rPr>
          <w:noProof/>
        </w:rPr>
        <w:t>Aggregate energy savings</w:t>
      </w:r>
      <w:r>
        <w:rPr>
          <w:noProof/>
        </w:rPr>
        <w:tab/>
      </w:r>
      <w:r>
        <w:rPr>
          <w:noProof/>
        </w:rPr>
        <w:fldChar w:fldCharType="begin"/>
      </w:r>
      <w:r>
        <w:rPr>
          <w:noProof/>
        </w:rPr>
        <w:instrText xml:space="preserve"> PAGEREF _Toc19280192 \h </w:instrText>
      </w:r>
      <w:r>
        <w:rPr>
          <w:noProof/>
        </w:rPr>
      </w:r>
      <w:r>
        <w:rPr>
          <w:noProof/>
        </w:rPr>
        <w:fldChar w:fldCharType="separate"/>
      </w:r>
      <w:r w:rsidR="00AD3561">
        <w:rPr>
          <w:noProof/>
        </w:rPr>
        <w:t>48</w:t>
      </w:r>
      <w:r>
        <w:rPr>
          <w:noProof/>
        </w:rPr>
        <w:fldChar w:fldCharType="end"/>
      </w:r>
    </w:p>
    <w:p w14:paraId="31E03C97" w14:textId="4DD119C5" w:rsidR="003B131D" w:rsidRDefault="003B131D">
      <w:pPr>
        <w:pStyle w:val="TableofFigures"/>
        <w:rPr>
          <w:rFonts w:eastAsiaTheme="minorEastAsia" w:cstheme="minorBidi"/>
          <w:noProof/>
          <w:sz w:val="22"/>
          <w:szCs w:val="22"/>
        </w:rPr>
      </w:pPr>
      <w:r>
        <w:rPr>
          <w:noProof/>
        </w:rPr>
        <w:t>4.15</w:t>
      </w:r>
      <w:r>
        <w:rPr>
          <w:rFonts w:eastAsiaTheme="minorEastAsia" w:cstheme="minorBidi"/>
          <w:noProof/>
          <w:sz w:val="22"/>
          <w:szCs w:val="22"/>
        </w:rPr>
        <w:tab/>
      </w:r>
      <w:r>
        <w:rPr>
          <w:noProof/>
        </w:rPr>
        <w:t>Cumulative energy savings</w:t>
      </w:r>
      <w:r>
        <w:rPr>
          <w:noProof/>
        </w:rPr>
        <w:tab/>
      </w:r>
      <w:r>
        <w:rPr>
          <w:noProof/>
        </w:rPr>
        <w:fldChar w:fldCharType="begin"/>
      </w:r>
      <w:r>
        <w:rPr>
          <w:noProof/>
        </w:rPr>
        <w:instrText xml:space="preserve"> PAGEREF _Toc19280193 \h </w:instrText>
      </w:r>
      <w:r>
        <w:rPr>
          <w:noProof/>
        </w:rPr>
      </w:r>
      <w:r>
        <w:rPr>
          <w:noProof/>
        </w:rPr>
        <w:fldChar w:fldCharType="separate"/>
      </w:r>
      <w:r w:rsidR="00AD3561">
        <w:rPr>
          <w:noProof/>
        </w:rPr>
        <w:t>49</w:t>
      </w:r>
      <w:r>
        <w:rPr>
          <w:noProof/>
        </w:rPr>
        <w:fldChar w:fldCharType="end"/>
      </w:r>
    </w:p>
    <w:p w14:paraId="02812D26" w14:textId="640E6203" w:rsidR="003B131D" w:rsidRDefault="003B131D">
      <w:pPr>
        <w:pStyle w:val="TableofFigures"/>
        <w:rPr>
          <w:rFonts w:eastAsiaTheme="minorEastAsia" w:cstheme="minorBidi"/>
          <w:noProof/>
          <w:sz w:val="22"/>
          <w:szCs w:val="22"/>
        </w:rPr>
      </w:pPr>
      <w:r>
        <w:rPr>
          <w:noProof/>
        </w:rPr>
        <w:t>4.16</w:t>
      </w:r>
      <w:r>
        <w:rPr>
          <w:rFonts w:eastAsiaTheme="minorEastAsia" w:cstheme="minorBidi"/>
          <w:noProof/>
          <w:sz w:val="22"/>
          <w:szCs w:val="22"/>
        </w:rPr>
        <w:tab/>
      </w:r>
      <w:r>
        <w:rPr>
          <w:noProof/>
        </w:rPr>
        <w:t>Aggregate GHG savings</w:t>
      </w:r>
      <w:r>
        <w:rPr>
          <w:noProof/>
        </w:rPr>
        <w:tab/>
      </w:r>
      <w:r>
        <w:rPr>
          <w:noProof/>
        </w:rPr>
        <w:fldChar w:fldCharType="begin"/>
      </w:r>
      <w:r>
        <w:rPr>
          <w:noProof/>
        </w:rPr>
        <w:instrText xml:space="preserve"> PAGEREF _Toc19280194 \h </w:instrText>
      </w:r>
      <w:r>
        <w:rPr>
          <w:noProof/>
        </w:rPr>
      </w:r>
      <w:r>
        <w:rPr>
          <w:noProof/>
        </w:rPr>
        <w:fldChar w:fldCharType="separate"/>
      </w:r>
      <w:r w:rsidR="00AD3561">
        <w:rPr>
          <w:noProof/>
        </w:rPr>
        <w:t>49</w:t>
      </w:r>
      <w:r>
        <w:rPr>
          <w:noProof/>
        </w:rPr>
        <w:fldChar w:fldCharType="end"/>
      </w:r>
    </w:p>
    <w:p w14:paraId="30ADC3F0" w14:textId="34C9A06F" w:rsidR="003B131D" w:rsidRDefault="003B131D">
      <w:pPr>
        <w:pStyle w:val="TableofFigures"/>
        <w:rPr>
          <w:rFonts w:eastAsiaTheme="minorEastAsia" w:cstheme="minorBidi"/>
          <w:noProof/>
          <w:sz w:val="22"/>
          <w:szCs w:val="22"/>
        </w:rPr>
      </w:pPr>
      <w:r>
        <w:rPr>
          <w:noProof/>
        </w:rPr>
        <w:t>4.17</w:t>
      </w:r>
      <w:r>
        <w:rPr>
          <w:rFonts w:eastAsiaTheme="minorEastAsia" w:cstheme="minorBidi"/>
          <w:noProof/>
          <w:sz w:val="22"/>
          <w:szCs w:val="22"/>
        </w:rPr>
        <w:tab/>
      </w:r>
      <w:r>
        <w:rPr>
          <w:noProof/>
        </w:rPr>
        <w:t>Cumulative GHG savings</w:t>
      </w:r>
      <w:r>
        <w:rPr>
          <w:noProof/>
        </w:rPr>
        <w:tab/>
      </w:r>
      <w:r>
        <w:rPr>
          <w:noProof/>
        </w:rPr>
        <w:fldChar w:fldCharType="begin"/>
      </w:r>
      <w:r>
        <w:rPr>
          <w:noProof/>
        </w:rPr>
        <w:instrText xml:space="preserve"> PAGEREF _Toc19280195 \h </w:instrText>
      </w:r>
      <w:r>
        <w:rPr>
          <w:noProof/>
        </w:rPr>
      </w:r>
      <w:r>
        <w:rPr>
          <w:noProof/>
        </w:rPr>
        <w:fldChar w:fldCharType="separate"/>
      </w:r>
      <w:r w:rsidR="00AD3561">
        <w:rPr>
          <w:noProof/>
        </w:rPr>
        <w:t>50</w:t>
      </w:r>
      <w:r>
        <w:rPr>
          <w:noProof/>
        </w:rPr>
        <w:fldChar w:fldCharType="end"/>
      </w:r>
    </w:p>
    <w:p w14:paraId="1542A812" w14:textId="023B2D76" w:rsidR="003B131D" w:rsidRDefault="003B131D">
      <w:pPr>
        <w:pStyle w:val="TableofFigures"/>
        <w:rPr>
          <w:rFonts w:eastAsiaTheme="minorEastAsia" w:cstheme="minorBidi"/>
          <w:noProof/>
          <w:sz w:val="22"/>
          <w:szCs w:val="22"/>
        </w:rPr>
      </w:pPr>
      <w:r>
        <w:rPr>
          <w:noProof/>
        </w:rPr>
        <w:t>4.18</w:t>
      </w:r>
      <w:r>
        <w:rPr>
          <w:rFonts w:eastAsiaTheme="minorEastAsia" w:cstheme="minorBidi"/>
          <w:noProof/>
          <w:sz w:val="22"/>
          <w:szCs w:val="22"/>
        </w:rPr>
        <w:tab/>
      </w:r>
      <w:r>
        <w:rPr>
          <w:noProof/>
        </w:rPr>
        <w:t>TLAs per year</w:t>
      </w:r>
      <w:r>
        <w:rPr>
          <w:noProof/>
        </w:rPr>
        <w:tab/>
      </w:r>
      <w:r>
        <w:rPr>
          <w:noProof/>
        </w:rPr>
        <w:fldChar w:fldCharType="begin"/>
      </w:r>
      <w:r>
        <w:rPr>
          <w:noProof/>
        </w:rPr>
        <w:instrText xml:space="preserve"> PAGEREF _Toc19280196 \h </w:instrText>
      </w:r>
      <w:r>
        <w:rPr>
          <w:noProof/>
        </w:rPr>
      </w:r>
      <w:r>
        <w:rPr>
          <w:noProof/>
        </w:rPr>
        <w:fldChar w:fldCharType="separate"/>
      </w:r>
      <w:r w:rsidR="00AD3561">
        <w:rPr>
          <w:noProof/>
        </w:rPr>
        <w:t>50</w:t>
      </w:r>
      <w:r>
        <w:rPr>
          <w:noProof/>
        </w:rPr>
        <w:fldChar w:fldCharType="end"/>
      </w:r>
    </w:p>
    <w:p w14:paraId="39366D27" w14:textId="79EC2153" w:rsidR="003B131D" w:rsidRDefault="003B131D">
      <w:pPr>
        <w:pStyle w:val="TableofFigures"/>
        <w:rPr>
          <w:rFonts w:eastAsiaTheme="minorEastAsia" w:cstheme="minorBidi"/>
          <w:noProof/>
          <w:sz w:val="22"/>
          <w:szCs w:val="22"/>
        </w:rPr>
      </w:pPr>
      <w:r>
        <w:rPr>
          <w:noProof/>
        </w:rPr>
        <w:t>4.19</w:t>
      </w:r>
      <w:r>
        <w:rPr>
          <w:rFonts w:eastAsiaTheme="minorEastAsia" w:cstheme="minorBidi"/>
          <w:noProof/>
          <w:sz w:val="22"/>
          <w:szCs w:val="22"/>
        </w:rPr>
        <w:tab/>
      </w:r>
      <w:r>
        <w:rPr>
          <w:noProof/>
        </w:rPr>
        <w:t>Changes in net lighting power density</w:t>
      </w:r>
      <w:r>
        <w:rPr>
          <w:noProof/>
        </w:rPr>
        <w:tab/>
      </w:r>
      <w:r>
        <w:rPr>
          <w:noProof/>
        </w:rPr>
        <w:fldChar w:fldCharType="begin"/>
      </w:r>
      <w:r>
        <w:rPr>
          <w:noProof/>
        </w:rPr>
        <w:instrText xml:space="preserve"> PAGEREF _Toc19280197 \h </w:instrText>
      </w:r>
      <w:r>
        <w:rPr>
          <w:noProof/>
        </w:rPr>
      </w:r>
      <w:r>
        <w:rPr>
          <w:noProof/>
        </w:rPr>
        <w:fldChar w:fldCharType="separate"/>
      </w:r>
      <w:r w:rsidR="00AD3561">
        <w:rPr>
          <w:noProof/>
        </w:rPr>
        <w:t>51</w:t>
      </w:r>
      <w:r>
        <w:rPr>
          <w:noProof/>
        </w:rPr>
        <w:fldChar w:fldCharType="end"/>
      </w:r>
    </w:p>
    <w:p w14:paraId="7806529C" w14:textId="648AB288" w:rsidR="003B131D" w:rsidRDefault="003B131D">
      <w:pPr>
        <w:pStyle w:val="TableofFigures"/>
        <w:rPr>
          <w:rFonts w:eastAsiaTheme="minorEastAsia" w:cstheme="minorBidi"/>
          <w:noProof/>
          <w:sz w:val="22"/>
          <w:szCs w:val="22"/>
        </w:rPr>
      </w:pPr>
      <w:r>
        <w:rPr>
          <w:noProof/>
        </w:rPr>
        <w:t>4.20</w:t>
      </w:r>
      <w:r>
        <w:rPr>
          <w:rFonts w:eastAsiaTheme="minorEastAsia" w:cstheme="minorBidi"/>
          <w:noProof/>
          <w:sz w:val="22"/>
          <w:szCs w:val="22"/>
        </w:rPr>
        <w:tab/>
      </w:r>
      <w:r>
        <w:rPr>
          <w:noProof/>
        </w:rPr>
        <w:t>Change in weighted average NLPD by building — frequency distribution</w:t>
      </w:r>
      <w:r>
        <w:rPr>
          <w:noProof/>
        </w:rPr>
        <w:tab/>
      </w:r>
      <w:r>
        <w:rPr>
          <w:noProof/>
        </w:rPr>
        <w:fldChar w:fldCharType="begin"/>
      </w:r>
      <w:r>
        <w:rPr>
          <w:noProof/>
        </w:rPr>
        <w:instrText xml:space="preserve"> PAGEREF _Toc19280198 \h </w:instrText>
      </w:r>
      <w:r>
        <w:rPr>
          <w:noProof/>
        </w:rPr>
      </w:r>
      <w:r>
        <w:rPr>
          <w:noProof/>
        </w:rPr>
        <w:fldChar w:fldCharType="separate"/>
      </w:r>
      <w:r w:rsidR="00AD3561">
        <w:rPr>
          <w:noProof/>
        </w:rPr>
        <w:t>52</w:t>
      </w:r>
      <w:r>
        <w:rPr>
          <w:noProof/>
        </w:rPr>
        <w:fldChar w:fldCharType="end"/>
      </w:r>
    </w:p>
    <w:p w14:paraId="259C2050" w14:textId="0D22C68E" w:rsidR="003B131D" w:rsidRDefault="003B131D">
      <w:pPr>
        <w:pStyle w:val="TableofFigures"/>
        <w:rPr>
          <w:rFonts w:eastAsiaTheme="minorEastAsia" w:cstheme="minorBidi"/>
          <w:noProof/>
          <w:sz w:val="22"/>
          <w:szCs w:val="22"/>
        </w:rPr>
      </w:pPr>
      <w:r>
        <w:rPr>
          <w:noProof/>
        </w:rPr>
        <w:t>4.21</w:t>
      </w:r>
      <w:r>
        <w:rPr>
          <w:rFonts w:eastAsiaTheme="minorEastAsia" w:cstheme="minorBidi"/>
          <w:noProof/>
          <w:sz w:val="22"/>
          <w:szCs w:val="22"/>
        </w:rPr>
        <w:tab/>
      </w:r>
      <w:r>
        <w:rPr>
          <w:noProof/>
        </w:rPr>
        <w:t>Share of spaces by control capacity</w:t>
      </w:r>
      <w:r>
        <w:rPr>
          <w:noProof/>
        </w:rPr>
        <w:tab/>
      </w:r>
      <w:r>
        <w:rPr>
          <w:noProof/>
        </w:rPr>
        <w:fldChar w:fldCharType="begin"/>
      </w:r>
      <w:r>
        <w:rPr>
          <w:noProof/>
        </w:rPr>
        <w:instrText xml:space="preserve"> PAGEREF _Toc19280199 \h </w:instrText>
      </w:r>
      <w:r>
        <w:rPr>
          <w:noProof/>
        </w:rPr>
      </w:r>
      <w:r>
        <w:rPr>
          <w:noProof/>
        </w:rPr>
        <w:fldChar w:fldCharType="separate"/>
      </w:r>
      <w:r w:rsidR="00AD3561">
        <w:rPr>
          <w:noProof/>
        </w:rPr>
        <w:t>52</w:t>
      </w:r>
      <w:r>
        <w:rPr>
          <w:noProof/>
        </w:rPr>
        <w:fldChar w:fldCharType="end"/>
      </w:r>
    </w:p>
    <w:p w14:paraId="7190576E" w14:textId="3B9FF465" w:rsidR="003B131D" w:rsidRDefault="003B131D">
      <w:pPr>
        <w:pStyle w:val="TableofFigures"/>
        <w:rPr>
          <w:rFonts w:eastAsiaTheme="minorEastAsia" w:cstheme="minorBidi"/>
          <w:noProof/>
          <w:sz w:val="22"/>
          <w:szCs w:val="22"/>
        </w:rPr>
      </w:pPr>
      <w:r>
        <w:rPr>
          <w:noProof/>
        </w:rPr>
        <w:t>4.22</w:t>
      </w:r>
      <w:r>
        <w:rPr>
          <w:rFonts w:eastAsiaTheme="minorEastAsia" w:cstheme="minorBidi"/>
          <w:noProof/>
          <w:sz w:val="22"/>
          <w:szCs w:val="22"/>
        </w:rPr>
        <w:tab/>
      </w:r>
      <w:r>
        <w:rPr>
          <w:noProof/>
        </w:rPr>
        <w:t>Relationship between net lighting power density and energy intensity</w:t>
      </w:r>
      <w:r>
        <w:rPr>
          <w:noProof/>
        </w:rPr>
        <w:tab/>
      </w:r>
      <w:r>
        <w:rPr>
          <w:noProof/>
        </w:rPr>
        <w:fldChar w:fldCharType="begin"/>
      </w:r>
      <w:r>
        <w:rPr>
          <w:noProof/>
        </w:rPr>
        <w:instrText xml:space="preserve"> PAGEREF _Toc19280200 \h </w:instrText>
      </w:r>
      <w:r>
        <w:rPr>
          <w:noProof/>
        </w:rPr>
      </w:r>
      <w:r>
        <w:rPr>
          <w:noProof/>
        </w:rPr>
        <w:fldChar w:fldCharType="separate"/>
      </w:r>
      <w:r w:rsidR="00AD3561">
        <w:rPr>
          <w:noProof/>
        </w:rPr>
        <w:t>53</w:t>
      </w:r>
      <w:r>
        <w:rPr>
          <w:noProof/>
        </w:rPr>
        <w:fldChar w:fldCharType="end"/>
      </w:r>
    </w:p>
    <w:p w14:paraId="497703E8" w14:textId="0DA267C6" w:rsidR="003B131D" w:rsidRDefault="003B131D">
      <w:pPr>
        <w:pStyle w:val="TableofFigures"/>
        <w:rPr>
          <w:rFonts w:eastAsiaTheme="minorEastAsia" w:cstheme="minorBidi"/>
          <w:noProof/>
          <w:sz w:val="22"/>
          <w:szCs w:val="22"/>
        </w:rPr>
      </w:pPr>
      <w:r>
        <w:rPr>
          <w:noProof/>
        </w:rPr>
        <w:t>5.1</w:t>
      </w:r>
      <w:r>
        <w:rPr>
          <w:rFonts w:eastAsiaTheme="minorEastAsia" w:cstheme="minorBidi"/>
          <w:noProof/>
          <w:sz w:val="22"/>
          <w:szCs w:val="22"/>
        </w:rPr>
        <w:tab/>
      </w:r>
      <w:r>
        <w:rPr>
          <w:noProof/>
        </w:rPr>
        <w:t>CBD Program to 2018</w:t>
      </w:r>
      <w:r>
        <w:rPr>
          <w:noProof/>
        </w:rPr>
        <w:noBreakHyphen/>
        <w:t>19 — cost-benefit analysis</w:t>
      </w:r>
      <w:r>
        <w:rPr>
          <w:noProof/>
        </w:rPr>
        <w:tab/>
      </w:r>
      <w:r>
        <w:rPr>
          <w:noProof/>
        </w:rPr>
        <w:fldChar w:fldCharType="begin"/>
      </w:r>
      <w:r>
        <w:rPr>
          <w:noProof/>
        </w:rPr>
        <w:instrText xml:space="preserve"> PAGEREF _Toc19280201 \h </w:instrText>
      </w:r>
      <w:r>
        <w:rPr>
          <w:noProof/>
        </w:rPr>
      </w:r>
      <w:r>
        <w:rPr>
          <w:noProof/>
        </w:rPr>
        <w:fldChar w:fldCharType="separate"/>
      </w:r>
      <w:r w:rsidR="00AD3561">
        <w:rPr>
          <w:noProof/>
        </w:rPr>
        <w:t>54</w:t>
      </w:r>
      <w:r>
        <w:rPr>
          <w:noProof/>
        </w:rPr>
        <w:fldChar w:fldCharType="end"/>
      </w:r>
    </w:p>
    <w:p w14:paraId="75DDB950" w14:textId="382B94D1" w:rsidR="003B131D" w:rsidRDefault="003B131D">
      <w:pPr>
        <w:pStyle w:val="TableofFigures"/>
        <w:rPr>
          <w:rFonts w:eastAsiaTheme="minorEastAsia" w:cstheme="minorBidi"/>
          <w:noProof/>
          <w:sz w:val="22"/>
          <w:szCs w:val="22"/>
        </w:rPr>
      </w:pPr>
      <w:r>
        <w:rPr>
          <w:noProof/>
        </w:rPr>
        <w:t>5.2</w:t>
      </w:r>
      <w:r>
        <w:rPr>
          <w:rFonts w:eastAsiaTheme="minorEastAsia" w:cstheme="minorBidi"/>
          <w:noProof/>
          <w:sz w:val="22"/>
          <w:szCs w:val="22"/>
        </w:rPr>
        <w:tab/>
      </w:r>
      <w:r>
        <w:rPr>
          <w:noProof/>
        </w:rPr>
        <w:t>CBD Program ‘business as usual’ to 2030 — cost-benefit analysis</w:t>
      </w:r>
      <w:r>
        <w:rPr>
          <w:noProof/>
        </w:rPr>
        <w:tab/>
      </w:r>
      <w:r>
        <w:rPr>
          <w:noProof/>
        </w:rPr>
        <w:fldChar w:fldCharType="begin"/>
      </w:r>
      <w:r>
        <w:rPr>
          <w:noProof/>
        </w:rPr>
        <w:instrText xml:space="preserve"> PAGEREF _Toc19280202 \h </w:instrText>
      </w:r>
      <w:r>
        <w:rPr>
          <w:noProof/>
        </w:rPr>
      </w:r>
      <w:r>
        <w:rPr>
          <w:noProof/>
        </w:rPr>
        <w:fldChar w:fldCharType="separate"/>
      </w:r>
      <w:r w:rsidR="00AD3561">
        <w:rPr>
          <w:noProof/>
        </w:rPr>
        <w:t>56</w:t>
      </w:r>
      <w:r>
        <w:rPr>
          <w:noProof/>
        </w:rPr>
        <w:fldChar w:fldCharType="end"/>
      </w:r>
    </w:p>
    <w:p w14:paraId="561B30B1" w14:textId="3B8E9E51" w:rsidR="003B131D" w:rsidRDefault="003B131D">
      <w:pPr>
        <w:pStyle w:val="TableofFigures"/>
        <w:rPr>
          <w:rFonts w:eastAsiaTheme="minorEastAsia" w:cstheme="minorBidi"/>
          <w:noProof/>
          <w:sz w:val="22"/>
          <w:szCs w:val="22"/>
        </w:rPr>
      </w:pPr>
      <w:r>
        <w:rPr>
          <w:noProof/>
        </w:rPr>
        <w:t>5.3</w:t>
      </w:r>
      <w:r>
        <w:rPr>
          <w:rFonts w:eastAsiaTheme="minorEastAsia" w:cstheme="minorBidi"/>
          <w:noProof/>
          <w:sz w:val="22"/>
          <w:szCs w:val="22"/>
        </w:rPr>
        <w:tab/>
      </w:r>
      <w:r>
        <w:rPr>
          <w:noProof/>
        </w:rPr>
        <w:t>Relationship between NABERS energy rating and thermal comfort score</w:t>
      </w:r>
      <w:r>
        <w:rPr>
          <w:noProof/>
        </w:rPr>
        <w:tab/>
      </w:r>
      <w:r>
        <w:rPr>
          <w:noProof/>
        </w:rPr>
        <w:fldChar w:fldCharType="begin"/>
      </w:r>
      <w:r>
        <w:rPr>
          <w:noProof/>
        </w:rPr>
        <w:instrText xml:space="preserve"> PAGEREF _Toc19280203 \h </w:instrText>
      </w:r>
      <w:r>
        <w:rPr>
          <w:noProof/>
        </w:rPr>
      </w:r>
      <w:r>
        <w:rPr>
          <w:noProof/>
        </w:rPr>
        <w:fldChar w:fldCharType="separate"/>
      </w:r>
      <w:r w:rsidR="00AD3561">
        <w:rPr>
          <w:noProof/>
        </w:rPr>
        <w:t>59</w:t>
      </w:r>
      <w:r>
        <w:rPr>
          <w:noProof/>
        </w:rPr>
        <w:fldChar w:fldCharType="end"/>
      </w:r>
    </w:p>
    <w:p w14:paraId="6C27CF3D" w14:textId="14BB6305" w:rsidR="003B131D" w:rsidRDefault="003B131D">
      <w:pPr>
        <w:pStyle w:val="TableofFigures"/>
        <w:rPr>
          <w:rFonts w:eastAsiaTheme="minorEastAsia" w:cstheme="minorBidi"/>
          <w:noProof/>
          <w:sz w:val="22"/>
          <w:szCs w:val="22"/>
        </w:rPr>
      </w:pPr>
      <w:r>
        <w:rPr>
          <w:noProof/>
        </w:rPr>
        <w:t>5.4</w:t>
      </w:r>
      <w:r>
        <w:rPr>
          <w:rFonts w:eastAsiaTheme="minorEastAsia" w:cstheme="minorBidi"/>
          <w:noProof/>
          <w:sz w:val="22"/>
          <w:szCs w:val="22"/>
        </w:rPr>
        <w:tab/>
      </w:r>
      <w:r>
        <w:rPr>
          <w:noProof/>
        </w:rPr>
        <w:t>Incremental change in energy intensity and NABERS star rating</w:t>
      </w:r>
      <w:r>
        <w:rPr>
          <w:noProof/>
        </w:rPr>
        <w:tab/>
      </w:r>
      <w:r>
        <w:rPr>
          <w:noProof/>
        </w:rPr>
        <w:fldChar w:fldCharType="begin"/>
      </w:r>
      <w:r>
        <w:rPr>
          <w:noProof/>
        </w:rPr>
        <w:instrText xml:space="preserve"> PAGEREF _Toc19280204 \h </w:instrText>
      </w:r>
      <w:r>
        <w:rPr>
          <w:noProof/>
        </w:rPr>
      </w:r>
      <w:r>
        <w:rPr>
          <w:noProof/>
        </w:rPr>
        <w:fldChar w:fldCharType="separate"/>
      </w:r>
      <w:r w:rsidR="00AD3561">
        <w:rPr>
          <w:noProof/>
        </w:rPr>
        <w:t>61</w:t>
      </w:r>
      <w:r>
        <w:rPr>
          <w:noProof/>
        </w:rPr>
        <w:fldChar w:fldCharType="end"/>
      </w:r>
    </w:p>
    <w:p w14:paraId="4E46484D" w14:textId="6D976AA3" w:rsidR="003B131D" w:rsidRDefault="003B131D">
      <w:pPr>
        <w:pStyle w:val="TableofFigures"/>
        <w:rPr>
          <w:rFonts w:eastAsiaTheme="minorEastAsia" w:cstheme="minorBidi"/>
          <w:noProof/>
          <w:sz w:val="22"/>
          <w:szCs w:val="22"/>
        </w:rPr>
      </w:pPr>
      <w:r>
        <w:rPr>
          <w:noProof/>
        </w:rPr>
        <w:t>5.5</w:t>
      </w:r>
      <w:r>
        <w:rPr>
          <w:rFonts w:eastAsiaTheme="minorEastAsia" w:cstheme="minorBidi"/>
          <w:noProof/>
          <w:sz w:val="22"/>
          <w:szCs w:val="22"/>
        </w:rPr>
        <w:tab/>
      </w:r>
      <w:r>
        <w:rPr>
          <w:noProof/>
        </w:rPr>
        <w:t>Share of total energy saved</w:t>
      </w:r>
      <w:r>
        <w:rPr>
          <w:noProof/>
        </w:rPr>
        <w:tab/>
      </w:r>
      <w:r>
        <w:rPr>
          <w:noProof/>
        </w:rPr>
        <w:fldChar w:fldCharType="begin"/>
      </w:r>
      <w:r>
        <w:rPr>
          <w:noProof/>
        </w:rPr>
        <w:instrText xml:space="preserve"> PAGEREF _Toc19280205 \h </w:instrText>
      </w:r>
      <w:r>
        <w:rPr>
          <w:noProof/>
        </w:rPr>
      </w:r>
      <w:r>
        <w:rPr>
          <w:noProof/>
        </w:rPr>
        <w:fldChar w:fldCharType="separate"/>
      </w:r>
      <w:r w:rsidR="00AD3561">
        <w:rPr>
          <w:noProof/>
        </w:rPr>
        <w:t>62</w:t>
      </w:r>
      <w:r>
        <w:rPr>
          <w:noProof/>
        </w:rPr>
        <w:fldChar w:fldCharType="end"/>
      </w:r>
    </w:p>
    <w:p w14:paraId="79509699" w14:textId="6C6762E6" w:rsidR="003B131D" w:rsidRDefault="003B131D">
      <w:pPr>
        <w:pStyle w:val="TableofFigures"/>
        <w:rPr>
          <w:rFonts w:eastAsiaTheme="minorEastAsia" w:cstheme="minorBidi"/>
          <w:noProof/>
          <w:sz w:val="22"/>
          <w:szCs w:val="22"/>
        </w:rPr>
      </w:pPr>
      <w:r>
        <w:rPr>
          <w:noProof/>
        </w:rPr>
        <w:t>5.6</w:t>
      </w:r>
      <w:r>
        <w:rPr>
          <w:rFonts w:eastAsiaTheme="minorEastAsia" w:cstheme="minorBidi"/>
          <w:noProof/>
          <w:sz w:val="22"/>
          <w:szCs w:val="22"/>
        </w:rPr>
        <w:tab/>
      </w:r>
      <w:r>
        <w:rPr>
          <w:noProof/>
        </w:rPr>
        <w:t>Estimated compliance costs</w:t>
      </w:r>
      <w:r>
        <w:rPr>
          <w:noProof/>
        </w:rPr>
        <w:tab/>
      </w:r>
      <w:r>
        <w:rPr>
          <w:noProof/>
        </w:rPr>
        <w:fldChar w:fldCharType="begin"/>
      </w:r>
      <w:r>
        <w:rPr>
          <w:noProof/>
        </w:rPr>
        <w:instrText xml:space="preserve"> PAGEREF _Toc19280206 \h </w:instrText>
      </w:r>
      <w:r>
        <w:rPr>
          <w:noProof/>
        </w:rPr>
      </w:r>
      <w:r>
        <w:rPr>
          <w:noProof/>
        </w:rPr>
        <w:fldChar w:fldCharType="separate"/>
      </w:r>
      <w:r w:rsidR="00AD3561">
        <w:rPr>
          <w:noProof/>
        </w:rPr>
        <w:t>63</w:t>
      </w:r>
      <w:r>
        <w:rPr>
          <w:noProof/>
        </w:rPr>
        <w:fldChar w:fldCharType="end"/>
      </w:r>
    </w:p>
    <w:p w14:paraId="23AE699D" w14:textId="124DD732" w:rsidR="003B131D" w:rsidRDefault="003B131D">
      <w:pPr>
        <w:pStyle w:val="TableofFigures"/>
        <w:rPr>
          <w:rFonts w:eastAsiaTheme="minorEastAsia" w:cstheme="minorBidi"/>
          <w:noProof/>
          <w:sz w:val="22"/>
          <w:szCs w:val="22"/>
        </w:rPr>
      </w:pPr>
      <w:r>
        <w:rPr>
          <w:noProof/>
        </w:rPr>
        <w:t>5.7</w:t>
      </w:r>
      <w:r>
        <w:rPr>
          <w:rFonts w:eastAsiaTheme="minorEastAsia" w:cstheme="minorBidi"/>
          <w:noProof/>
          <w:sz w:val="22"/>
          <w:szCs w:val="22"/>
        </w:rPr>
        <w:tab/>
      </w:r>
      <w:r>
        <w:rPr>
          <w:noProof/>
        </w:rPr>
        <w:t>Number of NABERS Energy ratings</w:t>
      </w:r>
      <w:r>
        <w:rPr>
          <w:noProof/>
        </w:rPr>
        <w:tab/>
      </w:r>
      <w:r>
        <w:rPr>
          <w:noProof/>
        </w:rPr>
        <w:fldChar w:fldCharType="begin"/>
      </w:r>
      <w:r>
        <w:rPr>
          <w:noProof/>
        </w:rPr>
        <w:instrText xml:space="preserve"> PAGEREF _Toc19280207 \h </w:instrText>
      </w:r>
      <w:r>
        <w:rPr>
          <w:noProof/>
        </w:rPr>
      </w:r>
      <w:r>
        <w:rPr>
          <w:noProof/>
        </w:rPr>
        <w:fldChar w:fldCharType="separate"/>
      </w:r>
      <w:r w:rsidR="00AD3561">
        <w:rPr>
          <w:noProof/>
        </w:rPr>
        <w:t>63</w:t>
      </w:r>
      <w:r>
        <w:rPr>
          <w:noProof/>
        </w:rPr>
        <w:fldChar w:fldCharType="end"/>
      </w:r>
    </w:p>
    <w:p w14:paraId="75167397" w14:textId="2F9A2CC3" w:rsidR="003B131D" w:rsidRDefault="003B131D">
      <w:pPr>
        <w:pStyle w:val="TableofFigures"/>
        <w:rPr>
          <w:rFonts w:eastAsiaTheme="minorEastAsia" w:cstheme="minorBidi"/>
          <w:noProof/>
          <w:sz w:val="22"/>
          <w:szCs w:val="22"/>
        </w:rPr>
      </w:pPr>
      <w:r>
        <w:rPr>
          <w:noProof/>
        </w:rPr>
        <w:t>5.8</w:t>
      </w:r>
      <w:r>
        <w:rPr>
          <w:rFonts w:eastAsiaTheme="minorEastAsia" w:cstheme="minorBidi"/>
          <w:noProof/>
          <w:sz w:val="22"/>
          <w:szCs w:val="22"/>
        </w:rPr>
        <w:tab/>
      </w:r>
      <w:r>
        <w:rPr>
          <w:noProof/>
        </w:rPr>
        <w:t>Energy savings per dollar spent by initial star rating</w:t>
      </w:r>
      <w:r>
        <w:rPr>
          <w:noProof/>
        </w:rPr>
        <w:tab/>
      </w:r>
      <w:r>
        <w:rPr>
          <w:noProof/>
        </w:rPr>
        <w:fldChar w:fldCharType="begin"/>
      </w:r>
      <w:r>
        <w:rPr>
          <w:noProof/>
        </w:rPr>
        <w:instrText xml:space="preserve"> PAGEREF _Toc19280208 \h </w:instrText>
      </w:r>
      <w:r>
        <w:rPr>
          <w:noProof/>
        </w:rPr>
      </w:r>
      <w:r>
        <w:rPr>
          <w:noProof/>
        </w:rPr>
        <w:fldChar w:fldCharType="separate"/>
      </w:r>
      <w:r w:rsidR="00AD3561">
        <w:rPr>
          <w:noProof/>
        </w:rPr>
        <w:t>64</w:t>
      </w:r>
      <w:r>
        <w:rPr>
          <w:noProof/>
        </w:rPr>
        <w:fldChar w:fldCharType="end"/>
      </w:r>
    </w:p>
    <w:p w14:paraId="795D5399" w14:textId="3C0BF8C2" w:rsidR="003B131D" w:rsidRDefault="003B131D">
      <w:pPr>
        <w:pStyle w:val="TableofFigures"/>
        <w:rPr>
          <w:rFonts w:eastAsiaTheme="minorEastAsia" w:cstheme="minorBidi"/>
          <w:noProof/>
          <w:sz w:val="22"/>
          <w:szCs w:val="22"/>
        </w:rPr>
      </w:pPr>
      <w:r>
        <w:rPr>
          <w:noProof/>
        </w:rPr>
        <w:t>5.9</w:t>
      </w:r>
      <w:r>
        <w:rPr>
          <w:rFonts w:eastAsiaTheme="minorEastAsia" w:cstheme="minorBidi"/>
          <w:noProof/>
          <w:sz w:val="22"/>
          <w:szCs w:val="22"/>
        </w:rPr>
        <w:tab/>
      </w:r>
      <w:r>
        <w:rPr>
          <w:noProof/>
        </w:rPr>
        <w:t>Estimated payback period by star rating</w:t>
      </w:r>
      <w:r>
        <w:rPr>
          <w:noProof/>
        </w:rPr>
        <w:tab/>
      </w:r>
      <w:r>
        <w:rPr>
          <w:noProof/>
        </w:rPr>
        <w:fldChar w:fldCharType="begin"/>
      </w:r>
      <w:r>
        <w:rPr>
          <w:noProof/>
        </w:rPr>
        <w:instrText xml:space="preserve"> PAGEREF _Toc19280209 \h </w:instrText>
      </w:r>
      <w:r>
        <w:rPr>
          <w:noProof/>
        </w:rPr>
      </w:r>
      <w:r>
        <w:rPr>
          <w:noProof/>
        </w:rPr>
        <w:fldChar w:fldCharType="separate"/>
      </w:r>
      <w:r w:rsidR="00AD3561">
        <w:rPr>
          <w:noProof/>
        </w:rPr>
        <w:t>65</w:t>
      </w:r>
      <w:r>
        <w:rPr>
          <w:noProof/>
        </w:rPr>
        <w:fldChar w:fldCharType="end"/>
      </w:r>
    </w:p>
    <w:p w14:paraId="0C5D1C95" w14:textId="34B71629" w:rsidR="003B131D" w:rsidRDefault="003B131D">
      <w:pPr>
        <w:pStyle w:val="TableofFigures"/>
        <w:rPr>
          <w:rFonts w:eastAsiaTheme="minorEastAsia" w:cstheme="minorBidi"/>
          <w:noProof/>
          <w:sz w:val="22"/>
          <w:szCs w:val="22"/>
        </w:rPr>
      </w:pPr>
      <w:r>
        <w:rPr>
          <w:noProof/>
        </w:rPr>
        <w:t>5.10</w:t>
      </w:r>
      <w:r>
        <w:rPr>
          <w:rFonts w:eastAsiaTheme="minorEastAsia" w:cstheme="minorBidi"/>
          <w:noProof/>
          <w:sz w:val="22"/>
          <w:szCs w:val="22"/>
        </w:rPr>
        <w:tab/>
      </w:r>
      <w:r>
        <w:rPr>
          <w:noProof/>
        </w:rPr>
        <w:t>Annual operating costs</w:t>
      </w:r>
      <w:r>
        <w:rPr>
          <w:noProof/>
        </w:rPr>
        <w:tab/>
      </w:r>
      <w:r>
        <w:rPr>
          <w:noProof/>
        </w:rPr>
        <w:fldChar w:fldCharType="begin"/>
      </w:r>
      <w:r>
        <w:rPr>
          <w:noProof/>
        </w:rPr>
        <w:instrText xml:space="preserve"> PAGEREF _Toc19280210 \h </w:instrText>
      </w:r>
      <w:r>
        <w:rPr>
          <w:noProof/>
        </w:rPr>
      </w:r>
      <w:r>
        <w:rPr>
          <w:noProof/>
        </w:rPr>
        <w:fldChar w:fldCharType="separate"/>
      </w:r>
      <w:r w:rsidR="00AD3561">
        <w:rPr>
          <w:noProof/>
        </w:rPr>
        <w:t>66</w:t>
      </w:r>
      <w:r>
        <w:rPr>
          <w:noProof/>
        </w:rPr>
        <w:fldChar w:fldCharType="end"/>
      </w:r>
    </w:p>
    <w:p w14:paraId="6B1E2750" w14:textId="3AD2F4B4" w:rsidR="003B131D" w:rsidRDefault="003B131D">
      <w:pPr>
        <w:pStyle w:val="TableofFigures"/>
        <w:rPr>
          <w:rFonts w:eastAsiaTheme="minorEastAsia" w:cstheme="minorBidi"/>
          <w:noProof/>
          <w:sz w:val="22"/>
          <w:szCs w:val="22"/>
        </w:rPr>
      </w:pPr>
      <w:r>
        <w:rPr>
          <w:noProof/>
        </w:rPr>
        <w:t>5.11</w:t>
      </w:r>
      <w:r>
        <w:rPr>
          <w:rFonts w:eastAsiaTheme="minorEastAsia" w:cstheme="minorBidi"/>
          <w:noProof/>
          <w:sz w:val="22"/>
          <w:szCs w:val="22"/>
        </w:rPr>
        <w:tab/>
      </w:r>
      <w:r>
        <w:rPr>
          <w:noProof/>
        </w:rPr>
        <w:t>Summary of capital costs</w:t>
      </w:r>
      <w:r>
        <w:rPr>
          <w:noProof/>
        </w:rPr>
        <w:tab/>
      </w:r>
      <w:r>
        <w:rPr>
          <w:noProof/>
        </w:rPr>
        <w:fldChar w:fldCharType="begin"/>
      </w:r>
      <w:r>
        <w:rPr>
          <w:noProof/>
        </w:rPr>
        <w:instrText xml:space="preserve"> PAGEREF _Toc19280211 \h </w:instrText>
      </w:r>
      <w:r>
        <w:rPr>
          <w:noProof/>
        </w:rPr>
      </w:r>
      <w:r>
        <w:rPr>
          <w:noProof/>
        </w:rPr>
        <w:fldChar w:fldCharType="separate"/>
      </w:r>
      <w:r w:rsidR="00AD3561">
        <w:rPr>
          <w:noProof/>
        </w:rPr>
        <w:t>66</w:t>
      </w:r>
      <w:r>
        <w:rPr>
          <w:noProof/>
        </w:rPr>
        <w:fldChar w:fldCharType="end"/>
      </w:r>
    </w:p>
    <w:p w14:paraId="7ED72830" w14:textId="5B1AEA50" w:rsidR="003B131D" w:rsidRDefault="003B131D">
      <w:pPr>
        <w:pStyle w:val="TableofFigures"/>
        <w:rPr>
          <w:rFonts w:eastAsiaTheme="minorEastAsia" w:cstheme="minorBidi"/>
          <w:noProof/>
          <w:sz w:val="22"/>
          <w:szCs w:val="22"/>
        </w:rPr>
      </w:pPr>
      <w:r>
        <w:rPr>
          <w:noProof/>
        </w:rPr>
        <w:t>6.1</w:t>
      </w:r>
      <w:r>
        <w:rPr>
          <w:rFonts w:eastAsiaTheme="minorEastAsia" w:cstheme="minorBidi"/>
          <w:noProof/>
          <w:sz w:val="22"/>
          <w:szCs w:val="22"/>
        </w:rPr>
        <w:tab/>
      </w:r>
      <w:r>
        <w:rPr>
          <w:noProof/>
        </w:rPr>
        <w:t>Design options</w:t>
      </w:r>
      <w:r>
        <w:rPr>
          <w:noProof/>
        </w:rPr>
        <w:tab/>
      </w:r>
      <w:r>
        <w:rPr>
          <w:noProof/>
        </w:rPr>
        <w:fldChar w:fldCharType="begin"/>
      </w:r>
      <w:r>
        <w:rPr>
          <w:noProof/>
        </w:rPr>
        <w:instrText xml:space="preserve"> PAGEREF _Toc19280212 \h </w:instrText>
      </w:r>
      <w:r>
        <w:rPr>
          <w:noProof/>
        </w:rPr>
      </w:r>
      <w:r>
        <w:rPr>
          <w:noProof/>
        </w:rPr>
        <w:fldChar w:fldCharType="separate"/>
      </w:r>
      <w:r w:rsidR="00AD3561">
        <w:rPr>
          <w:noProof/>
        </w:rPr>
        <w:t>70</w:t>
      </w:r>
      <w:r>
        <w:rPr>
          <w:noProof/>
        </w:rPr>
        <w:fldChar w:fldCharType="end"/>
      </w:r>
    </w:p>
    <w:p w14:paraId="1F2DAAA8" w14:textId="20B19E06" w:rsidR="003B131D" w:rsidRDefault="003B131D">
      <w:pPr>
        <w:pStyle w:val="TableofFigures"/>
        <w:rPr>
          <w:rFonts w:eastAsiaTheme="minorEastAsia" w:cstheme="minorBidi"/>
          <w:noProof/>
          <w:sz w:val="22"/>
          <w:szCs w:val="22"/>
        </w:rPr>
      </w:pPr>
      <w:r>
        <w:rPr>
          <w:noProof/>
        </w:rPr>
        <w:t>6.2</w:t>
      </w:r>
      <w:r>
        <w:rPr>
          <w:rFonts w:eastAsiaTheme="minorEastAsia" w:cstheme="minorBidi"/>
          <w:noProof/>
          <w:sz w:val="22"/>
          <w:szCs w:val="22"/>
        </w:rPr>
        <w:tab/>
      </w:r>
      <w:r>
        <w:rPr>
          <w:noProof/>
        </w:rPr>
        <w:t>Number of NABERS ratings over time</w:t>
      </w:r>
      <w:r>
        <w:rPr>
          <w:noProof/>
        </w:rPr>
        <w:tab/>
      </w:r>
      <w:r>
        <w:rPr>
          <w:noProof/>
        </w:rPr>
        <w:fldChar w:fldCharType="begin"/>
      </w:r>
      <w:r>
        <w:rPr>
          <w:noProof/>
        </w:rPr>
        <w:instrText xml:space="preserve"> PAGEREF _Toc19280213 \h </w:instrText>
      </w:r>
      <w:r>
        <w:rPr>
          <w:noProof/>
        </w:rPr>
      </w:r>
      <w:r>
        <w:rPr>
          <w:noProof/>
        </w:rPr>
        <w:fldChar w:fldCharType="separate"/>
      </w:r>
      <w:r w:rsidR="00AD3561">
        <w:rPr>
          <w:noProof/>
        </w:rPr>
        <w:t>71</w:t>
      </w:r>
      <w:r>
        <w:rPr>
          <w:noProof/>
        </w:rPr>
        <w:fldChar w:fldCharType="end"/>
      </w:r>
    </w:p>
    <w:p w14:paraId="35F8B431" w14:textId="23211F1E" w:rsidR="003B131D" w:rsidRDefault="003B131D">
      <w:pPr>
        <w:pStyle w:val="TableofFigures"/>
        <w:rPr>
          <w:rFonts w:eastAsiaTheme="minorEastAsia" w:cstheme="minorBidi"/>
          <w:noProof/>
          <w:sz w:val="22"/>
          <w:szCs w:val="22"/>
        </w:rPr>
      </w:pPr>
      <w:r>
        <w:rPr>
          <w:noProof/>
        </w:rPr>
        <w:t>6.3</w:t>
      </w:r>
      <w:r>
        <w:rPr>
          <w:rFonts w:eastAsiaTheme="minorEastAsia" w:cstheme="minorBidi"/>
          <w:noProof/>
          <w:sz w:val="22"/>
          <w:szCs w:val="22"/>
        </w:rPr>
        <w:tab/>
      </w:r>
      <w:r>
        <w:rPr>
          <w:noProof/>
        </w:rPr>
        <w:t>Average NABERS rating over time</w:t>
      </w:r>
      <w:r>
        <w:rPr>
          <w:noProof/>
        </w:rPr>
        <w:tab/>
      </w:r>
      <w:r>
        <w:rPr>
          <w:noProof/>
        </w:rPr>
        <w:fldChar w:fldCharType="begin"/>
      </w:r>
      <w:r>
        <w:rPr>
          <w:noProof/>
        </w:rPr>
        <w:instrText xml:space="preserve"> PAGEREF _Toc19280214 \h </w:instrText>
      </w:r>
      <w:r>
        <w:rPr>
          <w:noProof/>
        </w:rPr>
      </w:r>
      <w:r>
        <w:rPr>
          <w:noProof/>
        </w:rPr>
        <w:fldChar w:fldCharType="separate"/>
      </w:r>
      <w:r w:rsidR="00AD3561">
        <w:rPr>
          <w:noProof/>
        </w:rPr>
        <w:t>72</w:t>
      </w:r>
      <w:r>
        <w:rPr>
          <w:noProof/>
        </w:rPr>
        <w:fldChar w:fldCharType="end"/>
      </w:r>
    </w:p>
    <w:p w14:paraId="21258861" w14:textId="2C7EBDF0" w:rsidR="003B131D" w:rsidRDefault="003B131D">
      <w:pPr>
        <w:pStyle w:val="TableofFigures"/>
        <w:rPr>
          <w:rFonts w:eastAsiaTheme="minorEastAsia" w:cstheme="minorBidi"/>
          <w:noProof/>
          <w:sz w:val="22"/>
          <w:szCs w:val="22"/>
        </w:rPr>
      </w:pPr>
      <w:r>
        <w:rPr>
          <w:noProof/>
        </w:rPr>
        <w:t>6.4</w:t>
      </w:r>
      <w:r>
        <w:rPr>
          <w:rFonts w:eastAsiaTheme="minorEastAsia" w:cstheme="minorBidi"/>
          <w:noProof/>
          <w:sz w:val="22"/>
          <w:szCs w:val="22"/>
        </w:rPr>
        <w:tab/>
      </w:r>
      <w:r>
        <w:rPr>
          <w:noProof/>
        </w:rPr>
        <w:t>Comparing first NABERS rating to last rating</w:t>
      </w:r>
      <w:r>
        <w:rPr>
          <w:noProof/>
        </w:rPr>
        <w:tab/>
      </w:r>
      <w:r>
        <w:rPr>
          <w:noProof/>
        </w:rPr>
        <w:fldChar w:fldCharType="begin"/>
      </w:r>
      <w:r>
        <w:rPr>
          <w:noProof/>
        </w:rPr>
        <w:instrText xml:space="preserve"> PAGEREF _Toc19280215 \h </w:instrText>
      </w:r>
      <w:r>
        <w:rPr>
          <w:noProof/>
        </w:rPr>
      </w:r>
      <w:r>
        <w:rPr>
          <w:noProof/>
        </w:rPr>
        <w:fldChar w:fldCharType="separate"/>
      </w:r>
      <w:r w:rsidR="00AD3561">
        <w:rPr>
          <w:noProof/>
        </w:rPr>
        <w:t>73</w:t>
      </w:r>
      <w:r>
        <w:rPr>
          <w:noProof/>
        </w:rPr>
        <w:fldChar w:fldCharType="end"/>
      </w:r>
    </w:p>
    <w:p w14:paraId="37EDBD24" w14:textId="3DB03DAA" w:rsidR="003B131D" w:rsidRDefault="003B131D">
      <w:pPr>
        <w:pStyle w:val="TableofFigures"/>
        <w:rPr>
          <w:rFonts w:eastAsiaTheme="minorEastAsia" w:cstheme="minorBidi"/>
          <w:noProof/>
          <w:sz w:val="22"/>
          <w:szCs w:val="22"/>
        </w:rPr>
      </w:pPr>
      <w:r>
        <w:rPr>
          <w:noProof/>
        </w:rPr>
        <w:t>6.5</w:t>
      </w:r>
      <w:r>
        <w:rPr>
          <w:rFonts w:eastAsiaTheme="minorEastAsia" w:cstheme="minorBidi"/>
          <w:noProof/>
          <w:sz w:val="22"/>
          <w:szCs w:val="22"/>
        </w:rPr>
        <w:tab/>
      </w:r>
      <w:r>
        <w:rPr>
          <w:noProof/>
        </w:rPr>
        <w:t>Change in energy consumption</w:t>
      </w:r>
      <w:r>
        <w:rPr>
          <w:noProof/>
        </w:rPr>
        <w:tab/>
      </w:r>
      <w:r>
        <w:rPr>
          <w:noProof/>
        </w:rPr>
        <w:fldChar w:fldCharType="begin"/>
      </w:r>
      <w:r>
        <w:rPr>
          <w:noProof/>
        </w:rPr>
        <w:instrText xml:space="preserve"> PAGEREF _Toc19280216 \h </w:instrText>
      </w:r>
      <w:r>
        <w:rPr>
          <w:noProof/>
        </w:rPr>
      </w:r>
      <w:r>
        <w:rPr>
          <w:noProof/>
        </w:rPr>
        <w:fldChar w:fldCharType="separate"/>
      </w:r>
      <w:r w:rsidR="00AD3561">
        <w:rPr>
          <w:noProof/>
        </w:rPr>
        <w:t>74</w:t>
      </w:r>
      <w:r>
        <w:rPr>
          <w:noProof/>
        </w:rPr>
        <w:fldChar w:fldCharType="end"/>
      </w:r>
    </w:p>
    <w:p w14:paraId="367DE7FE" w14:textId="38B680A6" w:rsidR="003B131D" w:rsidRDefault="003B131D">
      <w:pPr>
        <w:pStyle w:val="TableofFigures"/>
        <w:rPr>
          <w:rFonts w:eastAsiaTheme="minorEastAsia" w:cstheme="minorBidi"/>
          <w:noProof/>
          <w:sz w:val="22"/>
          <w:szCs w:val="22"/>
        </w:rPr>
      </w:pPr>
      <w:r>
        <w:rPr>
          <w:noProof/>
        </w:rPr>
        <w:t>6.6</w:t>
      </w:r>
      <w:r>
        <w:rPr>
          <w:rFonts w:eastAsiaTheme="minorEastAsia" w:cstheme="minorBidi"/>
          <w:noProof/>
          <w:sz w:val="22"/>
          <w:szCs w:val="22"/>
        </w:rPr>
        <w:tab/>
      </w:r>
      <w:r>
        <w:rPr>
          <w:noProof/>
        </w:rPr>
        <w:t>NABERS Energy ratings</w:t>
      </w:r>
      <w:r>
        <w:rPr>
          <w:noProof/>
        </w:rPr>
        <w:tab/>
      </w:r>
      <w:r>
        <w:rPr>
          <w:noProof/>
        </w:rPr>
        <w:fldChar w:fldCharType="begin"/>
      </w:r>
      <w:r>
        <w:rPr>
          <w:noProof/>
        </w:rPr>
        <w:instrText xml:space="preserve"> PAGEREF _Toc19280217 \h </w:instrText>
      </w:r>
      <w:r>
        <w:rPr>
          <w:noProof/>
        </w:rPr>
      </w:r>
      <w:r>
        <w:rPr>
          <w:noProof/>
        </w:rPr>
        <w:fldChar w:fldCharType="separate"/>
      </w:r>
      <w:r w:rsidR="00AD3561">
        <w:rPr>
          <w:noProof/>
        </w:rPr>
        <w:t>77</w:t>
      </w:r>
      <w:r>
        <w:rPr>
          <w:noProof/>
        </w:rPr>
        <w:fldChar w:fldCharType="end"/>
      </w:r>
    </w:p>
    <w:p w14:paraId="1739D3EB" w14:textId="5635E337" w:rsidR="003B131D" w:rsidRDefault="003B131D">
      <w:pPr>
        <w:pStyle w:val="TableofFigures"/>
        <w:rPr>
          <w:rFonts w:eastAsiaTheme="minorEastAsia" w:cstheme="minorBidi"/>
          <w:noProof/>
          <w:sz w:val="22"/>
          <w:szCs w:val="22"/>
        </w:rPr>
      </w:pPr>
      <w:r>
        <w:rPr>
          <w:noProof/>
        </w:rPr>
        <w:t>6.7</w:t>
      </w:r>
      <w:r>
        <w:rPr>
          <w:rFonts w:eastAsiaTheme="minorEastAsia" w:cstheme="minorBidi"/>
          <w:noProof/>
          <w:sz w:val="22"/>
          <w:szCs w:val="22"/>
        </w:rPr>
        <w:tab/>
      </w:r>
      <w:r>
        <w:rPr>
          <w:noProof/>
        </w:rPr>
        <w:t>Information most relevant to different stakeholders</w:t>
      </w:r>
      <w:r>
        <w:rPr>
          <w:noProof/>
        </w:rPr>
        <w:tab/>
      </w:r>
      <w:r>
        <w:rPr>
          <w:noProof/>
        </w:rPr>
        <w:fldChar w:fldCharType="begin"/>
      </w:r>
      <w:r>
        <w:rPr>
          <w:noProof/>
        </w:rPr>
        <w:instrText xml:space="preserve"> PAGEREF _Toc19280218 \h </w:instrText>
      </w:r>
      <w:r>
        <w:rPr>
          <w:noProof/>
        </w:rPr>
      </w:r>
      <w:r>
        <w:rPr>
          <w:noProof/>
        </w:rPr>
        <w:fldChar w:fldCharType="separate"/>
      </w:r>
      <w:r w:rsidR="00AD3561">
        <w:rPr>
          <w:noProof/>
        </w:rPr>
        <w:t>79</w:t>
      </w:r>
      <w:r>
        <w:rPr>
          <w:noProof/>
        </w:rPr>
        <w:fldChar w:fldCharType="end"/>
      </w:r>
    </w:p>
    <w:p w14:paraId="20838D47" w14:textId="69C118FA" w:rsidR="003B131D" w:rsidRDefault="003B131D">
      <w:pPr>
        <w:pStyle w:val="TableofFigures"/>
        <w:rPr>
          <w:rFonts w:eastAsiaTheme="minorEastAsia" w:cstheme="minorBidi"/>
          <w:noProof/>
          <w:sz w:val="22"/>
          <w:szCs w:val="22"/>
        </w:rPr>
      </w:pPr>
      <w:r>
        <w:rPr>
          <w:noProof/>
        </w:rPr>
        <w:t>6.8</w:t>
      </w:r>
      <w:r>
        <w:rPr>
          <w:rFonts w:eastAsiaTheme="minorEastAsia" w:cstheme="minorBidi"/>
          <w:noProof/>
          <w:sz w:val="22"/>
          <w:szCs w:val="22"/>
        </w:rPr>
        <w:tab/>
      </w:r>
      <w:r>
        <w:rPr>
          <w:noProof/>
        </w:rPr>
        <w:t>Options for expanding the CBD Program to office tenancies</w:t>
      </w:r>
      <w:r>
        <w:rPr>
          <w:noProof/>
        </w:rPr>
        <w:tab/>
      </w:r>
      <w:r>
        <w:rPr>
          <w:noProof/>
        </w:rPr>
        <w:fldChar w:fldCharType="begin"/>
      </w:r>
      <w:r>
        <w:rPr>
          <w:noProof/>
        </w:rPr>
        <w:instrText xml:space="preserve"> PAGEREF _Toc19280219 \h </w:instrText>
      </w:r>
      <w:r>
        <w:rPr>
          <w:noProof/>
        </w:rPr>
      </w:r>
      <w:r>
        <w:rPr>
          <w:noProof/>
        </w:rPr>
        <w:fldChar w:fldCharType="separate"/>
      </w:r>
      <w:r w:rsidR="00AD3561">
        <w:rPr>
          <w:noProof/>
        </w:rPr>
        <w:t>84</w:t>
      </w:r>
      <w:r>
        <w:rPr>
          <w:noProof/>
        </w:rPr>
        <w:fldChar w:fldCharType="end"/>
      </w:r>
    </w:p>
    <w:p w14:paraId="71CFAB64" w14:textId="74B500A6" w:rsidR="003B131D" w:rsidRDefault="003B131D">
      <w:pPr>
        <w:pStyle w:val="TableofFigures"/>
        <w:rPr>
          <w:rFonts w:eastAsiaTheme="minorEastAsia" w:cstheme="minorBidi"/>
          <w:noProof/>
          <w:sz w:val="22"/>
          <w:szCs w:val="22"/>
        </w:rPr>
      </w:pPr>
      <w:r>
        <w:rPr>
          <w:noProof/>
        </w:rPr>
        <w:t>6.9</w:t>
      </w:r>
      <w:r>
        <w:rPr>
          <w:rFonts w:eastAsiaTheme="minorEastAsia" w:cstheme="minorBidi"/>
          <w:noProof/>
          <w:sz w:val="22"/>
          <w:szCs w:val="22"/>
        </w:rPr>
        <w:tab/>
      </w:r>
      <w:r>
        <w:rPr>
          <w:noProof/>
        </w:rPr>
        <w:t>Expansion of the CBD Program to office tenancies – cost-benefit analysis</w:t>
      </w:r>
      <w:r>
        <w:rPr>
          <w:noProof/>
        </w:rPr>
        <w:tab/>
      </w:r>
      <w:r>
        <w:rPr>
          <w:noProof/>
        </w:rPr>
        <w:fldChar w:fldCharType="begin"/>
      </w:r>
      <w:r>
        <w:rPr>
          <w:noProof/>
        </w:rPr>
        <w:instrText xml:space="preserve"> PAGEREF _Toc19280220 \h </w:instrText>
      </w:r>
      <w:r>
        <w:rPr>
          <w:noProof/>
        </w:rPr>
      </w:r>
      <w:r>
        <w:rPr>
          <w:noProof/>
        </w:rPr>
        <w:fldChar w:fldCharType="separate"/>
      </w:r>
      <w:r w:rsidR="00AD3561">
        <w:rPr>
          <w:noProof/>
        </w:rPr>
        <w:t>85</w:t>
      </w:r>
      <w:r>
        <w:rPr>
          <w:noProof/>
        </w:rPr>
        <w:fldChar w:fldCharType="end"/>
      </w:r>
    </w:p>
    <w:p w14:paraId="46EF09EC" w14:textId="58628271" w:rsidR="003B131D" w:rsidRDefault="003B131D">
      <w:pPr>
        <w:pStyle w:val="TableofFigures"/>
        <w:rPr>
          <w:rFonts w:eastAsiaTheme="minorEastAsia" w:cstheme="minorBidi"/>
          <w:noProof/>
          <w:sz w:val="22"/>
          <w:szCs w:val="22"/>
        </w:rPr>
      </w:pPr>
      <w:r>
        <w:rPr>
          <w:noProof/>
        </w:rPr>
        <w:t>6.10</w:t>
      </w:r>
      <w:r>
        <w:rPr>
          <w:rFonts w:eastAsiaTheme="minorEastAsia" w:cstheme="minorBidi"/>
          <w:noProof/>
          <w:sz w:val="22"/>
          <w:szCs w:val="22"/>
        </w:rPr>
        <w:tab/>
      </w:r>
      <w:r>
        <w:rPr>
          <w:noProof/>
        </w:rPr>
        <w:t>Relationship between consulting fees and net lettable area</w:t>
      </w:r>
      <w:r>
        <w:rPr>
          <w:noProof/>
        </w:rPr>
        <w:tab/>
      </w:r>
      <w:r>
        <w:rPr>
          <w:noProof/>
        </w:rPr>
        <w:fldChar w:fldCharType="begin"/>
      </w:r>
      <w:r>
        <w:rPr>
          <w:noProof/>
        </w:rPr>
        <w:instrText xml:space="preserve"> PAGEREF _Toc19280221 \h </w:instrText>
      </w:r>
      <w:r>
        <w:rPr>
          <w:noProof/>
        </w:rPr>
      </w:r>
      <w:r>
        <w:rPr>
          <w:noProof/>
        </w:rPr>
        <w:fldChar w:fldCharType="separate"/>
      </w:r>
      <w:r w:rsidR="00AD3561">
        <w:rPr>
          <w:noProof/>
        </w:rPr>
        <w:t>87</w:t>
      </w:r>
      <w:r>
        <w:rPr>
          <w:noProof/>
        </w:rPr>
        <w:fldChar w:fldCharType="end"/>
      </w:r>
    </w:p>
    <w:p w14:paraId="5B5C8078" w14:textId="7E05965E" w:rsidR="003B131D" w:rsidRDefault="003B131D">
      <w:pPr>
        <w:pStyle w:val="TableofFigures"/>
        <w:rPr>
          <w:rFonts w:eastAsiaTheme="minorEastAsia" w:cstheme="minorBidi"/>
          <w:noProof/>
          <w:sz w:val="22"/>
          <w:szCs w:val="22"/>
        </w:rPr>
      </w:pPr>
      <w:r>
        <w:rPr>
          <w:noProof/>
        </w:rPr>
        <w:t>6.11</w:t>
      </w:r>
      <w:r>
        <w:rPr>
          <w:rFonts w:eastAsiaTheme="minorEastAsia" w:cstheme="minorBidi"/>
          <w:noProof/>
          <w:sz w:val="22"/>
          <w:szCs w:val="22"/>
        </w:rPr>
        <w:tab/>
      </w:r>
      <w:r>
        <w:rPr>
          <w:noProof/>
        </w:rPr>
        <w:t>Energy efficiency opportunities — office building case study</w:t>
      </w:r>
      <w:r>
        <w:rPr>
          <w:noProof/>
        </w:rPr>
        <w:tab/>
      </w:r>
      <w:r>
        <w:rPr>
          <w:noProof/>
        </w:rPr>
        <w:fldChar w:fldCharType="begin"/>
      </w:r>
      <w:r>
        <w:rPr>
          <w:noProof/>
        </w:rPr>
        <w:instrText xml:space="preserve"> PAGEREF _Toc19280222 \h </w:instrText>
      </w:r>
      <w:r>
        <w:rPr>
          <w:noProof/>
        </w:rPr>
      </w:r>
      <w:r>
        <w:rPr>
          <w:noProof/>
        </w:rPr>
        <w:fldChar w:fldCharType="separate"/>
      </w:r>
      <w:r w:rsidR="00AD3561">
        <w:rPr>
          <w:noProof/>
        </w:rPr>
        <w:t>90</w:t>
      </w:r>
      <w:r>
        <w:rPr>
          <w:noProof/>
        </w:rPr>
        <w:fldChar w:fldCharType="end"/>
      </w:r>
    </w:p>
    <w:p w14:paraId="06B95E5A" w14:textId="74A6BA67" w:rsidR="003B131D" w:rsidRDefault="003B131D">
      <w:pPr>
        <w:pStyle w:val="TableofFigures"/>
        <w:rPr>
          <w:rFonts w:eastAsiaTheme="minorEastAsia" w:cstheme="minorBidi"/>
          <w:noProof/>
          <w:sz w:val="22"/>
          <w:szCs w:val="22"/>
        </w:rPr>
      </w:pPr>
      <w:r>
        <w:rPr>
          <w:noProof/>
        </w:rPr>
        <w:t>6.12</w:t>
      </w:r>
      <w:r>
        <w:rPr>
          <w:rFonts w:eastAsiaTheme="minorEastAsia" w:cstheme="minorBidi"/>
          <w:noProof/>
          <w:sz w:val="22"/>
          <w:szCs w:val="22"/>
        </w:rPr>
        <w:tab/>
      </w:r>
      <w:r>
        <w:rPr>
          <w:noProof/>
        </w:rPr>
        <w:t>Distribution of initial NABERS Office tenancy star ratings</w:t>
      </w:r>
      <w:r>
        <w:rPr>
          <w:noProof/>
        </w:rPr>
        <w:tab/>
      </w:r>
      <w:r>
        <w:rPr>
          <w:noProof/>
        </w:rPr>
        <w:fldChar w:fldCharType="begin"/>
      </w:r>
      <w:r>
        <w:rPr>
          <w:noProof/>
        </w:rPr>
        <w:instrText xml:space="preserve"> PAGEREF _Toc19280223 \h </w:instrText>
      </w:r>
      <w:r>
        <w:rPr>
          <w:noProof/>
        </w:rPr>
      </w:r>
      <w:r>
        <w:rPr>
          <w:noProof/>
        </w:rPr>
        <w:fldChar w:fldCharType="separate"/>
      </w:r>
      <w:r w:rsidR="00AD3561">
        <w:rPr>
          <w:noProof/>
        </w:rPr>
        <w:t>90</w:t>
      </w:r>
      <w:r>
        <w:rPr>
          <w:noProof/>
        </w:rPr>
        <w:fldChar w:fldCharType="end"/>
      </w:r>
    </w:p>
    <w:p w14:paraId="1065659C" w14:textId="20A028EC" w:rsidR="003B131D" w:rsidRDefault="003B131D">
      <w:pPr>
        <w:pStyle w:val="TableofFigures"/>
        <w:rPr>
          <w:rFonts w:eastAsiaTheme="minorEastAsia" w:cstheme="minorBidi"/>
          <w:noProof/>
          <w:sz w:val="22"/>
          <w:szCs w:val="22"/>
        </w:rPr>
      </w:pPr>
      <w:r>
        <w:rPr>
          <w:noProof/>
        </w:rPr>
        <w:t>7.1</w:t>
      </w:r>
      <w:r>
        <w:rPr>
          <w:rFonts w:eastAsiaTheme="minorEastAsia" w:cstheme="minorBidi"/>
          <w:noProof/>
          <w:sz w:val="22"/>
          <w:szCs w:val="22"/>
        </w:rPr>
        <w:tab/>
      </w:r>
      <w:r>
        <w:rPr>
          <w:noProof/>
        </w:rPr>
        <w:t>Major shopping centre portfolios</w:t>
      </w:r>
      <w:r>
        <w:rPr>
          <w:noProof/>
        </w:rPr>
        <w:tab/>
      </w:r>
      <w:r>
        <w:rPr>
          <w:noProof/>
        </w:rPr>
        <w:fldChar w:fldCharType="begin"/>
      </w:r>
      <w:r>
        <w:rPr>
          <w:noProof/>
        </w:rPr>
        <w:instrText xml:space="preserve"> PAGEREF _Toc19280224 \h </w:instrText>
      </w:r>
      <w:r>
        <w:rPr>
          <w:noProof/>
        </w:rPr>
      </w:r>
      <w:r>
        <w:rPr>
          <w:noProof/>
        </w:rPr>
        <w:fldChar w:fldCharType="separate"/>
      </w:r>
      <w:r w:rsidR="00AD3561">
        <w:rPr>
          <w:noProof/>
        </w:rPr>
        <w:t>93</w:t>
      </w:r>
      <w:r>
        <w:rPr>
          <w:noProof/>
        </w:rPr>
        <w:fldChar w:fldCharType="end"/>
      </w:r>
    </w:p>
    <w:p w14:paraId="1CF7CD04" w14:textId="54E1F58D" w:rsidR="003B131D" w:rsidRDefault="003B131D">
      <w:pPr>
        <w:pStyle w:val="TableofFigures"/>
        <w:rPr>
          <w:rFonts w:eastAsiaTheme="minorEastAsia" w:cstheme="minorBidi"/>
          <w:noProof/>
          <w:sz w:val="22"/>
          <w:szCs w:val="22"/>
        </w:rPr>
      </w:pPr>
      <w:r>
        <w:rPr>
          <w:noProof/>
        </w:rPr>
        <w:t>7.2</w:t>
      </w:r>
      <w:r>
        <w:rPr>
          <w:rFonts w:eastAsiaTheme="minorEastAsia" w:cstheme="minorBidi"/>
          <w:noProof/>
          <w:sz w:val="22"/>
          <w:szCs w:val="22"/>
        </w:rPr>
        <w:tab/>
      </w:r>
      <w:r>
        <w:rPr>
          <w:noProof/>
        </w:rPr>
        <w:t>Shopping centres rated using NABERS energy</w:t>
      </w:r>
      <w:r>
        <w:rPr>
          <w:noProof/>
        </w:rPr>
        <w:tab/>
      </w:r>
      <w:r>
        <w:rPr>
          <w:noProof/>
        </w:rPr>
        <w:fldChar w:fldCharType="begin"/>
      </w:r>
      <w:r>
        <w:rPr>
          <w:noProof/>
        </w:rPr>
        <w:instrText xml:space="preserve"> PAGEREF _Toc19280225 \h </w:instrText>
      </w:r>
      <w:r>
        <w:rPr>
          <w:noProof/>
        </w:rPr>
      </w:r>
      <w:r>
        <w:rPr>
          <w:noProof/>
        </w:rPr>
        <w:fldChar w:fldCharType="separate"/>
      </w:r>
      <w:r w:rsidR="00AD3561">
        <w:rPr>
          <w:noProof/>
        </w:rPr>
        <w:t>95</w:t>
      </w:r>
      <w:r>
        <w:rPr>
          <w:noProof/>
        </w:rPr>
        <w:fldChar w:fldCharType="end"/>
      </w:r>
    </w:p>
    <w:p w14:paraId="6980E6E5" w14:textId="44D11987" w:rsidR="003B131D" w:rsidRDefault="003B131D">
      <w:pPr>
        <w:pStyle w:val="TableofFigures"/>
        <w:rPr>
          <w:rFonts w:eastAsiaTheme="minorEastAsia" w:cstheme="minorBidi"/>
          <w:noProof/>
          <w:sz w:val="22"/>
          <w:szCs w:val="22"/>
        </w:rPr>
      </w:pPr>
      <w:r>
        <w:rPr>
          <w:noProof/>
        </w:rPr>
        <w:t>7.3</w:t>
      </w:r>
      <w:r>
        <w:rPr>
          <w:rFonts w:eastAsiaTheme="minorEastAsia" w:cstheme="minorBidi"/>
          <w:noProof/>
          <w:sz w:val="22"/>
          <w:szCs w:val="22"/>
        </w:rPr>
        <w:tab/>
      </w:r>
      <w:r>
        <w:rPr>
          <w:noProof/>
        </w:rPr>
        <w:t>Distribution of NABERS energy ratings for shopping centres</w:t>
      </w:r>
      <w:r>
        <w:rPr>
          <w:noProof/>
        </w:rPr>
        <w:tab/>
      </w:r>
      <w:r>
        <w:rPr>
          <w:noProof/>
        </w:rPr>
        <w:fldChar w:fldCharType="begin"/>
      </w:r>
      <w:r>
        <w:rPr>
          <w:noProof/>
        </w:rPr>
        <w:instrText xml:space="preserve"> PAGEREF _Toc19280226 \h </w:instrText>
      </w:r>
      <w:r>
        <w:rPr>
          <w:noProof/>
        </w:rPr>
      </w:r>
      <w:r>
        <w:rPr>
          <w:noProof/>
        </w:rPr>
        <w:fldChar w:fldCharType="separate"/>
      </w:r>
      <w:r w:rsidR="00AD3561">
        <w:rPr>
          <w:noProof/>
        </w:rPr>
        <w:t>96</w:t>
      </w:r>
      <w:r>
        <w:rPr>
          <w:noProof/>
        </w:rPr>
        <w:fldChar w:fldCharType="end"/>
      </w:r>
    </w:p>
    <w:p w14:paraId="1126D43C" w14:textId="6C2EA765" w:rsidR="003B131D" w:rsidRDefault="003B131D">
      <w:pPr>
        <w:pStyle w:val="TableofFigures"/>
        <w:rPr>
          <w:rFonts w:eastAsiaTheme="minorEastAsia" w:cstheme="minorBidi"/>
          <w:noProof/>
          <w:sz w:val="22"/>
          <w:szCs w:val="22"/>
        </w:rPr>
      </w:pPr>
      <w:r>
        <w:rPr>
          <w:noProof/>
        </w:rPr>
        <w:t>7.4</w:t>
      </w:r>
      <w:r>
        <w:rPr>
          <w:rFonts w:eastAsiaTheme="minorEastAsia" w:cstheme="minorBidi"/>
          <w:noProof/>
          <w:sz w:val="22"/>
          <w:szCs w:val="22"/>
        </w:rPr>
        <w:tab/>
      </w:r>
      <w:r>
        <w:rPr>
          <w:noProof/>
        </w:rPr>
        <w:t>Share of shopping centres by change in energy rating</w:t>
      </w:r>
      <w:r>
        <w:rPr>
          <w:noProof/>
        </w:rPr>
        <w:tab/>
      </w:r>
      <w:r>
        <w:rPr>
          <w:noProof/>
        </w:rPr>
        <w:fldChar w:fldCharType="begin"/>
      </w:r>
      <w:r>
        <w:rPr>
          <w:noProof/>
        </w:rPr>
        <w:instrText xml:space="preserve"> PAGEREF _Toc19280227 \h </w:instrText>
      </w:r>
      <w:r>
        <w:rPr>
          <w:noProof/>
        </w:rPr>
      </w:r>
      <w:r>
        <w:rPr>
          <w:noProof/>
        </w:rPr>
        <w:fldChar w:fldCharType="separate"/>
      </w:r>
      <w:r w:rsidR="00AD3561">
        <w:rPr>
          <w:noProof/>
        </w:rPr>
        <w:t>97</w:t>
      </w:r>
      <w:r>
        <w:rPr>
          <w:noProof/>
        </w:rPr>
        <w:fldChar w:fldCharType="end"/>
      </w:r>
    </w:p>
    <w:p w14:paraId="19A8AAA3" w14:textId="19407FE5" w:rsidR="003B131D" w:rsidRDefault="003B131D">
      <w:pPr>
        <w:pStyle w:val="TableofFigures"/>
        <w:rPr>
          <w:rFonts w:eastAsiaTheme="minorEastAsia" w:cstheme="minorBidi"/>
          <w:noProof/>
          <w:sz w:val="22"/>
          <w:szCs w:val="22"/>
        </w:rPr>
      </w:pPr>
      <w:r>
        <w:rPr>
          <w:noProof/>
        </w:rPr>
        <w:t>7.5</w:t>
      </w:r>
      <w:r>
        <w:rPr>
          <w:rFonts w:eastAsiaTheme="minorEastAsia" w:cstheme="minorBidi"/>
          <w:noProof/>
          <w:sz w:val="22"/>
          <w:szCs w:val="22"/>
        </w:rPr>
        <w:tab/>
      </w:r>
      <w:r>
        <w:rPr>
          <w:noProof/>
        </w:rPr>
        <w:t>Change in energy use for different number of ratings</w:t>
      </w:r>
      <w:r>
        <w:rPr>
          <w:noProof/>
        </w:rPr>
        <w:tab/>
      </w:r>
      <w:r>
        <w:rPr>
          <w:noProof/>
        </w:rPr>
        <w:fldChar w:fldCharType="begin"/>
      </w:r>
      <w:r>
        <w:rPr>
          <w:noProof/>
        </w:rPr>
        <w:instrText xml:space="preserve"> PAGEREF _Toc19280228 \h </w:instrText>
      </w:r>
      <w:r>
        <w:rPr>
          <w:noProof/>
        </w:rPr>
      </w:r>
      <w:r>
        <w:rPr>
          <w:noProof/>
        </w:rPr>
        <w:fldChar w:fldCharType="separate"/>
      </w:r>
      <w:r w:rsidR="00AD3561">
        <w:rPr>
          <w:noProof/>
        </w:rPr>
        <w:t>97</w:t>
      </w:r>
      <w:r>
        <w:rPr>
          <w:noProof/>
        </w:rPr>
        <w:fldChar w:fldCharType="end"/>
      </w:r>
    </w:p>
    <w:p w14:paraId="76A6E276" w14:textId="286A7A99" w:rsidR="003B131D" w:rsidRDefault="003B131D">
      <w:pPr>
        <w:pStyle w:val="TableofFigures"/>
        <w:rPr>
          <w:rFonts w:eastAsiaTheme="minorEastAsia" w:cstheme="minorBidi"/>
          <w:noProof/>
          <w:sz w:val="22"/>
          <w:szCs w:val="22"/>
        </w:rPr>
      </w:pPr>
      <w:r>
        <w:rPr>
          <w:noProof/>
        </w:rPr>
        <w:t>7.6</w:t>
      </w:r>
      <w:r>
        <w:rPr>
          <w:rFonts w:eastAsiaTheme="minorEastAsia" w:cstheme="minorBidi"/>
          <w:noProof/>
          <w:sz w:val="22"/>
          <w:szCs w:val="22"/>
        </w:rPr>
        <w:tab/>
      </w:r>
      <w:r>
        <w:rPr>
          <w:noProof/>
        </w:rPr>
        <w:t>Change in NABERS energy rating and energy intensity by starting rating</w:t>
      </w:r>
      <w:r>
        <w:rPr>
          <w:noProof/>
        </w:rPr>
        <w:tab/>
      </w:r>
      <w:r>
        <w:rPr>
          <w:noProof/>
        </w:rPr>
        <w:fldChar w:fldCharType="begin"/>
      </w:r>
      <w:r>
        <w:rPr>
          <w:noProof/>
        </w:rPr>
        <w:instrText xml:space="preserve"> PAGEREF _Toc19280229 \h </w:instrText>
      </w:r>
      <w:r>
        <w:rPr>
          <w:noProof/>
        </w:rPr>
      </w:r>
      <w:r>
        <w:rPr>
          <w:noProof/>
        </w:rPr>
        <w:fldChar w:fldCharType="separate"/>
      </w:r>
      <w:r w:rsidR="00AD3561">
        <w:rPr>
          <w:noProof/>
        </w:rPr>
        <w:t>98</w:t>
      </w:r>
      <w:r>
        <w:rPr>
          <w:noProof/>
        </w:rPr>
        <w:fldChar w:fldCharType="end"/>
      </w:r>
    </w:p>
    <w:p w14:paraId="7B4AD25B" w14:textId="1F80ED64" w:rsidR="003B131D" w:rsidRDefault="003B131D">
      <w:pPr>
        <w:pStyle w:val="TableofFigures"/>
        <w:rPr>
          <w:rFonts w:eastAsiaTheme="minorEastAsia" w:cstheme="minorBidi"/>
          <w:noProof/>
          <w:sz w:val="22"/>
          <w:szCs w:val="22"/>
        </w:rPr>
      </w:pPr>
      <w:r>
        <w:rPr>
          <w:noProof/>
        </w:rPr>
        <w:t>7.7</w:t>
      </w:r>
      <w:r>
        <w:rPr>
          <w:rFonts w:eastAsiaTheme="minorEastAsia" w:cstheme="minorBidi"/>
          <w:noProof/>
          <w:sz w:val="22"/>
          <w:szCs w:val="22"/>
        </w:rPr>
        <w:tab/>
      </w:r>
      <w:r>
        <w:rPr>
          <w:noProof/>
        </w:rPr>
        <w:t>Energy intensity changes for companies using and not using NABERS energy</w:t>
      </w:r>
      <w:r>
        <w:rPr>
          <w:noProof/>
        </w:rPr>
        <w:tab/>
      </w:r>
      <w:r>
        <w:rPr>
          <w:noProof/>
        </w:rPr>
        <w:fldChar w:fldCharType="begin"/>
      </w:r>
      <w:r>
        <w:rPr>
          <w:noProof/>
        </w:rPr>
        <w:instrText xml:space="preserve"> PAGEREF _Toc19280230 \h </w:instrText>
      </w:r>
      <w:r>
        <w:rPr>
          <w:noProof/>
        </w:rPr>
      </w:r>
      <w:r>
        <w:rPr>
          <w:noProof/>
        </w:rPr>
        <w:fldChar w:fldCharType="separate"/>
      </w:r>
      <w:r w:rsidR="00AD3561">
        <w:rPr>
          <w:noProof/>
        </w:rPr>
        <w:t>100</w:t>
      </w:r>
      <w:r>
        <w:rPr>
          <w:noProof/>
        </w:rPr>
        <w:fldChar w:fldCharType="end"/>
      </w:r>
    </w:p>
    <w:p w14:paraId="0074F941" w14:textId="4ED1B3B9" w:rsidR="003B131D" w:rsidRDefault="003B131D">
      <w:pPr>
        <w:pStyle w:val="TableofFigures"/>
        <w:rPr>
          <w:rFonts w:eastAsiaTheme="minorEastAsia" w:cstheme="minorBidi"/>
          <w:noProof/>
          <w:sz w:val="22"/>
          <w:szCs w:val="22"/>
        </w:rPr>
      </w:pPr>
      <w:r>
        <w:rPr>
          <w:noProof/>
        </w:rPr>
        <w:t>7.8</w:t>
      </w:r>
      <w:r>
        <w:rPr>
          <w:rFonts w:eastAsiaTheme="minorEastAsia" w:cstheme="minorBidi"/>
          <w:noProof/>
          <w:sz w:val="22"/>
          <w:szCs w:val="22"/>
        </w:rPr>
        <w:tab/>
      </w:r>
      <w:r>
        <w:rPr>
          <w:noProof/>
        </w:rPr>
        <w:t>Most recent rating achieved for each shopping centre that has been rated</w:t>
      </w:r>
      <w:r>
        <w:rPr>
          <w:noProof/>
        </w:rPr>
        <w:tab/>
      </w:r>
      <w:r>
        <w:rPr>
          <w:noProof/>
        </w:rPr>
        <w:fldChar w:fldCharType="begin"/>
      </w:r>
      <w:r>
        <w:rPr>
          <w:noProof/>
        </w:rPr>
        <w:instrText xml:space="preserve"> PAGEREF _Toc19280231 \h </w:instrText>
      </w:r>
      <w:r>
        <w:rPr>
          <w:noProof/>
        </w:rPr>
      </w:r>
      <w:r>
        <w:rPr>
          <w:noProof/>
        </w:rPr>
        <w:fldChar w:fldCharType="separate"/>
      </w:r>
      <w:r w:rsidR="00AD3561">
        <w:rPr>
          <w:noProof/>
        </w:rPr>
        <w:t>100</w:t>
      </w:r>
      <w:r>
        <w:rPr>
          <w:noProof/>
        </w:rPr>
        <w:fldChar w:fldCharType="end"/>
      </w:r>
    </w:p>
    <w:p w14:paraId="228AE066" w14:textId="3F7EAF20" w:rsidR="003B131D" w:rsidRDefault="003B131D">
      <w:pPr>
        <w:pStyle w:val="TableofFigures"/>
        <w:rPr>
          <w:rFonts w:eastAsiaTheme="minorEastAsia" w:cstheme="minorBidi"/>
          <w:noProof/>
          <w:sz w:val="22"/>
          <w:szCs w:val="22"/>
        </w:rPr>
      </w:pPr>
      <w:r>
        <w:rPr>
          <w:noProof/>
        </w:rPr>
        <w:t>7.9</w:t>
      </w:r>
      <w:r>
        <w:rPr>
          <w:rFonts w:eastAsiaTheme="minorEastAsia" w:cstheme="minorBidi"/>
          <w:noProof/>
          <w:sz w:val="22"/>
          <w:szCs w:val="22"/>
        </w:rPr>
        <w:tab/>
      </w:r>
      <w:r>
        <w:rPr>
          <w:noProof/>
        </w:rPr>
        <w:t>Compliance costs of a mandatory rating scheme</w:t>
      </w:r>
      <w:r>
        <w:rPr>
          <w:noProof/>
        </w:rPr>
        <w:tab/>
      </w:r>
      <w:r>
        <w:rPr>
          <w:noProof/>
        </w:rPr>
        <w:fldChar w:fldCharType="begin"/>
      </w:r>
      <w:r>
        <w:rPr>
          <w:noProof/>
        </w:rPr>
        <w:instrText xml:space="preserve"> PAGEREF _Toc19280232 \h </w:instrText>
      </w:r>
      <w:r>
        <w:rPr>
          <w:noProof/>
        </w:rPr>
      </w:r>
      <w:r>
        <w:rPr>
          <w:noProof/>
        </w:rPr>
        <w:fldChar w:fldCharType="separate"/>
      </w:r>
      <w:r w:rsidR="00AD3561">
        <w:rPr>
          <w:noProof/>
        </w:rPr>
        <w:t>105</w:t>
      </w:r>
      <w:r>
        <w:rPr>
          <w:noProof/>
        </w:rPr>
        <w:fldChar w:fldCharType="end"/>
      </w:r>
    </w:p>
    <w:p w14:paraId="44CF5BDB" w14:textId="030BCF42" w:rsidR="003B131D" w:rsidRDefault="003B131D">
      <w:pPr>
        <w:pStyle w:val="TableofFigures"/>
        <w:rPr>
          <w:rFonts w:eastAsiaTheme="minorEastAsia" w:cstheme="minorBidi"/>
          <w:noProof/>
          <w:sz w:val="22"/>
          <w:szCs w:val="22"/>
        </w:rPr>
      </w:pPr>
      <w:r>
        <w:rPr>
          <w:noProof/>
        </w:rPr>
        <w:t>7.10</w:t>
      </w:r>
      <w:r>
        <w:rPr>
          <w:rFonts w:eastAsiaTheme="minorEastAsia" w:cstheme="minorBidi"/>
          <w:noProof/>
          <w:sz w:val="22"/>
          <w:szCs w:val="22"/>
        </w:rPr>
        <w:tab/>
      </w:r>
      <w:r>
        <w:rPr>
          <w:noProof/>
        </w:rPr>
        <w:t>Costs and benefits of mandatory disclosure for shopping centres</w:t>
      </w:r>
      <w:r>
        <w:rPr>
          <w:noProof/>
        </w:rPr>
        <w:tab/>
      </w:r>
      <w:r>
        <w:rPr>
          <w:noProof/>
        </w:rPr>
        <w:fldChar w:fldCharType="begin"/>
      </w:r>
      <w:r>
        <w:rPr>
          <w:noProof/>
        </w:rPr>
        <w:instrText xml:space="preserve"> PAGEREF _Toc19280233 \h </w:instrText>
      </w:r>
      <w:r>
        <w:rPr>
          <w:noProof/>
        </w:rPr>
      </w:r>
      <w:r>
        <w:rPr>
          <w:noProof/>
        </w:rPr>
        <w:fldChar w:fldCharType="separate"/>
      </w:r>
      <w:r w:rsidR="00AD3561">
        <w:rPr>
          <w:noProof/>
        </w:rPr>
        <w:t>106</w:t>
      </w:r>
      <w:r>
        <w:rPr>
          <w:noProof/>
        </w:rPr>
        <w:fldChar w:fldCharType="end"/>
      </w:r>
    </w:p>
    <w:p w14:paraId="6203CBBE" w14:textId="59CA1655" w:rsidR="003B131D" w:rsidRDefault="003B131D">
      <w:pPr>
        <w:pStyle w:val="TableofFigures"/>
        <w:rPr>
          <w:rFonts w:eastAsiaTheme="minorEastAsia" w:cstheme="minorBidi"/>
          <w:noProof/>
          <w:sz w:val="22"/>
          <w:szCs w:val="22"/>
        </w:rPr>
      </w:pPr>
      <w:r>
        <w:rPr>
          <w:noProof/>
        </w:rPr>
        <w:t>8.1</w:t>
      </w:r>
      <w:r>
        <w:rPr>
          <w:rFonts w:eastAsiaTheme="minorEastAsia" w:cstheme="minorBidi"/>
          <w:noProof/>
          <w:sz w:val="22"/>
          <w:szCs w:val="22"/>
        </w:rPr>
        <w:tab/>
      </w:r>
      <w:r>
        <w:rPr>
          <w:noProof/>
        </w:rPr>
        <w:t>Hotels, motels and serviced apartments, room count, by accommodation class</w:t>
      </w:r>
      <w:r>
        <w:rPr>
          <w:noProof/>
        </w:rPr>
        <w:tab/>
      </w:r>
      <w:r>
        <w:rPr>
          <w:noProof/>
        </w:rPr>
        <w:fldChar w:fldCharType="begin"/>
      </w:r>
      <w:r>
        <w:rPr>
          <w:noProof/>
        </w:rPr>
        <w:instrText xml:space="preserve"> PAGEREF _Toc19280234 \h </w:instrText>
      </w:r>
      <w:r>
        <w:rPr>
          <w:noProof/>
        </w:rPr>
      </w:r>
      <w:r>
        <w:rPr>
          <w:noProof/>
        </w:rPr>
        <w:fldChar w:fldCharType="separate"/>
      </w:r>
      <w:r w:rsidR="00AD3561">
        <w:rPr>
          <w:noProof/>
        </w:rPr>
        <w:t>110</w:t>
      </w:r>
      <w:r>
        <w:rPr>
          <w:noProof/>
        </w:rPr>
        <w:fldChar w:fldCharType="end"/>
      </w:r>
    </w:p>
    <w:p w14:paraId="46AC1ED3" w14:textId="5BBDE739" w:rsidR="003B131D" w:rsidRDefault="003B131D">
      <w:pPr>
        <w:pStyle w:val="TableofFigures"/>
        <w:rPr>
          <w:rFonts w:eastAsiaTheme="minorEastAsia" w:cstheme="minorBidi"/>
          <w:noProof/>
          <w:sz w:val="22"/>
          <w:szCs w:val="22"/>
        </w:rPr>
      </w:pPr>
      <w:r>
        <w:rPr>
          <w:noProof/>
        </w:rPr>
        <w:t>8.2</w:t>
      </w:r>
      <w:r>
        <w:rPr>
          <w:rFonts w:eastAsiaTheme="minorEastAsia" w:cstheme="minorBidi"/>
          <w:noProof/>
          <w:sz w:val="22"/>
          <w:szCs w:val="22"/>
        </w:rPr>
        <w:tab/>
      </w:r>
      <w:r>
        <w:rPr>
          <w:noProof/>
        </w:rPr>
        <w:t>Distribution of rooms by establishment</w:t>
      </w:r>
      <w:r>
        <w:rPr>
          <w:noProof/>
        </w:rPr>
        <w:tab/>
      </w:r>
      <w:r>
        <w:rPr>
          <w:noProof/>
        </w:rPr>
        <w:fldChar w:fldCharType="begin"/>
      </w:r>
      <w:r>
        <w:rPr>
          <w:noProof/>
        </w:rPr>
        <w:instrText xml:space="preserve"> PAGEREF _Toc19280235 \h </w:instrText>
      </w:r>
      <w:r>
        <w:rPr>
          <w:noProof/>
        </w:rPr>
      </w:r>
      <w:r>
        <w:rPr>
          <w:noProof/>
        </w:rPr>
        <w:fldChar w:fldCharType="separate"/>
      </w:r>
      <w:r w:rsidR="00AD3561">
        <w:rPr>
          <w:noProof/>
        </w:rPr>
        <w:t>110</w:t>
      </w:r>
      <w:r>
        <w:rPr>
          <w:noProof/>
        </w:rPr>
        <w:fldChar w:fldCharType="end"/>
      </w:r>
    </w:p>
    <w:p w14:paraId="54276695" w14:textId="32E60539" w:rsidR="003B131D" w:rsidRDefault="003B131D">
      <w:pPr>
        <w:pStyle w:val="TableofFigures"/>
        <w:rPr>
          <w:rFonts w:eastAsiaTheme="minorEastAsia" w:cstheme="minorBidi"/>
          <w:noProof/>
          <w:sz w:val="22"/>
          <w:szCs w:val="22"/>
        </w:rPr>
      </w:pPr>
      <w:r>
        <w:rPr>
          <w:noProof/>
        </w:rPr>
        <w:t>8.3</w:t>
      </w:r>
      <w:r>
        <w:rPr>
          <w:rFonts w:eastAsiaTheme="minorEastAsia" w:cstheme="minorBidi"/>
          <w:noProof/>
          <w:sz w:val="22"/>
          <w:szCs w:val="22"/>
        </w:rPr>
        <w:tab/>
      </w:r>
      <w:r>
        <w:rPr>
          <w:noProof/>
        </w:rPr>
        <w:t>Average allocation of electricity consumption in hotels</w:t>
      </w:r>
      <w:r>
        <w:rPr>
          <w:noProof/>
        </w:rPr>
        <w:tab/>
      </w:r>
      <w:r>
        <w:rPr>
          <w:noProof/>
        </w:rPr>
        <w:fldChar w:fldCharType="begin"/>
      </w:r>
      <w:r>
        <w:rPr>
          <w:noProof/>
        </w:rPr>
        <w:instrText xml:space="preserve"> PAGEREF _Toc19280236 \h </w:instrText>
      </w:r>
      <w:r>
        <w:rPr>
          <w:noProof/>
        </w:rPr>
      </w:r>
      <w:r>
        <w:rPr>
          <w:noProof/>
        </w:rPr>
        <w:fldChar w:fldCharType="separate"/>
      </w:r>
      <w:r w:rsidR="00AD3561">
        <w:rPr>
          <w:noProof/>
        </w:rPr>
        <w:t>111</w:t>
      </w:r>
      <w:r>
        <w:rPr>
          <w:noProof/>
        </w:rPr>
        <w:fldChar w:fldCharType="end"/>
      </w:r>
    </w:p>
    <w:p w14:paraId="06974B7B" w14:textId="2066606A" w:rsidR="003B131D" w:rsidRDefault="003B131D">
      <w:pPr>
        <w:pStyle w:val="TableofFigures"/>
        <w:rPr>
          <w:rFonts w:eastAsiaTheme="minorEastAsia" w:cstheme="minorBidi"/>
          <w:noProof/>
          <w:sz w:val="22"/>
          <w:szCs w:val="22"/>
        </w:rPr>
      </w:pPr>
      <w:r>
        <w:rPr>
          <w:noProof/>
        </w:rPr>
        <w:t>8.4</w:t>
      </w:r>
      <w:r>
        <w:rPr>
          <w:rFonts w:eastAsiaTheme="minorEastAsia" w:cstheme="minorBidi"/>
          <w:noProof/>
          <w:sz w:val="22"/>
          <w:szCs w:val="22"/>
        </w:rPr>
        <w:tab/>
      </w:r>
      <w:r>
        <w:rPr>
          <w:noProof/>
        </w:rPr>
        <w:t>Average allocation of gas consumption in hotels</w:t>
      </w:r>
      <w:r>
        <w:rPr>
          <w:noProof/>
        </w:rPr>
        <w:tab/>
      </w:r>
      <w:r>
        <w:rPr>
          <w:noProof/>
        </w:rPr>
        <w:fldChar w:fldCharType="begin"/>
      </w:r>
      <w:r>
        <w:rPr>
          <w:noProof/>
        </w:rPr>
        <w:instrText xml:space="preserve"> PAGEREF _Toc19280237 \h </w:instrText>
      </w:r>
      <w:r>
        <w:rPr>
          <w:noProof/>
        </w:rPr>
      </w:r>
      <w:r>
        <w:rPr>
          <w:noProof/>
        </w:rPr>
        <w:fldChar w:fldCharType="separate"/>
      </w:r>
      <w:r w:rsidR="00AD3561">
        <w:rPr>
          <w:noProof/>
        </w:rPr>
        <w:t>112</w:t>
      </w:r>
      <w:r>
        <w:rPr>
          <w:noProof/>
        </w:rPr>
        <w:fldChar w:fldCharType="end"/>
      </w:r>
    </w:p>
    <w:p w14:paraId="75376FFE" w14:textId="5BD0E9BB" w:rsidR="003B131D" w:rsidRDefault="003B131D">
      <w:pPr>
        <w:pStyle w:val="TableofFigures"/>
        <w:rPr>
          <w:rFonts w:eastAsiaTheme="minorEastAsia" w:cstheme="minorBidi"/>
          <w:noProof/>
          <w:sz w:val="22"/>
          <w:szCs w:val="22"/>
        </w:rPr>
      </w:pPr>
      <w:r>
        <w:rPr>
          <w:noProof/>
        </w:rPr>
        <w:t>8.5</w:t>
      </w:r>
      <w:r>
        <w:rPr>
          <w:rFonts w:eastAsiaTheme="minorEastAsia" w:cstheme="minorBidi"/>
          <w:noProof/>
          <w:sz w:val="22"/>
          <w:szCs w:val="22"/>
        </w:rPr>
        <w:tab/>
      </w:r>
      <w:r>
        <w:rPr>
          <w:noProof/>
        </w:rPr>
        <w:t>Cost of energy for hotels</w:t>
      </w:r>
      <w:r>
        <w:rPr>
          <w:noProof/>
        </w:rPr>
        <w:tab/>
      </w:r>
      <w:r>
        <w:rPr>
          <w:noProof/>
        </w:rPr>
        <w:fldChar w:fldCharType="begin"/>
      </w:r>
      <w:r>
        <w:rPr>
          <w:noProof/>
        </w:rPr>
        <w:instrText xml:space="preserve"> PAGEREF _Toc19280238 \h </w:instrText>
      </w:r>
      <w:r>
        <w:rPr>
          <w:noProof/>
        </w:rPr>
      </w:r>
      <w:r>
        <w:rPr>
          <w:noProof/>
        </w:rPr>
        <w:fldChar w:fldCharType="separate"/>
      </w:r>
      <w:r w:rsidR="00AD3561">
        <w:rPr>
          <w:noProof/>
        </w:rPr>
        <w:t>112</w:t>
      </w:r>
      <w:r>
        <w:rPr>
          <w:noProof/>
        </w:rPr>
        <w:fldChar w:fldCharType="end"/>
      </w:r>
    </w:p>
    <w:p w14:paraId="6AD059F5" w14:textId="345D2F46" w:rsidR="003B131D" w:rsidRDefault="003B131D">
      <w:pPr>
        <w:pStyle w:val="TableofFigures"/>
        <w:rPr>
          <w:rFonts w:eastAsiaTheme="minorEastAsia" w:cstheme="minorBidi"/>
          <w:noProof/>
          <w:sz w:val="22"/>
          <w:szCs w:val="22"/>
        </w:rPr>
      </w:pPr>
      <w:r>
        <w:rPr>
          <w:noProof/>
        </w:rPr>
        <w:t>8.6</w:t>
      </w:r>
      <w:r>
        <w:rPr>
          <w:rFonts w:eastAsiaTheme="minorEastAsia" w:cstheme="minorBidi"/>
          <w:noProof/>
          <w:sz w:val="22"/>
          <w:szCs w:val="22"/>
        </w:rPr>
        <w:tab/>
      </w:r>
      <w:r>
        <w:rPr>
          <w:noProof/>
        </w:rPr>
        <w:t>Energy consumption per room based on hotel star rating, 2007</w:t>
      </w:r>
      <w:r>
        <w:rPr>
          <w:noProof/>
        </w:rPr>
        <w:tab/>
      </w:r>
      <w:r>
        <w:rPr>
          <w:noProof/>
        </w:rPr>
        <w:fldChar w:fldCharType="begin"/>
      </w:r>
      <w:r>
        <w:rPr>
          <w:noProof/>
        </w:rPr>
        <w:instrText xml:space="preserve"> PAGEREF _Toc19280239 \h </w:instrText>
      </w:r>
      <w:r>
        <w:rPr>
          <w:noProof/>
        </w:rPr>
      </w:r>
      <w:r>
        <w:rPr>
          <w:noProof/>
        </w:rPr>
        <w:fldChar w:fldCharType="separate"/>
      </w:r>
      <w:r w:rsidR="00AD3561">
        <w:rPr>
          <w:noProof/>
        </w:rPr>
        <w:t>113</w:t>
      </w:r>
      <w:r>
        <w:rPr>
          <w:noProof/>
        </w:rPr>
        <w:fldChar w:fldCharType="end"/>
      </w:r>
    </w:p>
    <w:p w14:paraId="5618016A" w14:textId="63A9271E" w:rsidR="003B131D" w:rsidRDefault="003B131D">
      <w:pPr>
        <w:pStyle w:val="TableofFigures"/>
        <w:rPr>
          <w:rFonts w:eastAsiaTheme="minorEastAsia" w:cstheme="minorBidi"/>
          <w:noProof/>
          <w:sz w:val="22"/>
          <w:szCs w:val="22"/>
        </w:rPr>
      </w:pPr>
      <w:r>
        <w:rPr>
          <w:noProof/>
        </w:rPr>
        <w:t>8.7</w:t>
      </w:r>
      <w:r>
        <w:rPr>
          <w:rFonts w:eastAsiaTheme="minorEastAsia" w:cstheme="minorBidi"/>
          <w:noProof/>
          <w:sz w:val="22"/>
          <w:szCs w:val="22"/>
        </w:rPr>
        <w:tab/>
      </w:r>
      <w:r>
        <w:rPr>
          <w:noProof/>
        </w:rPr>
        <w:t>Comparison of energy consumption per room (kWh) of Sydney CBD                hotels in 2007 and 2018</w:t>
      </w:r>
      <w:r>
        <w:rPr>
          <w:noProof/>
        </w:rPr>
        <w:tab/>
      </w:r>
      <w:r>
        <w:rPr>
          <w:noProof/>
        </w:rPr>
        <w:fldChar w:fldCharType="begin"/>
      </w:r>
      <w:r>
        <w:rPr>
          <w:noProof/>
        </w:rPr>
        <w:instrText xml:space="preserve"> PAGEREF _Toc19280240 \h </w:instrText>
      </w:r>
      <w:r>
        <w:rPr>
          <w:noProof/>
        </w:rPr>
      </w:r>
      <w:r>
        <w:rPr>
          <w:noProof/>
        </w:rPr>
        <w:fldChar w:fldCharType="separate"/>
      </w:r>
      <w:r w:rsidR="00AD3561">
        <w:rPr>
          <w:noProof/>
        </w:rPr>
        <w:t>113</w:t>
      </w:r>
      <w:r>
        <w:rPr>
          <w:noProof/>
        </w:rPr>
        <w:fldChar w:fldCharType="end"/>
      </w:r>
    </w:p>
    <w:p w14:paraId="71FB319F" w14:textId="3E09BC5E" w:rsidR="003B131D" w:rsidRDefault="003B131D">
      <w:pPr>
        <w:pStyle w:val="TableofFigures"/>
        <w:rPr>
          <w:rFonts w:eastAsiaTheme="minorEastAsia" w:cstheme="minorBidi"/>
          <w:noProof/>
          <w:sz w:val="22"/>
          <w:szCs w:val="22"/>
        </w:rPr>
      </w:pPr>
      <w:r>
        <w:rPr>
          <w:noProof/>
        </w:rPr>
        <w:t>8.8</w:t>
      </w:r>
      <w:r>
        <w:rPr>
          <w:rFonts w:eastAsiaTheme="minorEastAsia" w:cstheme="minorBidi"/>
          <w:noProof/>
          <w:sz w:val="22"/>
          <w:szCs w:val="22"/>
        </w:rPr>
        <w:tab/>
      </w:r>
      <w:r>
        <w:rPr>
          <w:noProof/>
        </w:rPr>
        <w:t>Median kilograms Co2 emissions per occupied room, by location and        service type, 2016</w:t>
      </w:r>
      <w:r>
        <w:rPr>
          <w:noProof/>
        </w:rPr>
        <w:tab/>
      </w:r>
      <w:r>
        <w:rPr>
          <w:noProof/>
        </w:rPr>
        <w:fldChar w:fldCharType="begin"/>
      </w:r>
      <w:r>
        <w:rPr>
          <w:noProof/>
        </w:rPr>
        <w:instrText xml:space="preserve"> PAGEREF _Toc19280241 \h </w:instrText>
      </w:r>
      <w:r>
        <w:rPr>
          <w:noProof/>
        </w:rPr>
      </w:r>
      <w:r>
        <w:rPr>
          <w:noProof/>
        </w:rPr>
        <w:fldChar w:fldCharType="separate"/>
      </w:r>
      <w:r w:rsidR="00AD3561">
        <w:rPr>
          <w:noProof/>
        </w:rPr>
        <w:t>114</w:t>
      </w:r>
      <w:r>
        <w:rPr>
          <w:noProof/>
        </w:rPr>
        <w:fldChar w:fldCharType="end"/>
      </w:r>
    </w:p>
    <w:p w14:paraId="4CAB931A" w14:textId="1C0BB46A" w:rsidR="003B131D" w:rsidRDefault="003B131D">
      <w:pPr>
        <w:pStyle w:val="TableofFigures"/>
        <w:rPr>
          <w:rFonts w:eastAsiaTheme="minorEastAsia" w:cstheme="minorBidi"/>
          <w:noProof/>
          <w:sz w:val="22"/>
          <w:szCs w:val="22"/>
        </w:rPr>
      </w:pPr>
      <w:r>
        <w:rPr>
          <w:noProof/>
        </w:rPr>
        <w:t>8.9</w:t>
      </w:r>
      <w:r>
        <w:rPr>
          <w:rFonts w:eastAsiaTheme="minorEastAsia" w:cstheme="minorBidi"/>
          <w:noProof/>
          <w:sz w:val="22"/>
          <w:szCs w:val="22"/>
        </w:rPr>
        <w:tab/>
      </w:r>
      <w:r>
        <w:rPr>
          <w:noProof/>
        </w:rPr>
        <w:t>Number of NABERS Hotel Energy ratings over time</w:t>
      </w:r>
      <w:r>
        <w:rPr>
          <w:noProof/>
        </w:rPr>
        <w:tab/>
      </w:r>
      <w:r>
        <w:rPr>
          <w:noProof/>
        </w:rPr>
        <w:fldChar w:fldCharType="begin"/>
      </w:r>
      <w:r>
        <w:rPr>
          <w:noProof/>
        </w:rPr>
        <w:instrText xml:space="preserve"> PAGEREF _Toc19280242 \h </w:instrText>
      </w:r>
      <w:r>
        <w:rPr>
          <w:noProof/>
        </w:rPr>
      </w:r>
      <w:r>
        <w:rPr>
          <w:noProof/>
        </w:rPr>
        <w:fldChar w:fldCharType="separate"/>
      </w:r>
      <w:r w:rsidR="00AD3561">
        <w:rPr>
          <w:noProof/>
        </w:rPr>
        <w:t>118</w:t>
      </w:r>
      <w:r>
        <w:rPr>
          <w:noProof/>
        </w:rPr>
        <w:fldChar w:fldCharType="end"/>
      </w:r>
    </w:p>
    <w:p w14:paraId="6D372D7A" w14:textId="28A74022" w:rsidR="003B131D" w:rsidRDefault="003B131D">
      <w:pPr>
        <w:pStyle w:val="TableofFigures"/>
        <w:rPr>
          <w:rFonts w:eastAsiaTheme="minorEastAsia" w:cstheme="minorBidi"/>
          <w:noProof/>
          <w:sz w:val="22"/>
          <w:szCs w:val="22"/>
        </w:rPr>
      </w:pPr>
      <w:r>
        <w:rPr>
          <w:noProof/>
        </w:rPr>
        <w:t>8.10</w:t>
      </w:r>
      <w:r>
        <w:rPr>
          <w:rFonts w:eastAsiaTheme="minorEastAsia" w:cstheme="minorBidi"/>
          <w:noProof/>
          <w:sz w:val="22"/>
          <w:szCs w:val="22"/>
        </w:rPr>
        <w:tab/>
      </w:r>
      <w:r>
        <w:rPr>
          <w:noProof/>
        </w:rPr>
        <w:t>Different energy rating tools for hotels</w:t>
      </w:r>
      <w:r>
        <w:rPr>
          <w:noProof/>
        </w:rPr>
        <w:tab/>
      </w:r>
      <w:r>
        <w:rPr>
          <w:noProof/>
        </w:rPr>
        <w:fldChar w:fldCharType="begin"/>
      </w:r>
      <w:r>
        <w:rPr>
          <w:noProof/>
        </w:rPr>
        <w:instrText xml:space="preserve"> PAGEREF _Toc19280243 \h </w:instrText>
      </w:r>
      <w:r>
        <w:rPr>
          <w:noProof/>
        </w:rPr>
      </w:r>
      <w:r>
        <w:rPr>
          <w:noProof/>
        </w:rPr>
        <w:fldChar w:fldCharType="separate"/>
      </w:r>
      <w:r w:rsidR="00AD3561">
        <w:rPr>
          <w:noProof/>
        </w:rPr>
        <w:t>120</w:t>
      </w:r>
      <w:r>
        <w:rPr>
          <w:noProof/>
        </w:rPr>
        <w:fldChar w:fldCharType="end"/>
      </w:r>
    </w:p>
    <w:p w14:paraId="78D883C6" w14:textId="3DD76D57" w:rsidR="003B131D" w:rsidRDefault="003B131D">
      <w:pPr>
        <w:pStyle w:val="TableofFigures"/>
        <w:rPr>
          <w:rFonts w:eastAsiaTheme="minorEastAsia" w:cstheme="minorBidi"/>
          <w:noProof/>
          <w:sz w:val="22"/>
          <w:szCs w:val="22"/>
        </w:rPr>
      </w:pPr>
      <w:r>
        <w:rPr>
          <w:noProof/>
        </w:rPr>
        <w:t>8.11</w:t>
      </w:r>
      <w:r>
        <w:rPr>
          <w:rFonts w:eastAsiaTheme="minorEastAsia" w:cstheme="minorBidi"/>
          <w:noProof/>
          <w:sz w:val="22"/>
          <w:szCs w:val="22"/>
        </w:rPr>
        <w:tab/>
      </w:r>
      <w:r>
        <w:rPr>
          <w:noProof/>
        </w:rPr>
        <w:t>Distribution of hotels with NABERS rating</w:t>
      </w:r>
      <w:r>
        <w:rPr>
          <w:noProof/>
        </w:rPr>
        <w:tab/>
      </w:r>
      <w:r>
        <w:rPr>
          <w:noProof/>
        </w:rPr>
        <w:fldChar w:fldCharType="begin"/>
      </w:r>
      <w:r>
        <w:rPr>
          <w:noProof/>
        </w:rPr>
        <w:instrText xml:space="preserve"> PAGEREF _Toc19280244 \h </w:instrText>
      </w:r>
      <w:r>
        <w:rPr>
          <w:noProof/>
        </w:rPr>
      </w:r>
      <w:r>
        <w:rPr>
          <w:noProof/>
        </w:rPr>
        <w:fldChar w:fldCharType="separate"/>
      </w:r>
      <w:r w:rsidR="00AD3561">
        <w:rPr>
          <w:noProof/>
        </w:rPr>
        <w:t>121</w:t>
      </w:r>
      <w:r>
        <w:rPr>
          <w:noProof/>
        </w:rPr>
        <w:fldChar w:fldCharType="end"/>
      </w:r>
    </w:p>
    <w:p w14:paraId="254436D9" w14:textId="34CCD601" w:rsidR="003B131D" w:rsidRDefault="003B131D">
      <w:pPr>
        <w:pStyle w:val="TableofFigures"/>
        <w:rPr>
          <w:rFonts w:eastAsiaTheme="minorEastAsia" w:cstheme="minorBidi"/>
          <w:noProof/>
          <w:sz w:val="22"/>
          <w:szCs w:val="22"/>
        </w:rPr>
      </w:pPr>
      <w:r>
        <w:rPr>
          <w:noProof/>
        </w:rPr>
        <w:t>8.12</w:t>
      </w:r>
      <w:r>
        <w:rPr>
          <w:rFonts w:eastAsiaTheme="minorEastAsia" w:cstheme="minorBidi"/>
          <w:noProof/>
          <w:sz w:val="22"/>
          <w:szCs w:val="22"/>
        </w:rPr>
        <w:tab/>
      </w:r>
      <w:r>
        <w:rPr>
          <w:noProof/>
        </w:rPr>
        <w:t>Average NABERS rating with more ratings</w:t>
      </w:r>
      <w:r>
        <w:rPr>
          <w:noProof/>
        </w:rPr>
        <w:tab/>
      </w:r>
      <w:r>
        <w:rPr>
          <w:noProof/>
        </w:rPr>
        <w:fldChar w:fldCharType="begin"/>
      </w:r>
      <w:r>
        <w:rPr>
          <w:noProof/>
        </w:rPr>
        <w:instrText xml:space="preserve"> PAGEREF _Toc19280245 \h </w:instrText>
      </w:r>
      <w:r>
        <w:rPr>
          <w:noProof/>
        </w:rPr>
      </w:r>
      <w:r>
        <w:rPr>
          <w:noProof/>
        </w:rPr>
        <w:fldChar w:fldCharType="separate"/>
      </w:r>
      <w:r w:rsidR="00AD3561">
        <w:rPr>
          <w:noProof/>
        </w:rPr>
        <w:t>121</w:t>
      </w:r>
      <w:r>
        <w:rPr>
          <w:noProof/>
        </w:rPr>
        <w:fldChar w:fldCharType="end"/>
      </w:r>
    </w:p>
    <w:p w14:paraId="44F8D64F" w14:textId="35942315" w:rsidR="003B131D" w:rsidRDefault="003B131D">
      <w:pPr>
        <w:pStyle w:val="TableofFigures"/>
        <w:rPr>
          <w:rFonts w:eastAsiaTheme="minorEastAsia" w:cstheme="minorBidi"/>
          <w:noProof/>
          <w:sz w:val="22"/>
          <w:szCs w:val="22"/>
        </w:rPr>
      </w:pPr>
      <w:r>
        <w:rPr>
          <w:noProof/>
        </w:rPr>
        <w:t>8.13</w:t>
      </w:r>
      <w:r>
        <w:rPr>
          <w:rFonts w:eastAsiaTheme="minorEastAsia" w:cstheme="minorBidi"/>
          <w:noProof/>
          <w:sz w:val="22"/>
          <w:szCs w:val="22"/>
        </w:rPr>
        <w:tab/>
      </w:r>
      <w:r>
        <w:rPr>
          <w:noProof/>
        </w:rPr>
        <w:t>Comparing first NABERS rating to last rating</w:t>
      </w:r>
      <w:r>
        <w:rPr>
          <w:noProof/>
        </w:rPr>
        <w:tab/>
      </w:r>
      <w:r>
        <w:rPr>
          <w:noProof/>
        </w:rPr>
        <w:fldChar w:fldCharType="begin"/>
      </w:r>
      <w:r>
        <w:rPr>
          <w:noProof/>
        </w:rPr>
        <w:instrText xml:space="preserve"> PAGEREF _Toc19280246 \h </w:instrText>
      </w:r>
      <w:r>
        <w:rPr>
          <w:noProof/>
        </w:rPr>
      </w:r>
      <w:r>
        <w:rPr>
          <w:noProof/>
        </w:rPr>
        <w:fldChar w:fldCharType="separate"/>
      </w:r>
      <w:r w:rsidR="00AD3561">
        <w:rPr>
          <w:noProof/>
        </w:rPr>
        <w:t>122</w:t>
      </w:r>
      <w:r>
        <w:rPr>
          <w:noProof/>
        </w:rPr>
        <w:fldChar w:fldCharType="end"/>
      </w:r>
    </w:p>
    <w:p w14:paraId="19426660" w14:textId="589651CE" w:rsidR="003B131D" w:rsidRDefault="003B131D">
      <w:pPr>
        <w:pStyle w:val="TableofFigures"/>
        <w:rPr>
          <w:rFonts w:eastAsiaTheme="minorEastAsia" w:cstheme="minorBidi"/>
          <w:noProof/>
          <w:sz w:val="22"/>
          <w:szCs w:val="22"/>
        </w:rPr>
      </w:pPr>
      <w:r>
        <w:rPr>
          <w:noProof/>
        </w:rPr>
        <w:t>8.14</w:t>
      </w:r>
      <w:r>
        <w:rPr>
          <w:rFonts w:eastAsiaTheme="minorEastAsia" w:cstheme="minorBidi"/>
          <w:noProof/>
          <w:sz w:val="22"/>
          <w:szCs w:val="22"/>
        </w:rPr>
        <w:tab/>
      </w:r>
      <w:r>
        <w:rPr>
          <w:noProof/>
        </w:rPr>
        <w:t>Accor Australia’s energy per room has continued to decline</w:t>
      </w:r>
      <w:r>
        <w:rPr>
          <w:noProof/>
        </w:rPr>
        <w:tab/>
      </w:r>
      <w:r>
        <w:rPr>
          <w:noProof/>
        </w:rPr>
        <w:fldChar w:fldCharType="begin"/>
      </w:r>
      <w:r>
        <w:rPr>
          <w:noProof/>
        </w:rPr>
        <w:instrText xml:space="preserve"> PAGEREF _Toc19280247 \h </w:instrText>
      </w:r>
      <w:r>
        <w:rPr>
          <w:noProof/>
        </w:rPr>
      </w:r>
      <w:r>
        <w:rPr>
          <w:noProof/>
        </w:rPr>
        <w:fldChar w:fldCharType="separate"/>
      </w:r>
      <w:r w:rsidR="00AD3561">
        <w:rPr>
          <w:noProof/>
        </w:rPr>
        <w:t>123</w:t>
      </w:r>
      <w:r>
        <w:rPr>
          <w:noProof/>
        </w:rPr>
        <w:fldChar w:fldCharType="end"/>
      </w:r>
    </w:p>
    <w:p w14:paraId="235E23E7" w14:textId="6E2B2F84" w:rsidR="003B131D" w:rsidRDefault="003B131D">
      <w:pPr>
        <w:pStyle w:val="TableofFigures"/>
        <w:rPr>
          <w:rFonts w:eastAsiaTheme="minorEastAsia" w:cstheme="minorBidi"/>
          <w:noProof/>
          <w:sz w:val="22"/>
          <w:szCs w:val="22"/>
        </w:rPr>
      </w:pPr>
      <w:r>
        <w:rPr>
          <w:noProof/>
        </w:rPr>
        <w:t>8.15</w:t>
      </w:r>
      <w:r>
        <w:rPr>
          <w:rFonts w:eastAsiaTheme="minorEastAsia" w:cstheme="minorBidi"/>
          <w:noProof/>
          <w:sz w:val="22"/>
          <w:szCs w:val="22"/>
        </w:rPr>
        <w:tab/>
      </w:r>
      <w:r>
        <w:rPr>
          <w:noProof/>
        </w:rPr>
        <w:t>Comparing energy and carbon intensity, Langham Hotels, 2013-2017</w:t>
      </w:r>
      <w:r>
        <w:rPr>
          <w:noProof/>
        </w:rPr>
        <w:tab/>
      </w:r>
      <w:r>
        <w:rPr>
          <w:noProof/>
        </w:rPr>
        <w:fldChar w:fldCharType="begin"/>
      </w:r>
      <w:r>
        <w:rPr>
          <w:noProof/>
        </w:rPr>
        <w:instrText xml:space="preserve"> PAGEREF _Toc19280248 \h </w:instrText>
      </w:r>
      <w:r>
        <w:rPr>
          <w:noProof/>
        </w:rPr>
      </w:r>
      <w:r>
        <w:rPr>
          <w:noProof/>
        </w:rPr>
        <w:fldChar w:fldCharType="separate"/>
      </w:r>
      <w:r w:rsidR="00AD3561">
        <w:rPr>
          <w:noProof/>
        </w:rPr>
        <w:t>123</w:t>
      </w:r>
      <w:r>
        <w:rPr>
          <w:noProof/>
        </w:rPr>
        <w:fldChar w:fldCharType="end"/>
      </w:r>
    </w:p>
    <w:p w14:paraId="6D942324" w14:textId="4635200E" w:rsidR="003B131D" w:rsidRDefault="003B131D">
      <w:pPr>
        <w:pStyle w:val="TableofFigures"/>
        <w:rPr>
          <w:rFonts w:eastAsiaTheme="minorEastAsia" w:cstheme="minorBidi"/>
          <w:noProof/>
          <w:sz w:val="22"/>
          <w:szCs w:val="22"/>
        </w:rPr>
      </w:pPr>
      <w:r>
        <w:rPr>
          <w:noProof/>
        </w:rPr>
        <w:t>8.16</w:t>
      </w:r>
      <w:r>
        <w:rPr>
          <w:rFonts w:eastAsiaTheme="minorEastAsia" w:cstheme="minorBidi"/>
          <w:noProof/>
          <w:sz w:val="22"/>
          <w:szCs w:val="22"/>
        </w:rPr>
        <w:tab/>
      </w:r>
      <w:r>
        <w:rPr>
          <w:noProof/>
        </w:rPr>
        <w:t>Reductions in energy and carbon intensity at Marriott International</w:t>
      </w:r>
      <w:r>
        <w:rPr>
          <w:noProof/>
        </w:rPr>
        <w:tab/>
      </w:r>
      <w:r>
        <w:rPr>
          <w:noProof/>
        </w:rPr>
        <w:fldChar w:fldCharType="begin"/>
      </w:r>
      <w:r>
        <w:rPr>
          <w:noProof/>
        </w:rPr>
        <w:instrText xml:space="preserve"> PAGEREF _Toc19280249 \h </w:instrText>
      </w:r>
      <w:r>
        <w:rPr>
          <w:noProof/>
        </w:rPr>
      </w:r>
      <w:r>
        <w:rPr>
          <w:noProof/>
        </w:rPr>
        <w:fldChar w:fldCharType="separate"/>
      </w:r>
      <w:r w:rsidR="00AD3561">
        <w:rPr>
          <w:noProof/>
        </w:rPr>
        <w:t>124</w:t>
      </w:r>
      <w:r>
        <w:rPr>
          <w:noProof/>
        </w:rPr>
        <w:fldChar w:fldCharType="end"/>
      </w:r>
    </w:p>
    <w:p w14:paraId="67150E31" w14:textId="5ECF4C0E" w:rsidR="003B131D" w:rsidRDefault="003B131D">
      <w:pPr>
        <w:pStyle w:val="TableofFigures"/>
        <w:rPr>
          <w:rFonts w:eastAsiaTheme="minorEastAsia" w:cstheme="minorBidi"/>
          <w:noProof/>
          <w:sz w:val="22"/>
          <w:szCs w:val="22"/>
        </w:rPr>
      </w:pPr>
      <w:r>
        <w:rPr>
          <w:noProof/>
        </w:rPr>
        <w:t>8.17</w:t>
      </w:r>
      <w:r>
        <w:rPr>
          <w:rFonts w:eastAsiaTheme="minorEastAsia" w:cstheme="minorBidi"/>
          <w:noProof/>
          <w:sz w:val="22"/>
          <w:szCs w:val="22"/>
        </w:rPr>
        <w:tab/>
      </w:r>
      <w:r>
        <w:rPr>
          <w:noProof/>
        </w:rPr>
        <w:t>Cost benefit analysis results for hotels</w:t>
      </w:r>
      <w:r>
        <w:rPr>
          <w:noProof/>
        </w:rPr>
        <w:tab/>
      </w:r>
      <w:r>
        <w:rPr>
          <w:noProof/>
        </w:rPr>
        <w:fldChar w:fldCharType="begin"/>
      </w:r>
      <w:r>
        <w:rPr>
          <w:noProof/>
        </w:rPr>
        <w:instrText xml:space="preserve"> PAGEREF _Toc19280250 \h </w:instrText>
      </w:r>
      <w:r>
        <w:rPr>
          <w:noProof/>
        </w:rPr>
      </w:r>
      <w:r>
        <w:rPr>
          <w:noProof/>
        </w:rPr>
        <w:fldChar w:fldCharType="separate"/>
      </w:r>
      <w:r w:rsidR="00AD3561">
        <w:rPr>
          <w:noProof/>
        </w:rPr>
        <w:t>130</w:t>
      </w:r>
      <w:r>
        <w:rPr>
          <w:noProof/>
        </w:rPr>
        <w:fldChar w:fldCharType="end"/>
      </w:r>
    </w:p>
    <w:p w14:paraId="2DCE6038" w14:textId="58885ED6" w:rsidR="003B131D" w:rsidRDefault="003B131D">
      <w:pPr>
        <w:pStyle w:val="TableofFigures"/>
        <w:rPr>
          <w:rFonts w:eastAsiaTheme="minorEastAsia" w:cstheme="minorBidi"/>
          <w:noProof/>
          <w:sz w:val="22"/>
          <w:szCs w:val="22"/>
        </w:rPr>
      </w:pPr>
      <w:r>
        <w:rPr>
          <w:noProof/>
        </w:rPr>
        <w:t>8.18</w:t>
      </w:r>
      <w:r>
        <w:rPr>
          <w:rFonts w:eastAsiaTheme="minorEastAsia" w:cstheme="minorBidi"/>
          <w:noProof/>
          <w:sz w:val="22"/>
          <w:szCs w:val="22"/>
        </w:rPr>
        <w:tab/>
      </w:r>
      <w:r>
        <w:rPr>
          <w:noProof/>
        </w:rPr>
        <w:t>Costs of improving energy efficiency for hotels</w:t>
      </w:r>
      <w:r>
        <w:rPr>
          <w:noProof/>
        </w:rPr>
        <w:tab/>
      </w:r>
      <w:r>
        <w:rPr>
          <w:noProof/>
        </w:rPr>
        <w:fldChar w:fldCharType="begin"/>
      </w:r>
      <w:r>
        <w:rPr>
          <w:noProof/>
        </w:rPr>
        <w:instrText xml:space="preserve"> PAGEREF _Toc19280251 \h </w:instrText>
      </w:r>
      <w:r>
        <w:rPr>
          <w:noProof/>
        </w:rPr>
      </w:r>
      <w:r>
        <w:rPr>
          <w:noProof/>
        </w:rPr>
        <w:fldChar w:fldCharType="separate"/>
      </w:r>
      <w:r w:rsidR="00AD3561">
        <w:rPr>
          <w:noProof/>
        </w:rPr>
        <w:t>131</w:t>
      </w:r>
      <w:r>
        <w:rPr>
          <w:noProof/>
        </w:rPr>
        <w:fldChar w:fldCharType="end"/>
      </w:r>
    </w:p>
    <w:p w14:paraId="614E05D4" w14:textId="79388281" w:rsidR="003B131D" w:rsidRDefault="003B131D">
      <w:pPr>
        <w:pStyle w:val="TableofFigures"/>
        <w:rPr>
          <w:rFonts w:eastAsiaTheme="minorEastAsia" w:cstheme="minorBidi"/>
          <w:noProof/>
          <w:sz w:val="22"/>
          <w:szCs w:val="22"/>
        </w:rPr>
      </w:pPr>
      <w:r>
        <w:rPr>
          <w:noProof/>
        </w:rPr>
        <w:t>8.19</w:t>
      </w:r>
      <w:r>
        <w:rPr>
          <w:rFonts w:eastAsiaTheme="minorEastAsia" w:cstheme="minorBidi"/>
          <w:noProof/>
          <w:sz w:val="22"/>
          <w:szCs w:val="22"/>
        </w:rPr>
        <w:tab/>
      </w:r>
      <w:r>
        <w:rPr>
          <w:noProof/>
        </w:rPr>
        <w:t>Impacts of mandatory disclosure for hotels</w:t>
      </w:r>
      <w:r>
        <w:rPr>
          <w:noProof/>
        </w:rPr>
        <w:tab/>
      </w:r>
      <w:r>
        <w:rPr>
          <w:noProof/>
        </w:rPr>
        <w:fldChar w:fldCharType="begin"/>
      </w:r>
      <w:r>
        <w:rPr>
          <w:noProof/>
        </w:rPr>
        <w:instrText xml:space="preserve"> PAGEREF _Toc19280252 \h </w:instrText>
      </w:r>
      <w:r>
        <w:rPr>
          <w:noProof/>
        </w:rPr>
      </w:r>
      <w:r>
        <w:rPr>
          <w:noProof/>
        </w:rPr>
        <w:fldChar w:fldCharType="separate"/>
      </w:r>
      <w:r w:rsidR="00AD3561">
        <w:rPr>
          <w:noProof/>
        </w:rPr>
        <w:t>132</w:t>
      </w:r>
      <w:r>
        <w:rPr>
          <w:noProof/>
        </w:rPr>
        <w:fldChar w:fldCharType="end"/>
      </w:r>
    </w:p>
    <w:p w14:paraId="09428CC8" w14:textId="229F8C10" w:rsidR="003B131D" w:rsidRDefault="003B131D">
      <w:pPr>
        <w:pStyle w:val="TableofFigures"/>
        <w:rPr>
          <w:rFonts w:eastAsiaTheme="minorEastAsia" w:cstheme="minorBidi"/>
          <w:noProof/>
          <w:sz w:val="22"/>
          <w:szCs w:val="22"/>
        </w:rPr>
      </w:pPr>
      <w:r>
        <w:rPr>
          <w:noProof/>
        </w:rPr>
        <w:t>9.1</w:t>
      </w:r>
      <w:r>
        <w:rPr>
          <w:rFonts w:eastAsiaTheme="minorEastAsia" w:cstheme="minorBidi"/>
          <w:noProof/>
          <w:sz w:val="22"/>
          <w:szCs w:val="22"/>
        </w:rPr>
        <w:tab/>
      </w:r>
      <w:r>
        <w:rPr>
          <w:noProof/>
        </w:rPr>
        <w:t>Number of NABERS data centre ratings over time</w:t>
      </w:r>
      <w:r>
        <w:rPr>
          <w:noProof/>
        </w:rPr>
        <w:tab/>
      </w:r>
      <w:r>
        <w:rPr>
          <w:noProof/>
        </w:rPr>
        <w:fldChar w:fldCharType="begin"/>
      </w:r>
      <w:r>
        <w:rPr>
          <w:noProof/>
        </w:rPr>
        <w:instrText xml:space="preserve"> PAGEREF _Toc19280253 \h </w:instrText>
      </w:r>
      <w:r>
        <w:rPr>
          <w:noProof/>
        </w:rPr>
      </w:r>
      <w:r>
        <w:rPr>
          <w:noProof/>
        </w:rPr>
        <w:fldChar w:fldCharType="separate"/>
      </w:r>
      <w:r w:rsidR="00AD3561">
        <w:rPr>
          <w:noProof/>
        </w:rPr>
        <w:t>137</w:t>
      </w:r>
      <w:r>
        <w:rPr>
          <w:noProof/>
        </w:rPr>
        <w:fldChar w:fldCharType="end"/>
      </w:r>
    </w:p>
    <w:p w14:paraId="591F844F" w14:textId="1FB09298" w:rsidR="003B131D" w:rsidRDefault="003B131D">
      <w:pPr>
        <w:pStyle w:val="TableofFigures"/>
        <w:rPr>
          <w:rFonts w:eastAsiaTheme="minorEastAsia" w:cstheme="minorBidi"/>
          <w:noProof/>
          <w:sz w:val="22"/>
          <w:szCs w:val="22"/>
        </w:rPr>
      </w:pPr>
      <w:r>
        <w:rPr>
          <w:noProof/>
        </w:rPr>
        <w:t>9.2</w:t>
      </w:r>
      <w:r>
        <w:rPr>
          <w:rFonts w:eastAsiaTheme="minorEastAsia" w:cstheme="minorBidi"/>
          <w:noProof/>
          <w:sz w:val="22"/>
          <w:szCs w:val="22"/>
        </w:rPr>
        <w:tab/>
      </w:r>
      <w:r>
        <w:rPr>
          <w:noProof/>
        </w:rPr>
        <w:t>NGERS reporting thresholds</w:t>
      </w:r>
      <w:r>
        <w:rPr>
          <w:noProof/>
        </w:rPr>
        <w:tab/>
      </w:r>
      <w:r>
        <w:rPr>
          <w:noProof/>
        </w:rPr>
        <w:fldChar w:fldCharType="begin"/>
      </w:r>
      <w:r>
        <w:rPr>
          <w:noProof/>
        </w:rPr>
        <w:instrText xml:space="preserve"> PAGEREF _Toc19280254 \h </w:instrText>
      </w:r>
      <w:r>
        <w:rPr>
          <w:noProof/>
        </w:rPr>
      </w:r>
      <w:r>
        <w:rPr>
          <w:noProof/>
        </w:rPr>
        <w:fldChar w:fldCharType="separate"/>
      </w:r>
      <w:r w:rsidR="00AD3561">
        <w:rPr>
          <w:noProof/>
        </w:rPr>
        <w:t>137</w:t>
      </w:r>
      <w:r>
        <w:rPr>
          <w:noProof/>
        </w:rPr>
        <w:fldChar w:fldCharType="end"/>
      </w:r>
    </w:p>
    <w:p w14:paraId="2923B89F" w14:textId="687EFC38" w:rsidR="003B131D" w:rsidRDefault="003B131D">
      <w:pPr>
        <w:pStyle w:val="TableofFigures"/>
        <w:rPr>
          <w:rFonts w:eastAsiaTheme="minorEastAsia" w:cstheme="minorBidi"/>
          <w:noProof/>
          <w:sz w:val="22"/>
          <w:szCs w:val="22"/>
        </w:rPr>
      </w:pPr>
      <w:r>
        <w:rPr>
          <w:noProof/>
        </w:rPr>
        <w:t>9.3</w:t>
      </w:r>
      <w:r>
        <w:rPr>
          <w:rFonts w:eastAsiaTheme="minorEastAsia" w:cstheme="minorBidi"/>
          <w:noProof/>
          <w:sz w:val="22"/>
          <w:szCs w:val="22"/>
        </w:rPr>
        <w:tab/>
      </w:r>
      <w:r>
        <w:rPr>
          <w:noProof/>
        </w:rPr>
        <w:t>Data centre size</w:t>
      </w:r>
      <w:r>
        <w:rPr>
          <w:noProof/>
        </w:rPr>
        <w:tab/>
      </w:r>
      <w:r>
        <w:rPr>
          <w:noProof/>
        </w:rPr>
        <w:fldChar w:fldCharType="begin"/>
      </w:r>
      <w:r>
        <w:rPr>
          <w:noProof/>
        </w:rPr>
        <w:instrText xml:space="preserve"> PAGEREF _Toc19280255 \h </w:instrText>
      </w:r>
      <w:r>
        <w:rPr>
          <w:noProof/>
        </w:rPr>
      </w:r>
      <w:r>
        <w:rPr>
          <w:noProof/>
        </w:rPr>
        <w:fldChar w:fldCharType="separate"/>
      </w:r>
      <w:r w:rsidR="00AD3561">
        <w:rPr>
          <w:noProof/>
        </w:rPr>
        <w:t>138</w:t>
      </w:r>
      <w:r>
        <w:rPr>
          <w:noProof/>
        </w:rPr>
        <w:fldChar w:fldCharType="end"/>
      </w:r>
    </w:p>
    <w:p w14:paraId="5A6E7125" w14:textId="6C4E75BF" w:rsidR="003B131D" w:rsidRDefault="003B131D">
      <w:pPr>
        <w:pStyle w:val="TableofFigures"/>
        <w:rPr>
          <w:rFonts w:eastAsiaTheme="minorEastAsia" w:cstheme="minorBidi"/>
          <w:noProof/>
          <w:sz w:val="22"/>
          <w:szCs w:val="22"/>
        </w:rPr>
      </w:pPr>
      <w:r>
        <w:rPr>
          <w:noProof/>
        </w:rPr>
        <w:t>9.4</w:t>
      </w:r>
      <w:r>
        <w:rPr>
          <w:rFonts w:eastAsiaTheme="minorEastAsia" w:cstheme="minorBidi"/>
          <w:noProof/>
          <w:sz w:val="22"/>
          <w:szCs w:val="22"/>
        </w:rPr>
        <w:tab/>
      </w:r>
      <w:r>
        <w:rPr>
          <w:noProof/>
        </w:rPr>
        <w:t>Data centre density</w:t>
      </w:r>
      <w:r>
        <w:rPr>
          <w:noProof/>
        </w:rPr>
        <w:tab/>
      </w:r>
      <w:r>
        <w:rPr>
          <w:noProof/>
        </w:rPr>
        <w:fldChar w:fldCharType="begin"/>
      </w:r>
      <w:r>
        <w:rPr>
          <w:noProof/>
        </w:rPr>
        <w:instrText xml:space="preserve"> PAGEREF _Toc19280256 \h </w:instrText>
      </w:r>
      <w:r>
        <w:rPr>
          <w:noProof/>
        </w:rPr>
      </w:r>
      <w:r>
        <w:rPr>
          <w:noProof/>
        </w:rPr>
        <w:fldChar w:fldCharType="separate"/>
      </w:r>
      <w:r w:rsidR="00AD3561">
        <w:rPr>
          <w:noProof/>
        </w:rPr>
        <w:t>139</w:t>
      </w:r>
      <w:r>
        <w:rPr>
          <w:noProof/>
        </w:rPr>
        <w:fldChar w:fldCharType="end"/>
      </w:r>
    </w:p>
    <w:p w14:paraId="59F779EC" w14:textId="677836F1" w:rsidR="003B131D" w:rsidRDefault="003B131D">
      <w:pPr>
        <w:pStyle w:val="TableofFigures"/>
        <w:rPr>
          <w:rFonts w:eastAsiaTheme="minorEastAsia" w:cstheme="minorBidi"/>
          <w:noProof/>
          <w:sz w:val="22"/>
          <w:szCs w:val="22"/>
        </w:rPr>
      </w:pPr>
      <w:r>
        <w:rPr>
          <w:noProof/>
        </w:rPr>
        <w:t>9.5</w:t>
      </w:r>
      <w:r>
        <w:rPr>
          <w:rFonts w:eastAsiaTheme="minorEastAsia" w:cstheme="minorBidi"/>
          <w:noProof/>
          <w:sz w:val="22"/>
          <w:szCs w:val="22"/>
        </w:rPr>
        <w:tab/>
      </w:r>
      <w:r>
        <w:rPr>
          <w:noProof/>
        </w:rPr>
        <w:t>Distribution of NABERS star ratings</w:t>
      </w:r>
      <w:r>
        <w:rPr>
          <w:noProof/>
        </w:rPr>
        <w:tab/>
      </w:r>
      <w:r>
        <w:rPr>
          <w:noProof/>
        </w:rPr>
        <w:fldChar w:fldCharType="begin"/>
      </w:r>
      <w:r>
        <w:rPr>
          <w:noProof/>
        </w:rPr>
        <w:instrText xml:space="preserve"> PAGEREF _Toc19280257 \h </w:instrText>
      </w:r>
      <w:r>
        <w:rPr>
          <w:noProof/>
        </w:rPr>
      </w:r>
      <w:r>
        <w:rPr>
          <w:noProof/>
        </w:rPr>
        <w:fldChar w:fldCharType="separate"/>
      </w:r>
      <w:r w:rsidR="00AD3561">
        <w:rPr>
          <w:noProof/>
        </w:rPr>
        <w:t>141</w:t>
      </w:r>
      <w:r>
        <w:rPr>
          <w:noProof/>
        </w:rPr>
        <w:fldChar w:fldCharType="end"/>
      </w:r>
    </w:p>
    <w:p w14:paraId="060D38A4" w14:textId="0CF753A5" w:rsidR="003B131D" w:rsidRDefault="003B131D">
      <w:pPr>
        <w:pStyle w:val="TableofFigures"/>
        <w:rPr>
          <w:rFonts w:eastAsiaTheme="minorEastAsia" w:cstheme="minorBidi"/>
          <w:noProof/>
          <w:sz w:val="22"/>
          <w:szCs w:val="22"/>
        </w:rPr>
      </w:pPr>
      <w:r>
        <w:rPr>
          <w:noProof/>
        </w:rPr>
        <w:t>9.6</w:t>
      </w:r>
      <w:r>
        <w:rPr>
          <w:rFonts w:eastAsiaTheme="minorEastAsia" w:cstheme="minorBidi"/>
          <w:noProof/>
          <w:sz w:val="22"/>
          <w:szCs w:val="22"/>
        </w:rPr>
        <w:tab/>
      </w:r>
      <w:r>
        <w:rPr>
          <w:noProof/>
        </w:rPr>
        <w:t>Initial star rating — frequency distribution</w:t>
      </w:r>
      <w:r>
        <w:rPr>
          <w:noProof/>
        </w:rPr>
        <w:tab/>
      </w:r>
      <w:r>
        <w:rPr>
          <w:noProof/>
        </w:rPr>
        <w:fldChar w:fldCharType="begin"/>
      </w:r>
      <w:r>
        <w:rPr>
          <w:noProof/>
        </w:rPr>
        <w:instrText xml:space="preserve"> PAGEREF _Toc19280258 \h </w:instrText>
      </w:r>
      <w:r>
        <w:rPr>
          <w:noProof/>
        </w:rPr>
      </w:r>
      <w:r>
        <w:rPr>
          <w:noProof/>
        </w:rPr>
        <w:fldChar w:fldCharType="separate"/>
      </w:r>
      <w:r w:rsidR="00AD3561">
        <w:rPr>
          <w:noProof/>
        </w:rPr>
        <w:t>142</w:t>
      </w:r>
      <w:r>
        <w:rPr>
          <w:noProof/>
        </w:rPr>
        <w:fldChar w:fldCharType="end"/>
      </w:r>
    </w:p>
    <w:p w14:paraId="4442A041" w14:textId="378613A0" w:rsidR="003B131D" w:rsidRDefault="003B131D">
      <w:pPr>
        <w:pStyle w:val="TableofFigures"/>
        <w:rPr>
          <w:rFonts w:eastAsiaTheme="minorEastAsia" w:cstheme="minorBidi"/>
          <w:noProof/>
          <w:sz w:val="22"/>
          <w:szCs w:val="22"/>
        </w:rPr>
      </w:pPr>
      <w:r>
        <w:rPr>
          <w:noProof/>
        </w:rPr>
        <w:t>9.7</w:t>
      </w:r>
      <w:r>
        <w:rPr>
          <w:rFonts w:eastAsiaTheme="minorEastAsia" w:cstheme="minorBidi"/>
          <w:noProof/>
          <w:sz w:val="22"/>
          <w:szCs w:val="22"/>
        </w:rPr>
        <w:tab/>
      </w:r>
      <w:r>
        <w:rPr>
          <w:noProof/>
        </w:rPr>
        <w:t>Net private benefits for office building by first NABERS rating</w:t>
      </w:r>
      <w:r>
        <w:rPr>
          <w:noProof/>
        </w:rPr>
        <w:tab/>
      </w:r>
      <w:r>
        <w:rPr>
          <w:noProof/>
        </w:rPr>
        <w:fldChar w:fldCharType="begin"/>
      </w:r>
      <w:r>
        <w:rPr>
          <w:noProof/>
        </w:rPr>
        <w:instrText xml:space="preserve"> PAGEREF _Toc19280259 \h </w:instrText>
      </w:r>
      <w:r>
        <w:rPr>
          <w:noProof/>
        </w:rPr>
      </w:r>
      <w:r>
        <w:rPr>
          <w:noProof/>
        </w:rPr>
        <w:fldChar w:fldCharType="separate"/>
      </w:r>
      <w:r w:rsidR="00AD3561">
        <w:rPr>
          <w:noProof/>
        </w:rPr>
        <w:t>142</w:t>
      </w:r>
      <w:r>
        <w:rPr>
          <w:noProof/>
        </w:rPr>
        <w:fldChar w:fldCharType="end"/>
      </w:r>
    </w:p>
    <w:p w14:paraId="4B0AABB0" w14:textId="2D4DA8A4" w:rsidR="003B131D" w:rsidRDefault="003B131D">
      <w:pPr>
        <w:pStyle w:val="TableofFigures"/>
        <w:rPr>
          <w:rFonts w:eastAsiaTheme="minorEastAsia" w:cstheme="minorBidi"/>
          <w:noProof/>
          <w:sz w:val="22"/>
          <w:szCs w:val="22"/>
        </w:rPr>
      </w:pPr>
      <w:r>
        <w:rPr>
          <w:noProof/>
        </w:rPr>
        <w:t>9.8</w:t>
      </w:r>
      <w:r>
        <w:rPr>
          <w:rFonts w:eastAsiaTheme="minorEastAsia" w:cstheme="minorBidi"/>
          <w:noProof/>
          <w:sz w:val="22"/>
          <w:szCs w:val="22"/>
        </w:rPr>
        <w:tab/>
      </w:r>
      <w:r>
        <w:rPr>
          <w:noProof/>
        </w:rPr>
        <w:t>Frequency distribution of PUE</w:t>
      </w:r>
      <w:r>
        <w:rPr>
          <w:noProof/>
        </w:rPr>
        <w:tab/>
      </w:r>
      <w:r>
        <w:rPr>
          <w:noProof/>
        </w:rPr>
        <w:fldChar w:fldCharType="begin"/>
      </w:r>
      <w:r>
        <w:rPr>
          <w:noProof/>
        </w:rPr>
        <w:instrText xml:space="preserve"> PAGEREF _Toc19280260 \h </w:instrText>
      </w:r>
      <w:r>
        <w:rPr>
          <w:noProof/>
        </w:rPr>
      </w:r>
      <w:r>
        <w:rPr>
          <w:noProof/>
        </w:rPr>
        <w:fldChar w:fldCharType="separate"/>
      </w:r>
      <w:r w:rsidR="00AD3561">
        <w:rPr>
          <w:noProof/>
        </w:rPr>
        <w:t>143</w:t>
      </w:r>
      <w:r>
        <w:rPr>
          <w:noProof/>
        </w:rPr>
        <w:fldChar w:fldCharType="end"/>
      </w:r>
    </w:p>
    <w:p w14:paraId="7369631D" w14:textId="42915650" w:rsidR="003B131D" w:rsidRDefault="003B131D">
      <w:pPr>
        <w:pStyle w:val="TableofFigures"/>
        <w:rPr>
          <w:rFonts w:eastAsiaTheme="minorEastAsia" w:cstheme="minorBidi"/>
          <w:noProof/>
          <w:sz w:val="22"/>
          <w:szCs w:val="22"/>
        </w:rPr>
      </w:pPr>
      <w:r>
        <w:rPr>
          <w:noProof/>
        </w:rPr>
        <w:t>9.9</w:t>
      </w:r>
      <w:r>
        <w:rPr>
          <w:rFonts w:eastAsiaTheme="minorEastAsia" w:cstheme="minorBidi"/>
          <w:noProof/>
          <w:sz w:val="22"/>
          <w:szCs w:val="22"/>
        </w:rPr>
        <w:tab/>
      </w:r>
      <w:r>
        <w:rPr>
          <w:noProof/>
        </w:rPr>
        <w:t>Change in star rating — frequency distribution</w:t>
      </w:r>
      <w:r>
        <w:rPr>
          <w:noProof/>
        </w:rPr>
        <w:tab/>
      </w:r>
      <w:r>
        <w:rPr>
          <w:noProof/>
        </w:rPr>
        <w:fldChar w:fldCharType="begin"/>
      </w:r>
      <w:r>
        <w:rPr>
          <w:noProof/>
        </w:rPr>
        <w:instrText xml:space="preserve"> PAGEREF _Toc19280261 \h </w:instrText>
      </w:r>
      <w:r>
        <w:rPr>
          <w:noProof/>
        </w:rPr>
      </w:r>
      <w:r>
        <w:rPr>
          <w:noProof/>
        </w:rPr>
        <w:fldChar w:fldCharType="separate"/>
      </w:r>
      <w:r w:rsidR="00AD3561">
        <w:rPr>
          <w:noProof/>
        </w:rPr>
        <w:t>144</w:t>
      </w:r>
      <w:r>
        <w:rPr>
          <w:noProof/>
        </w:rPr>
        <w:fldChar w:fldCharType="end"/>
      </w:r>
    </w:p>
    <w:p w14:paraId="2D0C4A1F" w14:textId="5EDE44B7" w:rsidR="003B131D" w:rsidRDefault="003B131D">
      <w:pPr>
        <w:pStyle w:val="TableofFigures"/>
        <w:rPr>
          <w:rFonts w:eastAsiaTheme="minorEastAsia" w:cstheme="minorBidi"/>
          <w:noProof/>
          <w:sz w:val="22"/>
          <w:szCs w:val="22"/>
        </w:rPr>
      </w:pPr>
      <w:r>
        <w:rPr>
          <w:noProof/>
        </w:rPr>
        <w:t>9.10</w:t>
      </w:r>
      <w:r>
        <w:rPr>
          <w:rFonts w:eastAsiaTheme="minorEastAsia" w:cstheme="minorBidi"/>
          <w:noProof/>
          <w:sz w:val="22"/>
          <w:szCs w:val="22"/>
        </w:rPr>
        <w:tab/>
      </w:r>
      <w:r>
        <w:rPr>
          <w:noProof/>
        </w:rPr>
        <w:t>Change in PUE — frequency distribution</w:t>
      </w:r>
      <w:r>
        <w:rPr>
          <w:noProof/>
        </w:rPr>
        <w:tab/>
      </w:r>
      <w:r>
        <w:rPr>
          <w:noProof/>
        </w:rPr>
        <w:fldChar w:fldCharType="begin"/>
      </w:r>
      <w:r>
        <w:rPr>
          <w:noProof/>
        </w:rPr>
        <w:instrText xml:space="preserve"> PAGEREF _Toc19280262 \h </w:instrText>
      </w:r>
      <w:r>
        <w:rPr>
          <w:noProof/>
        </w:rPr>
      </w:r>
      <w:r>
        <w:rPr>
          <w:noProof/>
        </w:rPr>
        <w:fldChar w:fldCharType="separate"/>
      </w:r>
      <w:r w:rsidR="00AD3561">
        <w:rPr>
          <w:noProof/>
        </w:rPr>
        <w:t>145</w:t>
      </w:r>
      <w:r>
        <w:rPr>
          <w:noProof/>
        </w:rPr>
        <w:fldChar w:fldCharType="end"/>
      </w:r>
    </w:p>
    <w:p w14:paraId="4B844108" w14:textId="477C236E" w:rsidR="003B131D" w:rsidRDefault="003B131D">
      <w:pPr>
        <w:pStyle w:val="TableofFigures"/>
        <w:rPr>
          <w:rFonts w:eastAsiaTheme="minorEastAsia" w:cstheme="minorBidi"/>
          <w:noProof/>
          <w:sz w:val="22"/>
          <w:szCs w:val="22"/>
        </w:rPr>
      </w:pPr>
      <w:r>
        <w:rPr>
          <w:noProof/>
        </w:rPr>
        <w:t>9.11</w:t>
      </w:r>
      <w:r>
        <w:rPr>
          <w:rFonts w:eastAsiaTheme="minorEastAsia" w:cstheme="minorBidi"/>
          <w:noProof/>
          <w:sz w:val="22"/>
          <w:szCs w:val="22"/>
        </w:rPr>
        <w:tab/>
      </w:r>
      <w:r>
        <w:rPr>
          <w:noProof/>
        </w:rPr>
        <w:t>Cost of a NABERS rating for data centres</w:t>
      </w:r>
      <w:r>
        <w:rPr>
          <w:noProof/>
        </w:rPr>
        <w:tab/>
      </w:r>
      <w:r>
        <w:rPr>
          <w:noProof/>
        </w:rPr>
        <w:fldChar w:fldCharType="begin"/>
      </w:r>
      <w:r>
        <w:rPr>
          <w:noProof/>
        </w:rPr>
        <w:instrText xml:space="preserve"> PAGEREF _Toc19280263 \h </w:instrText>
      </w:r>
      <w:r>
        <w:rPr>
          <w:noProof/>
        </w:rPr>
      </w:r>
      <w:r>
        <w:rPr>
          <w:noProof/>
        </w:rPr>
        <w:fldChar w:fldCharType="separate"/>
      </w:r>
      <w:r w:rsidR="00AD3561">
        <w:rPr>
          <w:noProof/>
        </w:rPr>
        <w:t>147</w:t>
      </w:r>
      <w:r>
        <w:rPr>
          <w:noProof/>
        </w:rPr>
        <w:fldChar w:fldCharType="end"/>
      </w:r>
    </w:p>
    <w:p w14:paraId="2BBFAB78" w14:textId="3330011A" w:rsidR="003B131D" w:rsidRDefault="003B131D">
      <w:pPr>
        <w:pStyle w:val="TableofFigures"/>
        <w:rPr>
          <w:rFonts w:eastAsiaTheme="minorEastAsia" w:cstheme="minorBidi"/>
          <w:noProof/>
          <w:sz w:val="22"/>
          <w:szCs w:val="22"/>
        </w:rPr>
      </w:pPr>
      <w:r>
        <w:rPr>
          <w:noProof/>
        </w:rPr>
        <w:t>10.1</w:t>
      </w:r>
      <w:r>
        <w:rPr>
          <w:rFonts w:eastAsiaTheme="minorEastAsia" w:cstheme="minorBidi"/>
          <w:noProof/>
          <w:sz w:val="22"/>
          <w:szCs w:val="22"/>
        </w:rPr>
        <w:tab/>
      </w:r>
      <w:r>
        <w:rPr>
          <w:noProof/>
        </w:rPr>
        <w:t>Number of dwellings commenced, 2003-04 to 2017-18</w:t>
      </w:r>
      <w:r>
        <w:rPr>
          <w:noProof/>
        </w:rPr>
        <w:tab/>
      </w:r>
      <w:r>
        <w:rPr>
          <w:noProof/>
        </w:rPr>
        <w:fldChar w:fldCharType="begin"/>
      </w:r>
      <w:r>
        <w:rPr>
          <w:noProof/>
        </w:rPr>
        <w:instrText xml:space="preserve"> PAGEREF _Toc19280264 \h </w:instrText>
      </w:r>
      <w:r>
        <w:rPr>
          <w:noProof/>
        </w:rPr>
      </w:r>
      <w:r>
        <w:rPr>
          <w:noProof/>
        </w:rPr>
        <w:fldChar w:fldCharType="separate"/>
      </w:r>
      <w:r w:rsidR="00AD3561">
        <w:rPr>
          <w:noProof/>
        </w:rPr>
        <w:t>148</w:t>
      </w:r>
      <w:r>
        <w:rPr>
          <w:noProof/>
        </w:rPr>
        <w:fldChar w:fldCharType="end"/>
      </w:r>
    </w:p>
    <w:p w14:paraId="7321F315" w14:textId="4BCCE9E6" w:rsidR="003B131D" w:rsidRDefault="003B131D">
      <w:pPr>
        <w:pStyle w:val="TableofFigures"/>
        <w:rPr>
          <w:rFonts w:eastAsiaTheme="minorEastAsia" w:cstheme="minorBidi"/>
          <w:noProof/>
          <w:sz w:val="22"/>
          <w:szCs w:val="22"/>
        </w:rPr>
      </w:pPr>
      <w:r>
        <w:rPr>
          <w:noProof/>
        </w:rPr>
        <w:t>10.2</w:t>
      </w:r>
      <w:r>
        <w:rPr>
          <w:rFonts w:eastAsiaTheme="minorEastAsia" w:cstheme="minorBidi"/>
          <w:noProof/>
          <w:sz w:val="22"/>
          <w:szCs w:val="22"/>
        </w:rPr>
        <w:tab/>
      </w:r>
      <w:r>
        <w:rPr>
          <w:noProof/>
        </w:rPr>
        <w:t>Energy consumption for apartments based on density compared to a detached house (Sydney)</w:t>
      </w:r>
      <w:r>
        <w:rPr>
          <w:noProof/>
        </w:rPr>
        <w:tab/>
      </w:r>
      <w:r>
        <w:rPr>
          <w:noProof/>
        </w:rPr>
        <w:fldChar w:fldCharType="begin"/>
      </w:r>
      <w:r>
        <w:rPr>
          <w:noProof/>
        </w:rPr>
        <w:instrText xml:space="preserve"> PAGEREF _Toc19280265 \h </w:instrText>
      </w:r>
      <w:r>
        <w:rPr>
          <w:noProof/>
        </w:rPr>
      </w:r>
      <w:r>
        <w:rPr>
          <w:noProof/>
        </w:rPr>
        <w:fldChar w:fldCharType="separate"/>
      </w:r>
      <w:r w:rsidR="00AD3561">
        <w:rPr>
          <w:noProof/>
        </w:rPr>
        <w:t>149</w:t>
      </w:r>
      <w:r>
        <w:rPr>
          <w:noProof/>
        </w:rPr>
        <w:fldChar w:fldCharType="end"/>
      </w:r>
    </w:p>
    <w:p w14:paraId="78775A52" w14:textId="23CFF726" w:rsidR="003B131D" w:rsidRDefault="003B131D">
      <w:pPr>
        <w:pStyle w:val="TableofFigures"/>
        <w:rPr>
          <w:rFonts w:eastAsiaTheme="minorEastAsia" w:cstheme="minorBidi"/>
          <w:noProof/>
          <w:sz w:val="22"/>
          <w:szCs w:val="22"/>
        </w:rPr>
      </w:pPr>
      <w:r>
        <w:rPr>
          <w:noProof/>
        </w:rPr>
        <w:t>A.1</w:t>
      </w:r>
      <w:r>
        <w:rPr>
          <w:rFonts w:eastAsiaTheme="minorEastAsia" w:cstheme="minorBidi"/>
          <w:noProof/>
          <w:sz w:val="22"/>
          <w:szCs w:val="22"/>
        </w:rPr>
        <w:tab/>
      </w:r>
      <w:r>
        <w:rPr>
          <w:noProof/>
        </w:rPr>
        <w:t>CBD Program to 2018</w:t>
      </w:r>
      <w:r>
        <w:rPr>
          <w:noProof/>
        </w:rPr>
        <w:noBreakHyphen/>
        <w:t>19 — cost-benefit analysis</w:t>
      </w:r>
      <w:r>
        <w:rPr>
          <w:noProof/>
        </w:rPr>
        <w:tab/>
      </w:r>
      <w:r>
        <w:rPr>
          <w:noProof/>
        </w:rPr>
        <w:fldChar w:fldCharType="begin"/>
      </w:r>
      <w:r>
        <w:rPr>
          <w:noProof/>
        </w:rPr>
        <w:instrText xml:space="preserve"> PAGEREF _Toc19280266 \h </w:instrText>
      </w:r>
      <w:r>
        <w:rPr>
          <w:noProof/>
        </w:rPr>
      </w:r>
      <w:r>
        <w:rPr>
          <w:noProof/>
        </w:rPr>
        <w:fldChar w:fldCharType="separate"/>
      </w:r>
      <w:r w:rsidR="00AD3561">
        <w:rPr>
          <w:noProof/>
        </w:rPr>
        <w:t>152</w:t>
      </w:r>
      <w:r>
        <w:rPr>
          <w:noProof/>
        </w:rPr>
        <w:fldChar w:fldCharType="end"/>
      </w:r>
    </w:p>
    <w:p w14:paraId="15D0F8FF" w14:textId="21F15C13" w:rsidR="003B131D" w:rsidRDefault="003B131D">
      <w:pPr>
        <w:pStyle w:val="TableofFigures"/>
        <w:rPr>
          <w:rFonts w:eastAsiaTheme="minorEastAsia" w:cstheme="minorBidi"/>
          <w:noProof/>
          <w:sz w:val="22"/>
          <w:szCs w:val="22"/>
        </w:rPr>
      </w:pPr>
      <w:r>
        <w:rPr>
          <w:noProof/>
        </w:rPr>
        <w:t>A.2</w:t>
      </w:r>
      <w:r>
        <w:rPr>
          <w:rFonts w:eastAsiaTheme="minorEastAsia" w:cstheme="minorBidi"/>
          <w:noProof/>
          <w:sz w:val="22"/>
          <w:szCs w:val="22"/>
        </w:rPr>
        <w:tab/>
      </w:r>
      <w:r>
        <w:rPr>
          <w:noProof/>
        </w:rPr>
        <w:t>CBD Program ‘business as usual’ to 2029</w:t>
      </w:r>
      <w:r>
        <w:rPr>
          <w:noProof/>
        </w:rPr>
        <w:noBreakHyphen/>
        <w:t>2030 — cost-benefit analysis</w:t>
      </w:r>
      <w:r>
        <w:rPr>
          <w:noProof/>
        </w:rPr>
        <w:tab/>
      </w:r>
      <w:r>
        <w:rPr>
          <w:noProof/>
        </w:rPr>
        <w:fldChar w:fldCharType="begin"/>
      </w:r>
      <w:r>
        <w:rPr>
          <w:noProof/>
        </w:rPr>
        <w:instrText xml:space="preserve"> PAGEREF _Toc19280267 \h </w:instrText>
      </w:r>
      <w:r>
        <w:rPr>
          <w:noProof/>
        </w:rPr>
      </w:r>
      <w:r>
        <w:rPr>
          <w:noProof/>
        </w:rPr>
        <w:fldChar w:fldCharType="separate"/>
      </w:r>
      <w:r w:rsidR="00AD3561">
        <w:rPr>
          <w:noProof/>
        </w:rPr>
        <w:t>153</w:t>
      </w:r>
      <w:r>
        <w:rPr>
          <w:noProof/>
        </w:rPr>
        <w:fldChar w:fldCharType="end"/>
      </w:r>
    </w:p>
    <w:p w14:paraId="0CED1632" w14:textId="3A2470D7" w:rsidR="003B131D" w:rsidRDefault="003B131D">
      <w:pPr>
        <w:pStyle w:val="TableofFigures"/>
        <w:rPr>
          <w:rFonts w:eastAsiaTheme="minorEastAsia" w:cstheme="minorBidi"/>
          <w:noProof/>
          <w:sz w:val="22"/>
          <w:szCs w:val="22"/>
        </w:rPr>
      </w:pPr>
      <w:r>
        <w:rPr>
          <w:noProof/>
        </w:rPr>
        <w:t>B.1</w:t>
      </w:r>
      <w:r>
        <w:rPr>
          <w:rFonts w:eastAsiaTheme="minorEastAsia" w:cstheme="minorBidi"/>
          <w:noProof/>
          <w:sz w:val="22"/>
          <w:szCs w:val="22"/>
        </w:rPr>
        <w:tab/>
      </w:r>
      <w:r>
        <w:rPr>
          <w:noProof/>
        </w:rPr>
        <w:t>Long-run marginal cost</w:t>
      </w:r>
      <w:r>
        <w:rPr>
          <w:noProof/>
        </w:rPr>
        <w:tab/>
      </w:r>
      <w:r>
        <w:rPr>
          <w:noProof/>
        </w:rPr>
        <w:fldChar w:fldCharType="begin"/>
      </w:r>
      <w:r>
        <w:rPr>
          <w:noProof/>
        </w:rPr>
        <w:instrText xml:space="preserve"> PAGEREF _Toc19280268 \h </w:instrText>
      </w:r>
      <w:r>
        <w:rPr>
          <w:noProof/>
        </w:rPr>
      </w:r>
      <w:r>
        <w:rPr>
          <w:noProof/>
        </w:rPr>
        <w:fldChar w:fldCharType="separate"/>
      </w:r>
      <w:r w:rsidR="00AD3561">
        <w:rPr>
          <w:noProof/>
        </w:rPr>
        <w:t>156</w:t>
      </w:r>
      <w:r>
        <w:rPr>
          <w:noProof/>
        </w:rPr>
        <w:fldChar w:fldCharType="end"/>
      </w:r>
    </w:p>
    <w:p w14:paraId="7E79418B" w14:textId="49EEE0BD" w:rsidR="003B131D" w:rsidRDefault="003B131D">
      <w:pPr>
        <w:pStyle w:val="TableofFigures"/>
        <w:rPr>
          <w:rFonts w:eastAsiaTheme="minorEastAsia" w:cstheme="minorBidi"/>
          <w:noProof/>
          <w:sz w:val="22"/>
          <w:szCs w:val="22"/>
        </w:rPr>
      </w:pPr>
      <w:r>
        <w:rPr>
          <w:noProof/>
        </w:rPr>
        <w:t>B.2</w:t>
      </w:r>
      <w:r>
        <w:rPr>
          <w:rFonts w:eastAsiaTheme="minorEastAsia" w:cstheme="minorBidi"/>
          <w:noProof/>
          <w:sz w:val="22"/>
          <w:szCs w:val="22"/>
        </w:rPr>
        <w:tab/>
      </w:r>
      <w:r>
        <w:rPr>
          <w:noProof/>
        </w:rPr>
        <w:t>Energeia study on impacts of reducing commercial energy use</w:t>
      </w:r>
      <w:r>
        <w:rPr>
          <w:noProof/>
        </w:rPr>
        <w:tab/>
      </w:r>
      <w:r>
        <w:rPr>
          <w:noProof/>
        </w:rPr>
        <w:fldChar w:fldCharType="begin"/>
      </w:r>
      <w:r>
        <w:rPr>
          <w:noProof/>
        </w:rPr>
        <w:instrText xml:space="preserve"> PAGEREF _Toc19280269 \h </w:instrText>
      </w:r>
      <w:r>
        <w:rPr>
          <w:noProof/>
        </w:rPr>
      </w:r>
      <w:r>
        <w:rPr>
          <w:noProof/>
        </w:rPr>
        <w:fldChar w:fldCharType="separate"/>
      </w:r>
      <w:r w:rsidR="00AD3561">
        <w:rPr>
          <w:noProof/>
        </w:rPr>
        <w:t>159</w:t>
      </w:r>
      <w:r>
        <w:rPr>
          <w:noProof/>
        </w:rPr>
        <w:fldChar w:fldCharType="end"/>
      </w:r>
    </w:p>
    <w:p w14:paraId="0CD47958" w14:textId="1E7C5150" w:rsidR="003B131D" w:rsidRDefault="003B131D">
      <w:pPr>
        <w:pStyle w:val="TableofFigures"/>
        <w:rPr>
          <w:rFonts w:eastAsiaTheme="minorEastAsia" w:cstheme="minorBidi"/>
          <w:noProof/>
          <w:sz w:val="22"/>
          <w:szCs w:val="22"/>
        </w:rPr>
      </w:pPr>
      <w:r>
        <w:rPr>
          <w:noProof/>
        </w:rPr>
        <w:t>B.3</w:t>
      </w:r>
      <w:r>
        <w:rPr>
          <w:rFonts w:eastAsiaTheme="minorEastAsia" w:cstheme="minorBidi"/>
          <w:noProof/>
          <w:sz w:val="22"/>
          <w:szCs w:val="22"/>
        </w:rPr>
        <w:tab/>
      </w:r>
      <w:r>
        <w:rPr>
          <w:noProof/>
        </w:rPr>
        <w:t>Network product offerings used</w:t>
      </w:r>
      <w:r>
        <w:rPr>
          <w:noProof/>
        </w:rPr>
        <w:tab/>
      </w:r>
      <w:r>
        <w:rPr>
          <w:noProof/>
        </w:rPr>
        <w:fldChar w:fldCharType="begin"/>
      </w:r>
      <w:r>
        <w:rPr>
          <w:noProof/>
        </w:rPr>
        <w:instrText xml:space="preserve"> PAGEREF _Toc19280270 \h </w:instrText>
      </w:r>
      <w:r>
        <w:rPr>
          <w:noProof/>
        </w:rPr>
      </w:r>
      <w:r>
        <w:rPr>
          <w:noProof/>
        </w:rPr>
        <w:fldChar w:fldCharType="separate"/>
      </w:r>
      <w:r w:rsidR="00AD3561">
        <w:rPr>
          <w:noProof/>
        </w:rPr>
        <w:t>160</w:t>
      </w:r>
      <w:r>
        <w:rPr>
          <w:noProof/>
        </w:rPr>
        <w:fldChar w:fldCharType="end"/>
      </w:r>
    </w:p>
    <w:p w14:paraId="4E3FE495" w14:textId="43740AE0" w:rsidR="003B131D" w:rsidRDefault="003B131D">
      <w:pPr>
        <w:pStyle w:val="TableofFigures"/>
        <w:rPr>
          <w:rFonts w:eastAsiaTheme="minorEastAsia" w:cstheme="minorBidi"/>
          <w:noProof/>
          <w:sz w:val="22"/>
          <w:szCs w:val="22"/>
        </w:rPr>
      </w:pPr>
      <w:r>
        <w:rPr>
          <w:noProof/>
        </w:rPr>
        <w:t>B.4</w:t>
      </w:r>
      <w:r>
        <w:rPr>
          <w:rFonts w:eastAsiaTheme="minorEastAsia" w:cstheme="minorBidi"/>
          <w:noProof/>
          <w:sz w:val="22"/>
          <w:szCs w:val="22"/>
        </w:rPr>
        <w:tab/>
      </w:r>
      <w:r>
        <w:rPr>
          <w:noProof/>
        </w:rPr>
        <w:t>Timing weights by network</w:t>
      </w:r>
      <w:r>
        <w:rPr>
          <w:noProof/>
        </w:rPr>
        <w:tab/>
      </w:r>
      <w:r>
        <w:rPr>
          <w:noProof/>
        </w:rPr>
        <w:fldChar w:fldCharType="begin"/>
      </w:r>
      <w:r>
        <w:rPr>
          <w:noProof/>
        </w:rPr>
        <w:instrText xml:space="preserve"> PAGEREF _Toc19280271 \h </w:instrText>
      </w:r>
      <w:r>
        <w:rPr>
          <w:noProof/>
        </w:rPr>
      </w:r>
      <w:r>
        <w:rPr>
          <w:noProof/>
        </w:rPr>
        <w:fldChar w:fldCharType="separate"/>
      </w:r>
      <w:r w:rsidR="00AD3561">
        <w:rPr>
          <w:noProof/>
        </w:rPr>
        <w:t>160</w:t>
      </w:r>
      <w:r>
        <w:rPr>
          <w:noProof/>
        </w:rPr>
        <w:fldChar w:fldCharType="end"/>
      </w:r>
    </w:p>
    <w:p w14:paraId="04310A24" w14:textId="74A29C0C" w:rsidR="003B131D" w:rsidRDefault="003B131D">
      <w:pPr>
        <w:pStyle w:val="TableofFigures"/>
        <w:rPr>
          <w:rFonts w:eastAsiaTheme="minorEastAsia" w:cstheme="minorBidi"/>
          <w:noProof/>
          <w:sz w:val="22"/>
          <w:szCs w:val="22"/>
        </w:rPr>
      </w:pPr>
      <w:r>
        <w:rPr>
          <w:noProof/>
        </w:rPr>
        <w:t>B.5</w:t>
      </w:r>
      <w:r>
        <w:rPr>
          <w:rFonts w:eastAsiaTheme="minorEastAsia" w:cstheme="minorBidi"/>
          <w:noProof/>
          <w:sz w:val="22"/>
          <w:szCs w:val="22"/>
        </w:rPr>
        <w:tab/>
      </w:r>
      <w:r>
        <w:rPr>
          <w:noProof/>
        </w:rPr>
        <w:t>$/kWh conversion actors</w:t>
      </w:r>
      <w:r>
        <w:rPr>
          <w:noProof/>
        </w:rPr>
        <w:tab/>
      </w:r>
      <w:r>
        <w:rPr>
          <w:noProof/>
        </w:rPr>
        <w:fldChar w:fldCharType="begin"/>
      </w:r>
      <w:r>
        <w:rPr>
          <w:noProof/>
        </w:rPr>
        <w:instrText xml:space="preserve"> PAGEREF _Toc19280272 \h </w:instrText>
      </w:r>
      <w:r>
        <w:rPr>
          <w:noProof/>
        </w:rPr>
      </w:r>
      <w:r>
        <w:rPr>
          <w:noProof/>
        </w:rPr>
        <w:fldChar w:fldCharType="separate"/>
      </w:r>
      <w:r w:rsidR="00AD3561">
        <w:rPr>
          <w:noProof/>
        </w:rPr>
        <w:t>161</w:t>
      </w:r>
      <w:r>
        <w:rPr>
          <w:noProof/>
        </w:rPr>
        <w:fldChar w:fldCharType="end"/>
      </w:r>
    </w:p>
    <w:p w14:paraId="685EAAAB" w14:textId="27387756" w:rsidR="003B131D" w:rsidRDefault="003B131D">
      <w:pPr>
        <w:pStyle w:val="TableofFigures"/>
        <w:rPr>
          <w:rFonts w:eastAsiaTheme="minorEastAsia" w:cstheme="minorBidi"/>
          <w:noProof/>
          <w:sz w:val="22"/>
          <w:szCs w:val="22"/>
        </w:rPr>
      </w:pPr>
      <w:r>
        <w:rPr>
          <w:noProof/>
        </w:rPr>
        <w:t>B.6</w:t>
      </w:r>
      <w:r>
        <w:rPr>
          <w:rFonts w:eastAsiaTheme="minorEastAsia" w:cstheme="minorBidi"/>
          <w:noProof/>
          <w:sz w:val="22"/>
          <w:szCs w:val="22"/>
        </w:rPr>
        <w:tab/>
      </w:r>
      <w:r>
        <w:rPr>
          <w:noProof/>
        </w:rPr>
        <w:t>Commercial electricity prices (real)</w:t>
      </w:r>
      <w:r>
        <w:rPr>
          <w:noProof/>
        </w:rPr>
        <w:tab/>
      </w:r>
      <w:r>
        <w:rPr>
          <w:noProof/>
        </w:rPr>
        <w:fldChar w:fldCharType="begin"/>
      </w:r>
      <w:r>
        <w:rPr>
          <w:noProof/>
        </w:rPr>
        <w:instrText xml:space="preserve"> PAGEREF _Toc19280273 \h </w:instrText>
      </w:r>
      <w:r>
        <w:rPr>
          <w:noProof/>
        </w:rPr>
      </w:r>
      <w:r>
        <w:rPr>
          <w:noProof/>
        </w:rPr>
        <w:fldChar w:fldCharType="separate"/>
      </w:r>
      <w:r w:rsidR="00AD3561">
        <w:rPr>
          <w:noProof/>
        </w:rPr>
        <w:t>161</w:t>
      </w:r>
      <w:r>
        <w:rPr>
          <w:noProof/>
        </w:rPr>
        <w:fldChar w:fldCharType="end"/>
      </w:r>
    </w:p>
    <w:p w14:paraId="12C646AE" w14:textId="0743CADA" w:rsidR="003B131D" w:rsidRDefault="003B131D">
      <w:pPr>
        <w:pStyle w:val="TableofFigures"/>
        <w:rPr>
          <w:rFonts w:eastAsiaTheme="minorEastAsia" w:cstheme="minorBidi"/>
          <w:noProof/>
          <w:sz w:val="22"/>
          <w:szCs w:val="22"/>
        </w:rPr>
      </w:pPr>
      <w:r>
        <w:rPr>
          <w:noProof/>
        </w:rPr>
        <w:t>B.7</w:t>
      </w:r>
      <w:r>
        <w:rPr>
          <w:rFonts w:eastAsiaTheme="minorEastAsia" w:cstheme="minorBidi"/>
          <w:noProof/>
          <w:sz w:val="22"/>
          <w:szCs w:val="22"/>
        </w:rPr>
        <w:tab/>
      </w:r>
      <w:r>
        <w:rPr>
          <w:noProof/>
        </w:rPr>
        <w:t>Wholesale energy costs (nominal)</w:t>
      </w:r>
      <w:r>
        <w:rPr>
          <w:noProof/>
        </w:rPr>
        <w:tab/>
      </w:r>
      <w:r>
        <w:rPr>
          <w:noProof/>
        </w:rPr>
        <w:fldChar w:fldCharType="begin"/>
      </w:r>
      <w:r>
        <w:rPr>
          <w:noProof/>
        </w:rPr>
        <w:instrText xml:space="preserve"> PAGEREF _Toc19280274 \h </w:instrText>
      </w:r>
      <w:r>
        <w:rPr>
          <w:noProof/>
        </w:rPr>
      </w:r>
      <w:r>
        <w:rPr>
          <w:noProof/>
        </w:rPr>
        <w:fldChar w:fldCharType="separate"/>
      </w:r>
      <w:r w:rsidR="00AD3561">
        <w:rPr>
          <w:noProof/>
        </w:rPr>
        <w:t>162</w:t>
      </w:r>
      <w:r>
        <w:rPr>
          <w:noProof/>
        </w:rPr>
        <w:fldChar w:fldCharType="end"/>
      </w:r>
    </w:p>
    <w:p w14:paraId="5B922B8B" w14:textId="2C30C0D3" w:rsidR="003B131D" w:rsidRDefault="003B131D">
      <w:pPr>
        <w:pStyle w:val="TableofFigures"/>
        <w:rPr>
          <w:rFonts w:eastAsiaTheme="minorEastAsia" w:cstheme="minorBidi"/>
          <w:noProof/>
          <w:sz w:val="22"/>
          <w:szCs w:val="22"/>
        </w:rPr>
      </w:pPr>
      <w:r>
        <w:rPr>
          <w:noProof/>
        </w:rPr>
        <w:t>B.8</w:t>
      </w:r>
      <w:r>
        <w:rPr>
          <w:rFonts w:eastAsiaTheme="minorEastAsia" w:cstheme="minorBidi"/>
          <w:noProof/>
          <w:sz w:val="22"/>
          <w:szCs w:val="22"/>
        </w:rPr>
        <w:tab/>
      </w:r>
      <w:r>
        <w:rPr>
          <w:noProof/>
        </w:rPr>
        <w:t>Commercial gas prices (real)</w:t>
      </w:r>
      <w:r>
        <w:rPr>
          <w:noProof/>
        </w:rPr>
        <w:tab/>
      </w:r>
      <w:r>
        <w:rPr>
          <w:noProof/>
        </w:rPr>
        <w:fldChar w:fldCharType="begin"/>
      </w:r>
      <w:r>
        <w:rPr>
          <w:noProof/>
        </w:rPr>
        <w:instrText xml:space="preserve"> PAGEREF _Toc19280275 \h </w:instrText>
      </w:r>
      <w:r>
        <w:rPr>
          <w:noProof/>
        </w:rPr>
      </w:r>
      <w:r>
        <w:rPr>
          <w:noProof/>
        </w:rPr>
        <w:fldChar w:fldCharType="separate"/>
      </w:r>
      <w:r w:rsidR="00AD3561">
        <w:rPr>
          <w:noProof/>
        </w:rPr>
        <w:t>163</w:t>
      </w:r>
      <w:r>
        <w:rPr>
          <w:noProof/>
        </w:rPr>
        <w:fldChar w:fldCharType="end"/>
      </w:r>
    </w:p>
    <w:p w14:paraId="119D6564" w14:textId="7F6F615F" w:rsidR="003B131D" w:rsidRDefault="003B131D">
      <w:pPr>
        <w:pStyle w:val="TableofFigures"/>
        <w:rPr>
          <w:rFonts w:eastAsiaTheme="minorEastAsia" w:cstheme="minorBidi"/>
          <w:noProof/>
          <w:sz w:val="22"/>
          <w:szCs w:val="22"/>
        </w:rPr>
      </w:pPr>
      <w:r>
        <w:rPr>
          <w:noProof/>
        </w:rPr>
        <w:t>B.9</w:t>
      </w:r>
      <w:r>
        <w:rPr>
          <w:rFonts w:eastAsiaTheme="minorEastAsia" w:cstheme="minorBidi"/>
          <w:noProof/>
          <w:sz w:val="22"/>
          <w:szCs w:val="22"/>
        </w:rPr>
        <w:tab/>
      </w:r>
      <w:r>
        <w:rPr>
          <w:noProof/>
        </w:rPr>
        <w:t>Electricity emissions factors for end users, 2016-17</w:t>
      </w:r>
      <w:r>
        <w:rPr>
          <w:noProof/>
        </w:rPr>
        <w:tab/>
      </w:r>
      <w:r>
        <w:rPr>
          <w:noProof/>
        </w:rPr>
        <w:fldChar w:fldCharType="begin"/>
      </w:r>
      <w:r>
        <w:rPr>
          <w:noProof/>
        </w:rPr>
        <w:instrText xml:space="preserve"> PAGEREF _Toc19280276 \h </w:instrText>
      </w:r>
      <w:r>
        <w:rPr>
          <w:noProof/>
        </w:rPr>
      </w:r>
      <w:r>
        <w:rPr>
          <w:noProof/>
        </w:rPr>
        <w:fldChar w:fldCharType="separate"/>
      </w:r>
      <w:r w:rsidR="00AD3561">
        <w:rPr>
          <w:noProof/>
        </w:rPr>
        <w:t>164</w:t>
      </w:r>
      <w:r>
        <w:rPr>
          <w:noProof/>
        </w:rPr>
        <w:fldChar w:fldCharType="end"/>
      </w:r>
    </w:p>
    <w:p w14:paraId="5E476466" w14:textId="25C62182" w:rsidR="003B131D" w:rsidRDefault="003B131D">
      <w:pPr>
        <w:pStyle w:val="TableofFigures"/>
        <w:rPr>
          <w:rFonts w:eastAsiaTheme="minorEastAsia" w:cstheme="minorBidi"/>
          <w:noProof/>
          <w:sz w:val="22"/>
          <w:szCs w:val="22"/>
        </w:rPr>
      </w:pPr>
      <w:r>
        <w:rPr>
          <w:noProof/>
        </w:rPr>
        <w:t>B.10</w:t>
      </w:r>
      <w:r>
        <w:rPr>
          <w:rFonts w:eastAsiaTheme="minorEastAsia" w:cstheme="minorBidi"/>
          <w:noProof/>
          <w:sz w:val="22"/>
          <w:szCs w:val="22"/>
        </w:rPr>
        <w:tab/>
      </w:r>
      <w:r>
        <w:rPr>
          <w:noProof/>
        </w:rPr>
        <w:t>Natural gas emissions factors</w:t>
      </w:r>
      <w:r>
        <w:rPr>
          <w:noProof/>
        </w:rPr>
        <w:tab/>
      </w:r>
      <w:r>
        <w:rPr>
          <w:noProof/>
        </w:rPr>
        <w:fldChar w:fldCharType="begin"/>
      </w:r>
      <w:r>
        <w:rPr>
          <w:noProof/>
        </w:rPr>
        <w:instrText xml:space="preserve"> PAGEREF _Toc19280277 \h </w:instrText>
      </w:r>
      <w:r>
        <w:rPr>
          <w:noProof/>
        </w:rPr>
      </w:r>
      <w:r>
        <w:rPr>
          <w:noProof/>
        </w:rPr>
        <w:fldChar w:fldCharType="separate"/>
      </w:r>
      <w:r w:rsidR="00AD3561">
        <w:rPr>
          <w:noProof/>
        </w:rPr>
        <w:t>164</w:t>
      </w:r>
      <w:r>
        <w:rPr>
          <w:noProof/>
        </w:rPr>
        <w:fldChar w:fldCharType="end"/>
      </w:r>
    </w:p>
    <w:p w14:paraId="73E38A4C" w14:textId="4FDAAD8A" w:rsidR="003B131D" w:rsidRDefault="003B131D">
      <w:pPr>
        <w:pStyle w:val="TableofFigures"/>
        <w:rPr>
          <w:rFonts w:eastAsiaTheme="minorEastAsia" w:cstheme="minorBidi"/>
          <w:noProof/>
          <w:sz w:val="22"/>
          <w:szCs w:val="22"/>
        </w:rPr>
      </w:pPr>
      <w:r>
        <w:rPr>
          <w:noProof/>
        </w:rPr>
        <w:t>B.11</w:t>
      </w:r>
      <w:r>
        <w:rPr>
          <w:rFonts w:eastAsiaTheme="minorEastAsia" w:cstheme="minorBidi"/>
          <w:noProof/>
          <w:sz w:val="22"/>
          <w:szCs w:val="22"/>
        </w:rPr>
        <w:tab/>
      </w:r>
      <w:r>
        <w:rPr>
          <w:noProof/>
        </w:rPr>
        <w:t>Greenhouse gas intensity of electricity</w:t>
      </w:r>
      <w:r>
        <w:rPr>
          <w:noProof/>
        </w:rPr>
        <w:tab/>
      </w:r>
      <w:r>
        <w:rPr>
          <w:noProof/>
        </w:rPr>
        <w:fldChar w:fldCharType="begin"/>
      </w:r>
      <w:r>
        <w:rPr>
          <w:noProof/>
        </w:rPr>
        <w:instrText xml:space="preserve"> PAGEREF _Toc19280278 \h </w:instrText>
      </w:r>
      <w:r>
        <w:rPr>
          <w:noProof/>
        </w:rPr>
      </w:r>
      <w:r>
        <w:rPr>
          <w:noProof/>
        </w:rPr>
        <w:fldChar w:fldCharType="separate"/>
      </w:r>
      <w:r w:rsidR="00AD3561">
        <w:rPr>
          <w:noProof/>
        </w:rPr>
        <w:t>165</w:t>
      </w:r>
      <w:r>
        <w:rPr>
          <w:noProof/>
        </w:rPr>
        <w:fldChar w:fldCharType="end"/>
      </w:r>
    </w:p>
    <w:p w14:paraId="7B3D7F5D" w14:textId="26315503" w:rsidR="003B131D" w:rsidRDefault="003B131D">
      <w:pPr>
        <w:pStyle w:val="TableofFigures"/>
        <w:rPr>
          <w:rFonts w:eastAsiaTheme="minorEastAsia" w:cstheme="minorBidi"/>
          <w:noProof/>
          <w:sz w:val="22"/>
          <w:szCs w:val="22"/>
        </w:rPr>
      </w:pPr>
      <w:r>
        <w:rPr>
          <w:noProof/>
        </w:rPr>
        <w:t>B.12</w:t>
      </w:r>
      <w:r>
        <w:rPr>
          <w:rFonts w:eastAsiaTheme="minorEastAsia" w:cstheme="minorBidi"/>
          <w:noProof/>
          <w:sz w:val="22"/>
          <w:szCs w:val="22"/>
        </w:rPr>
        <w:tab/>
      </w:r>
      <w:r>
        <w:rPr>
          <w:noProof/>
        </w:rPr>
        <w:t>Social cost of carbon estimates</w:t>
      </w:r>
      <w:r>
        <w:rPr>
          <w:noProof/>
        </w:rPr>
        <w:tab/>
      </w:r>
      <w:r>
        <w:rPr>
          <w:noProof/>
        </w:rPr>
        <w:fldChar w:fldCharType="begin"/>
      </w:r>
      <w:r>
        <w:rPr>
          <w:noProof/>
        </w:rPr>
        <w:instrText xml:space="preserve"> PAGEREF _Toc19280279 \h </w:instrText>
      </w:r>
      <w:r>
        <w:rPr>
          <w:noProof/>
        </w:rPr>
      </w:r>
      <w:r>
        <w:rPr>
          <w:noProof/>
        </w:rPr>
        <w:fldChar w:fldCharType="separate"/>
      </w:r>
      <w:r w:rsidR="00AD3561">
        <w:rPr>
          <w:noProof/>
        </w:rPr>
        <w:t>166</w:t>
      </w:r>
      <w:r>
        <w:rPr>
          <w:noProof/>
        </w:rPr>
        <w:fldChar w:fldCharType="end"/>
      </w:r>
    </w:p>
    <w:p w14:paraId="014C196F" w14:textId="39E6EADC" w:rsidR="003B131D" w:rsidRDefault="003B131D">
      <w:pPr>
        <w:pStyle w:val="TableofFigures"/>
        <w:rPr>
          <w:rFonts w:eastAsiaTheme="minorEastAsia" w:cstheme="minorBidi"/>
          <w:noProof/>
          <w:sz w:val="22"/>
          <w:szCs w:val="22"/>
        </w:rPr>
      </w:pPr>
      <w:r>
        <w:rPr>
          <w:noProof/>
        </w:rPr>
        <w:t>B.13</w:t>
      </w:r>
      <w:r>
        <w:rPr>
          <w:rFonts w:eastAsiaTheme="minorEastAsia" w:cstheme="minorBidi"/>
          <w:noProof/>
          <w:sz w:val="22"/>
          <w:szCs w:val="22"/>
        </w:rPr>
        <w:tab/>
      </w:r>
      <w:r>
        <w:rPr>
          <w:noProof/>
        </w:rPr>
        <w:t>Production and PM</w:t>
      </w:r>
      <w:r w:rsidRPr="00AA51AF">
        <w:rPr>
          <w:noProof/>
          <w:vertAlign w:val="subscript"/>
        </w:rPr>
        <w:t>2.5</w:t>
      </w:r>
      <w:r>
        <w:rPr>
          <w:noProof/>
        </w:rPr>
        <w:t xml:space="preserve"> emissions for electricity generating facilities using                coal</w:t>
      </w:r>
      <w:r>
        <w:rPr>
          <w:noProof/>
        </w:rPr>
        <w:tab/>
      </w:r>
      <w:r>
        <w:rPr>
          <w:noProof/>
        </w:rPr>
        <w:fldChar w:fldCharType="begin"/>
      </w:r>
      <w:r>
        <w:rPr>
          <w:noProof/>
        </w:rPr>
        <w:instrText xml:space="preserve"> PAGEREF _Toc19280280 \h </w:instrText>
      </w:r>
      <w:r>
        <w:rPr>
          <w:noProof/>
        </w:rPr>
      </w:r>
      <w:r>
        <w:rPr>
          <w:noProof/>
        </w:rPr>
        <w:fldChar w:fldCharType="separate"/>
      </w:r>
      <w:r w:rsidR="00AD3561">
        <w:rPr>
          <w:noProof/>
        </w:rPr>
        <w:t>167</w:t>
      </w:r>
      <w:r>
        <w:rPr>
          <w:noProof/>
        </w:rPr>
        <w:fldChar w:fldCharType="end"/>
      </w:r>
    </w:p>
    <w:p w14:paraId="5F787A89" w14:textId="4F186F2F" w:rsidR="003B131D" w:rsidRDefault="003B131D">
      <w:pPr>
        <w:pStyle w:val="TableofFigures"/>
        <w:rPr>
          <w:rFonts w:eastAsiaTheme="minorEastAsia" w:cstheme="minorBidi"/>
          <w:noProof/>
          <w:sz w:val="22"/>
          <w:szCs w:val="22"/>
        </w:rPr>
      </w:pPr>
      <w:r>
        <w:rPr>
          <w:noProof/>
        </w:rPr>
        <w:t>B.14</w:t>
      </w:r>
      <w:r>
        <w:rPr>
          <w:rFonts w:eastAsiaTheme="minorEastAsia" w:cstheme="minorBidi"/>
          <w:noProof/>
          <w:sz w:val="22"/>
          <w:szCs w:val="22"/>
        </w:rPr>
        <w:tab/>
      </w:r>
      <w:r>
        <w:rPr>
          <w:noProof/>
        </w:rPr>
        <w:t>Damage cost estimates for PM</w:t>
      </w:r>
      <w:r w:rsidRPr="00AA51AF">
        <w:rPr>
          <w:noProof/>
          <w:vertAlign w:val="subscript"/>
        </w:rPr>
        <w:t>2.5</w:t>
      </w:r>
      <w:r>
        <w:rPr>
          <w:noProof/>
        </w:rPr>
        <w:t xml:space="preserve"> — selected significant urban area</w:t>
      </w:r>
      <w:r>
        <w:rPr>
          <w:noProof/>
        </w:rPr>
        <w:tab/>
      </w:r>
      <w:r>
        <w:rPr>
          <w:noProof/>
        </w:rPr>
        <w:fldChar w:fldCharType="begin"/>
      </w:r>
      <w:r>
        <w:rPr>
          <w:noProof/>
        </w:rPr>
        <w:instrText xml:space="preserve"> PAGEREF _Toc19280281 \h </w:instrText>
      </w:r>
      <w:r>
        <w:rPr>
          <w:noProof/>
        </w:rPr>
      </w:r>
      <w:r>
        <w:rPr>
          <w:noProof/>
        </w:rPr>
        <w:fldChar w:fldCharType="separate"/>
      </w:r>
      <w:r w:rsidR="00AD3561">
        <w:rPr>
          <w:noProof/>
        </w:rPr>
        <w:t>168</w:t>
      </w:r>
      <w:r>
        <w:rPr>
          <w:noProof/>
        </w:rPr>
        <w:fldChar w:fldCharType="end"/>
      </w:r>
    </w:p>
    <w:p w14:paraId="2C01B0FD" w14:textId="5AB45A0F" w:rsidR="003B131D" w:rsidRDefault="003B131D">
      <w:pPr>
        <w:pStyle w:val="TableofFigures"/>
        <w:rPr>
          <w:rFonts w:eastAsiaTheme="minorEastAsia" w:cstheme="minorBidi"/>
          <w:noProof/>
          <w:sz w:val="22"/>
          <w:szCs w:val="22"/>
        </w:rPr>
      </w:pPr>
      <w:r>
        <w:rPr>
          <w:noProof/>
        </w:rPr>
        <w:t>B.15</w:t>
      </w:r>
      <w:r>
        <w:rPr>
          <w:rFonts w:eastAsiaTheme="minorEastAsia" w:cstheme="minorBidi"/>
          <w:noProof/>
          <w:sz w:val="22"/>
          <w:szCs w:val="22"/>
        </w:rPr>
        <w:tab/>
      </w:r>
      <w:r>
        <w:rPr>
          <w:noProof/>
        </w:rPr>
        <w:t>Damage cost by facility</w:t>
      </w:r>
      <w:r>
        <w:rPr>
          <w:noProof/>
        </w:rPr>
        <w:tab/>
      </w:r>
      <w:r>
        <w:rPr>
          <w:noProof/>
        </w:rPr>
        <w:fldChar w:fldCharType="begin"/>
      </w:r>
      <w:r>
        <w:rPr>
          <w:noProof/>
        </w:rPr>
        <w:instrText xml:space="preserve"> PAGEREF _Toc19280282 \h </w:instrText>
      </w:r>
      <w:r>
        <w:rPr>
          <w:noProof/>
        </w:rPr>
      </w:r>
      <w:r>
        <w:rPr>
          <w:noProof/>
        </w:rPr>
        <w:fldChar w:fldCharType="separate"/>
      </w:r>
      <w:r w:rsidR="00AD3561">
        <w:rPr>
          <w:noProof/>
        </w:rPr>
        <w:t>169</w:t>
      </w:r>
      <w:r>
        <w:rPr>
          <w:noProof/>
        </w:rPr>
        <w:fldChar w:fldCharType="end"/>
      </w:r>
    </w:p>
    <w:p w14:paraId="57EFA955" w14:textId="313FA897" w:rsidR="003B131D" w:rsidRDefault="003B131D">
      <w:pPr>
        <w:pStyle w:val="TableofFigures"/>
        <w:rPr>
          <w:rFonts w:eastAsiaTheme="minorEastAsia" w:cstheme="minorBidi"/>
          <w:noProof/>
          <w:sz w:val="22"/>
          <w:szCs w:val="22"/>
        </w:rPr>
      </w:pPr>
      <w:r>
        <w:rPr>
          <w:noProof/>
        </w:rPr>
        <w:t>C.1</w:t>
      </w:r>
      <w:r>
        <w:rPr>
          <w:rFonts w:eastAsiaTheme="minorEastAsia" w:cstheme="minorBidi"/>
          <w:noProof/>
          <w:sz w:val="22"/>
          <w:szCs w:val="22"/>
        </w:rPr>
        <w:tab/>
      </w:r>
      <w:r>
        <w:rPr>
          <w:noProof/>
        </w:rPr>
        <w:t>Change in star rating</w:t>
      </w:r>
      <w:r>
        <w:rPr>
          <w:noProof/>
        </w:rPr>
        <w:tab/>
      </w:r>
      <w:r>
        <w:rPr>
          <w:noProof/>
        </w:rPr>
        <w:fldChar w:fldCharType="begin"/>
      </w:r>
      <w:r>
        <w:rPr>
          <w:noProof/>
        </w:rPr>
        <w:instrText xml:space="preserve"> PAGEREF _Toc19280283 \h </w:instrText>
      </w:r>
      <w:r>
        <w:rPr>
          <w:noProof/>
        </w:rPr>
      </w:r>
      <w:r>
        <w:rPr>
          <w:noProof/>
        </w:rPr>
        <w:fldChar w:fldCharType="separate"/>
      </w:r>
      <w:r w:rsidR="00AD3561">
        <w:rPr>
          <w:noProof/>
        </w:rPr>
        <w:t>172</w:t>
      </w:r>
      <w:r>
        <w:rPr>
          <w:noProof/>
        </w:rPr>
        <w:fldChar w:fldCharType="end"/>
      </w:r>
    </w:p>
    <w:p w14:paraId="20401067" w14:textId="3C49826D" w:rsidR="003B131D" w:rsidRDefault="003B131D">
      <w:pPr>
        <w:pStyle w:val="TableofFigures"/>
        <w:rPr>
          <w:rFonts w:eastAsiaTheme="minorEastAsia" w:cstheme="minorBidi"/>
          <w:noProof/>
          <w:sz w:val="22"/>
          <w:szCs w:val="22"/>
        </w:rPr>
      </w:pPr>
      <w:r>
        <w:rPr>
          <w:noProof/>
        </w:rPr>
        <w:t>C.2</w:t>
      </w:r>
      <w:r>
        <w:rPr>
          <w:rFonts w:eastAsiaTheme="minorEastAsia" w:cstheme="minorBidi"/>
          <w:noProof/>
          <w:sz w:val="22"/>
          <w:szCs w:val="22"/>
        </w:rPr>
        <w:tab/>
      </w:r>
      <w:r>
        <w:rPr>
          <w:noProof/>
        </w:rPr>
        <w:t>Change in energy use per m</w:t>
      </w:r>
      <w:r w:rsidRPr="00AA51AF">
        <w:rPr>
          <w:noProof/>
          <w:vertAlign w:val="superscript"/>
        </w:rPr>
        <w:t>2</w:t>
      </w:r>
      <w:r>
        <w:rPr>
          <w:noProof/>
        </w:rPr>
        <w:tab/>
      </w:r>
      <w:r>
        <w:rPr>
          <w:noProof/>
        </w:rPr>
        <w:fldChar w:fldCharType="begin"/>
      </w:r>
      <w:r>
        <w:rPr>
          <w:noProof/>
        </w:rPr>
        <w:instrText xml:space="preserve"> PAGEREF _Toc19280284 \h </w:instrText>
      </w:r>
      <w:r>
        <w:rPr>
          <w:noProof/>
        </w:rPr>
      </w:r>
      <w:r>
        <w:rPr>
          <w:noProof/>
        </w:rPr>
        <w:fldChar w:fldCharType="separate"/>
      </w:r>
      <w:r w:rsidR="00AD3561">
        <w:rPr>
          <w:noProof/>
        </w:rPr>
        <w:t>173</w:t>
      </w:r>
      <w:r>
        <w:rPr>
          <w:noProof/>
        </w:rPr>
        <w:fldChar w:fldCharType="end"/>
      </w:r>
    </w:p>
    <w:p w14:paraId="54C1EFD2" w14:textId="5EBF6942" w:rsidR="003B131D" w:rsidRDefault="003B131D">
      <w:pPr>
        <w:pStyle w:val="TableofFigures"/>
        <w:rPr>
          <w:rFonts w:eastAsiaTheme="minorEastAsia" w:cstheme="minorBidi"/>
          <w:noProof/>
          <w:sz w:val="22"/>
          <w:szCs w:val="22"/>
        </w:rPr>
      </w:pPr>
      <w:r>
        <w:rPr>
          <w:noProof/>
        </w:rPr>
        <w:t>D.1</w:t>
      </w:r>
      <w:r>
        <w:rPr>
          <w:rFonts w:eastAsiaTheme="minorEastAsia" w:cstheme="minorBidi"/>
          <w:noProof/>
          <w:sz w:val="22"/>
          <w:szCs w:val="22"/>
        </w:rPr>
        <w:tab/>
      </w:r>
      <w:r>
        <w:rPr>
          <w:noProof/>
        </w:rPr>
        <w:t>Floor space entering the NABERS system for the first time</w:t>
      </w:r>
      <w:r>
        <w:rPr>
          <w:noProof/>
        </w:rPr>
        <w:tab/>
      </w:r>
      <w:r>
        <w:rPr>
          <w:noProof/>
        </w:rPr>
        <w:fldChar w:fldCharType="begin"/>
      </w:r>
      <w:r>
        <w:rPr>
          <w:noProof/>
        </w:rPr>
        <w:instrText xml:space="preserve"> PAGEREF _Toc19280285 \h </w:instrText>
      </w:r>
      <w:r>
        <w:rPr>
          <w:noProof/>
        </w:rPr>
      </w:r>
      <w:r>
        <w:rPr>
          <w:noProof/>
        </w:rPr>
        <w:fldChar w:fldCharType="separate"/>
      </w:r>
      <w:r w:rsidR="00AD3561">
        <w:rPr>
          <w:noProof/>
        </w:rPr>
        <w:t>174</w:t>
      </w:r>
      <w:r>
        <w:rPr>
          <w:noProof/>
        </w:rPr>
        <w:fldChar w:fldCharType="end"/>
      </w:r>
    </w:p>
    <w:p w14:paraId="2F1A322B" w14:textId="62E008D5" w:rsidR="003B131D" w:rsidRDefault="003B131D">
      <w:pPr>
        <w:pStyle w:val="TableofFigures"/>
        <w:rPr>
          <w:rFonts w:eastAsiaTheme="minorEastAsia" w:cstheme="minorBidi"/>
          <w:noProof/>
          <w:sz w:val="22"/>
          <w:szCs w:val="22"/>
        </w:rPr>
      </w:pPr>
      <w:r>
        <w:rPr>
          <w:noProof/>
        </w:rPr>
        <w:t>D.2</w:t>
      </w:r>
      <w:r>
        <w:rPr>
          <w:rFonts w:eastAsiaTheme="minorEastAsia" w:cstheme="minorBidi"/>
          <w:noProof/>
          <w:sz w:val="22"/>
          <w:szCs w:val="22"/>
        </w:rPr>
        <w:tab/>
      </w:r>
      <w:r>
        <w:rPr>
          <w:noProof/>
        </w:rPr>
        <w:t>Average base building energy intensity</w:t>
      </w:r>
      <w:r>
        <w:rPr>
          <w:noProof/>
        </w:rPr>
        <w:tab/>
      </w:r>
      <w:r>
        <w:rPr>
          <w:noProof/>
        </w:rPr>
        <w:fldChar w:fldCharType="begin"/>
      </w:r>
      <w:r>
        <w:rPr>
          <w:noProof/>
        </w:rPr>
        <w:instrText xml:space="preserve"> PAGEREF _Toc19280286 \h </w:instrText>
      </w:r>
      <w:r>
        <w:rPr>
          <w:noProof/>
        </w:rPr>
      </w:r>
      <w:r>
        <w:rPr>
          <w:noProof/>
        </w:rPr>
        <w:fldChar w:fldCharType="separate"/>
      </w:r>
      <w:r w:rsidR="00AD3561">
        <w:rPr>
          <w:noProof/>
        </w:rPr>
        <w:t>177</w:t>
      </w:r>
      <w:r>
        <w:rPr>
          <w:noProof/>
        </w:rPr>
        <w:fldChar w:fldCharType="end"/>
      </w:r>
    </w:p>
    <w:p w14:paraId="1B035E29" w14:textId="77777777" w:rsidR="00650F3E" w:rsidRDefault="00ED0E85" w:rsidP="004E7620">
      <w:pPr>
        <w:pStyle w:val="TableofFigures"/>
        <w:rPr>
          <w:b/>
          <w:bCs/>
          <w:noProof/>
          <w:lang w:val="en-US"/>
        </w:rPr>
      </w:pPr>
      <w:r>
        <w:rPr>
          <w:b/>
          <w:bCs/>
          <w:noProof/>
          <w:lang w:val="en-US"/>
        </w:rPr>
        <w:fldChar w:fldCharType="end"/>
      </w:r>
    </w:p>
    <w:p w14:paraId="6B4009C2" w14:textId="77777777" w:rsidR="00650F3E" w:rsidRPr="00650F3E" w:rsidRDefault="00650F3E" w:rsidP="00650F3E">
      <w:pPr>
        <w:spacing w:before="140"/>
        <w:rPr>
          <w:rFonts w:asciiTheme="minorHAnsi" w:eastAsia="Times New Roman" w:hAnsiTheme="minorHAnsi"/>
          <w:lang w:val="en-US"/>
        </w:rPr>
      </w:pPr>
    </w:p>
    <w:p w14:paraId="12C34087" w14:textId="77777777" w:rsidR="00650F3E" w:rsidRPr="00650F3E" w:rsidRDefault="00650F3E" w:rsidP="00650F3E">
      <w:pPr>
        <w:pStyle w:val="BodyText"/>
        <w:rPr>
          <w:lang w:val="en-US"/>
        </w:rPr>
      </w:pPr>
    </w:p>
    <w:p w14:paraId="678F47FE" w14:textId="77777777" w:rsidR="00650F3E" w:rsidRDefault="00650F3E" w:rsidP="004E7620">
      <w:pPr>
        <w:pStyle w:val="Heading1"/>
        <w:numPr>
          <w:ilvl w:val="0"/>
          <w:numId w:val="0"/>
        </w:numPr>
        <w:sectPr w:rsidR="00650F3E" w:rsidSect="004E7620">
          <w:headerReference w:type="even" r:id="rId22"/>
          <w:headerReference w:type="default" r:id="rId23"/>
          <w:footerReference w:type="even" r:id="rId24"/>
          <w:footerReference w:type="default" r:id="rId25"/>
          <w:pgSz w:w="11906" w:h="16838" w:code="9"/>
          <w:pgMar w:top="2268" w:right="1701" w:bottom="1418" w:left="2268" w:header="680" w:footer="680" w:gutter="0"/>
          <w:pgNumType w:fmt="lowerRoman"/>
          <w:cols w:space="708"/>
          <w:docGrid w:linePitch="360"/>
        </w:sectPr>
      </w:pPr>
    </w:p>
    <w:p w14:paraId="7EC9CA04" w14:textId="77777777" w:rsidR="00ED0E85" w:rsidRDefault="00ED0E85" w:rsidP="00ED0E85">
      <w:pPr>
        <w:pStyle w:val="Heading1"/>
        <w:numPr>
          <w:ilvl w:val="0"/>
          <w:numId w:val="0"/>
        </w:numPr>
        <w:rPr>
          <w:lang w:eastAsia="en-US"/>
        </w:rPr>
      </w:pPr>
      <w:bookmarkStart w:id="3" w:name="_Toc316916909"/>
      <w:bookmarkStart w:id="4" w:name="_Toc19280090"/>
      <w:bookmarkStart w:id="5" w:name="DeleteThisLine"/>
      <w:bookmarkEnd w:id="2"/>
      <w:r>
        <w:rPr>
          <w:lang w:eastAsia="en-US"/>
        </w:rPr>
        <w:t>Glossary</w:t>
      </w:r>
      <w:bookmarkEnd w:id="3"/>
      <w:bookmarkEnd w:id="4"/>
    </w:p>
    <w:tbl>
      <w:tblPr>
        <w:tblW w:w="8504" w:type="dxa"/>
        <w:tblInd w:w="57" w:type="dxa"/>
        <w:tblLayout w:type="fixed"/>
        <w:tblLook w:val="0000" w:firstRow="0" w:lastRow="0" w:firstColumn="0" w:lastColumn="0" w:noHBand="0" w:noVBand="0"/>
      </w:tblPr>
      <w:tblGrid>
        <w:gridCol w:w="1701"/>
        <w:gridCol w:w="6803"/>
      </w:tblGrid>
      <w:tr w:rsidR="00ED0E85" w14:paraId="20B1B59C" w14:textId="77777777" w:rsidTr="00ED0E85">
        <w:tc>
          <w:tcPr>
            <w:tcW w:w="1701" w:type="dxa"/>
            <w:shd w:val="clear" w:color="auto" w:fill="auto"/>
            <w:tcMar>
              <w:left w:w="57" w:type="dxa"/>
              <w:right w:w="57" w:type="dxa"/>
            </w:tcMar>
          </w:tcPr>
          <w:p w14:paraId="1E57E721" w14:textId="77777777" w:rsidR="00ED0E85" w:rsidRPr="00635974" w:rsidRDefault="00ED0E85" w:rsidP="00ED0E85">
            <w:pPr>
              <w:pStyle w:val="BodyText"/>
              <w:rPr>
                <w:lang w:bidi="fa-IR"/>
              </w:rPr>
            </w:pPr>
            <w:r>
              <w:rPr>
                <w:lang w:bidi="fa-IR"/>
              </w:rPr>
              <w:t>ABS</w:t>
            </w:r>
          </w:p>
        </w:tc>
        <w:tc>
          <w:tcPr>
            <w:tcW w:w="6803" w:type="dxa"/>
            <w:shd w:val="clear" w:color="auto" w:fill="auto"/>
            <w:tcMar>
              <w:left w:w="57" w:type="dxa"/>
              <w:right w:w="57" w:type="dxa"/>
            </w:tcMar>
          </w:tcPr>
          <w:p w14:paraId="2D4A9137" w14:textId="77777777" w:rsidR="00ED0E85" w:rsidRPr="00635974" w:rsidRDefault="00ED0E85" w:rsidP="00ED0E85">
            <w:pPr>
              <w:pStyle w:val="BodyText"/>
              <w:rPr>
                <w:lang w:bidi="fa-IR"/>
              </w:rPr>
            </w:pPr>
            <w:r w:rsidRPr="00D31159">
              <w:rPr>
                <w:lang w:bidi="fa-IR"/>
              </w:rPr>
              <w:t>Australian Bureau of Statistics</w:t>
            </w:r>
          </w:p>
        </w:tc>
      </w:tr>
      <w:tr w:rsidR="00ED0E85" w14:paraId="4EFC8A8A" w14:textId="77777777" w:rsidTr="00ED0E85">
        <w:tc>
          <w:tcPr>
            <w:tcW w:w="1701" w:type="dxa"/>
            <w:shd w:val="clear" w:color="auto" w:fill="auto"/>
            <w:tcMar>
              <w:left w:w="57" w:type="dxa"/>
              <w:right w:w="57" w:type="dxa"/>
            </w:tcMar>
          </w:tcPr>
          <w:p w14:paraId="5C90F836" w14:textId="77777777" w:rsidR="00ED0E85" w:rsidRPr="00635974" w:rsidRDefault="00ED0E85" w:rsidP="00ED0E85">
            <w:pPr>
              <w:pStyle w:val="BodyText"/>
            </w:pPr>
            <w:r>
              <w:t>ACCC</w:t>
            </w:r>
          </w:p>
        </w:tc>
        <w:tc>
          <w:tcPr>
            <w:tcW w:w="6803" w:type="dxa"/>
            <w:shd w:val="clear" w:color="auto" w:fill="auto"/>
            <w:tcMar>
              <w:left w:w="57" w:type="dxa"/>
              <w:right w:w="57" w:type="dxa"/>
            </w:tcMar>
          </w:tcPr>
          <w:p w14:paraId="408F27F4" w14:textId="77777777" w:rsidR="00ED0E85" w:rsidRPr="00635974" w:rsidRDefault="00ED0E85" w:rsidP="00ED0E85">
            <w:pPr>
              <w:pStyle w:val="BodyText"/>
              <w:rPr>
                <w:lang w:bidi="fa-IR"/>
              </w:rPr>
            </w:pPr>
            <w:r w:rsidRPr="00D31159">
              <w:rPr>
                <w:lang w:bidi="fa-IR"/>
              </w:rPr>
              <w:t>Australian Competition and Consumer Commission</w:t>
            </w:r>
          </w:p>
        </w:tc>
      </w:tr>
      <w:tr w:rsidR="00ED0E85" w14:paraId="4CBF8166" w14:textId="77777777" w:rsidTr="00ED0E85">
        <w:tc>
          <w:tcPr>
            <w:tcW w:w="1701" w:type="dxa"/>
            <w:shd w:val="clear" w:color="auto" w:fill="auto"/>
            <w:tcMar>
              <w:left w:w="57" w:type="dxa"/>
              <w:right w:w="57" w:type="dxa"/>
            </w:tcMar>
          </w:tcPr>
          <w:p w14:paraId="495BB43D" w14:textId="77777777" w:rsidR="00ED0E85" w:rsidRPr="00635974" w:rsidRDefault="00ED0E85" w:rsidP="00ED0E85">
            <w:pPr>
              <w:pStyle w:val="BodyText"/>
            </w:pPr>
            <w:r>
              <w:t>AEMC</w:t>
            </w:r>
          </w:p>
        </w:tc>
        <w:tc>
          <w:tcPr>
            <w:tcW w:w="6803" w:type="dxa"/>
            <w:shd w:val="clear" w:color="auto" w:fill="auto"/>
            <w:tcMar>
              <w:left w:w="57" w:type="dxa"/>
              <w:right w:w="57" w:type="dxa"/>
            </w:tcMar>
          </w:tcPr>
          <w:p w14:paraId="5E1E5569" w14:textId="77777777" w:rsidR="00ED0E85" w:rsidRPr="00635974" w:rsidRDefault="00ED0E85" w:rsidP="00ED0E85">
            <w:pPr>
              <w:pStyle w:val="BodyText"/>
              <w:rPr>
                <w:lang w:bidi="fa-IR"/>
              </w:rPr>
            </w:pPr>
            <w:r w:rsidRPr="00D31159">
              <w:rPr>
                <w:lang w:bidi="fa-IR"/>
              </w:rPr>
              <w:t>Australian Energy Market Commission</w:t>
            </w:r>
          </w:p>
        </w:tc>
      </w:tr>
      <w:tr w:rsidR="00ED0E85" w14:paraId="1702FAB6" w14:textId="77777777" w:rsidTr="00ED0E85">
        <w:tc>
          <w:tcPr>
            <w:tcW w:w="1701" w:type="dxa"/>
            <w:shd w:val="clear" w:color="auto" w:fill="auto"/>
            <w:tcMar>
              <w:left w:w="57" w:type="dxa"/>
              <w:right w:w="57" w:type="dxa"/>
            </w:tcMar>
          </w:tcPr>
          <w:p w14:paraId="69D4013D" w14:textId="77777777" w:rsidR="00ED0E85" w:rsidRDefault="00ED0E85" w:rsidP="00ED0E85">
            <w:pPr>
              <w:pStyle w:val="BodyText"/>
            </w:pPr>
            <w:r w:rsidRPr="00635974">
              <w:t>AEMO</w:t>
            </w:r>
            <w:r w:rsidRPr="00635974">
              <w:tab/>
            </w:r>
          </w:p>
        </w:tc>
        <w:tc>
          <w:tcPr>
            <w:tcW w:w="6803" w:type="dxa"/>
            <w:shd w:val="clear" w:color="auto" w:fill="auto"/>
            <w:tcMar>
              <w:left w:w="57" w:type="dxa"/>
              <w:right w:w="57" w:type="dxa"/>
            </w:tcMar>
          </w:tcPr>
          <w:p w14:paraId="0540838A" w14:textId="77777777" w:rsidR="00ED0E85" w:rsidRDefault="00ED0E85" w:rsidP="00ED0E85">
            <w:pPr>
              <w:pStyle w:val="BodyText"/>
              <w:rPr>
                <w:lang w:bidi="fa-IR"/>
              </w:rPr>
            </w:pPr>
            <w:r w:rsidRPr="00635974">
              <w:rPr>
                <w:lang w:bidi="fa-IR"/>
              </w:rPr>
              <w:t>Australian Energy Market Operator</w:t>
            </w:r>
          </w:p>
        </w:tc>
      </w:tr>
      <w:tr w:rsidR="00ED0E85" w14:paraId="3062BC53" w14:textId="77777777" w:rsidTr="00ED0E85">
        <w:tc>
          <w:tcPr>
            <w:tcW w:w="1701" w:type="dxa"/>
            <w:shd w:val="clear" w:color="auto" w:fill="auto"/>
            <w:tcMar>
              <w:left w:w="57" w:type="dxa"/>
              <w:right w:w="57" w:type="dxa"/>
            </w:tcMar>
          </w:tcPr>
          <w:p w14:paraId="6858C6B8" w14:textId="77777777" w:rsidR="00ED0E85" w:rsidRDefault="00ED0E85" w:rsidP="00ED0E85">
            <w:pPr>
              <w:pStyle w:val="BodyText"/>
            </w:pPr>
            <w:r w:rsidRPr="00635974">
              <w:t>AER</w:t>
            </w:r>
          </w:p>
        </w:tc>
        <w:tc>
          <w:tcPr>
            <w:tcW w:w="6803" w:type="dxa"/>
            <w:shd w:val="clear" w:color="auto" w:fill="auto"/>
            <w:tcMar>
              <w:left w:w="57" w:type="dxa"/>
              <w:right w:w="57" w:type="dxa"/>
            </w:tcMar>
          </w:tcPr>
          <w:p w14:paraId="30CC804C" w14:textId="77777777" w:rsidR="00ED0E85" w:rsidRDefault="00ED0E85" w:rsidP="00ED0E85">
            <w:pPr>
              <w:pStyle w:val="BodyText"/>
              <w:rPr>
                <w:lang w:bidi="fa-IR"/>
              </w:rPr>
            </w:pPr>
            <w:r w:rsidRPr="00635974">
              <w:rPr>
                <w:lang w:bidi="fa-IR"/>
              </w:rPr>
              <w:t>Australian Energy Regulator</w:t>
            </w:r>
          </w:p>
        </w:tc>
      </w:tr>
      <w:tr w:rsidR="00ED0E85" w14:paraId="446D13CE" w14:textId="77777777" w:rsidTr="00ED0E85">
        <w:tc>
          <w:tcPr>
            <w:tcW w:w="1701" w:type="dxa"/>
            <w:shd w:val="clear" w:color="auto" w:fill="auto"/>
            <w:tcMar>
              <w:left w:w="57" w:type="dxa"/>
              <w:right w:w="57" w:type="dxa"/>
            </w:tcMar>
          </w:tcPr>
          <w:p w14:paraId="56DF9863" w14:textId="77777777" w:rsidR="00ED0E85" w:rsidRDefault="00ED0E85" w:rsidP="00ED0E85">
            <w:pPr>
              <w:pStyle w:val="BodyText"/>
            </w:pPr>
            <w:r w:rsidRPr="00635974">
              <w:t>AIHE</w:t>
            </w:r>
          </w:p>
        </w:tc>
        <w:tc>
          <w:tcPr>
            <w:tcW w:w="6803" w:type="dxa"/>
            <w:shd w:val="clear" w:color="auto" w:fill="auto"/>
            <w:tcMar>
              <w:left w:w="57" w:type="dxa"/>
              <w:right w:w="57" w:type="dxa"/>
            </w:tcMar>
          </w:tcPr>
          <w:p w14:paraId="5AE5FECE" w14:textId="77777777" w:rsidR="00ED0E85" w:rsidRDefault="00ED0E85" w:rsidP="00ED0E85">
            <w:pPr>
              <w:pStyle w:val="BodyText"/>
              <w:rPr>
                <w:lang w:bidi="fa-IR"/>
              </w:rPr>
            </w:pPr>
            <w:r w:rsidRPr="00635974">
              <w:rPr>
                <w:lang w:bidi="fa-IR"/>
              </w:rPr>
              <w:t>Australian Institute of Hotel Engineers</w:t>
            </w:r>
          </w:p>
        </w:tc>
      </w:tr>
      <w:tr w:rsidR="00ED0E85" w14:paraId="79ECB628" w14:textId="77777777" w:rsidTr="00ED0E85">
        <w:tc>
          <w:tcPr>
            <w:tcW w:w="1701" w:type="dxa"/>
            <w:shd w:val="clear" w:color="auto" w:fill="auto"/>
            <w:tcMar>
              <w:left w:w="57" w:type="dxa"/>
              <w:right w:w="57" w:type="dxa"/>
            </w:tcMar>
          </w:tcPr>
          <w:p w14:paraId="279DA00D" w14:textId="77777777" w:rsidR="00ED0E85" w:rsidRDefault="00ED0E85" w:rsidP="00ED0E85">
            <w:pPr>
              <w:pStyle w:val="BodyText"/>
            </w:pPr>
            <w:r w:rsidRPr="00635974">
              <w:t>BEEC</w:t>
            </w:r>
          </w:p>
        </w:tc>
        <w:tc>
          <w:tcPr>
            <w:tcW w:w="6803" w:type="dxa"/>
            <w:shd w:val="clear" w:color="auto" w:fill="auto"/>
            <w:tcMar>
              <w:left w:w="57" w:type="dxa"/>
              <w:right w:w="57" w:type="dxa"/>
            </w:tcMar>
          </w:tcPr>
          <w:p w14:paraId="6511E0DF" w14:textId="77777777" w:rsidR="00ED0E85" w:rsidRDefault="00ED0E85" w:rsidP="00ED0E85">
            <w:pPr>
              <w:pStyle w:val="BodyText"/>
              <w:rPr>
                <w:lang w:bidi="fa-IR"/>
              </w:rPr>
            </w:pPr>
            <w:r w:rsidRPr="00D22483">
              <w:t>Building Energy Efficiency Certificate</w:t>
            </w:r>
          </w:p>
        </w:tc>
      </w:tr>
      <w:tr w:rsidR="00ED0E85" w14:paraId="2A240292" w14:textId="77777777" w:rsidTr="00ED0E85">
        <w:tc>
          <w:tcPr>
            <w:tcW w:w="1701" w:type="dxa"/>
            <w:shd w:val="clear" w:color="auto" w:fill="auto"/>
            <w:tcMar>
              <w:left w:w="57" w:type="dxa"/>
              <w:right w:w="57" w:type="dxa"/>
            </w:tcMar>
          </w:tcPr>
          <w:p w14:paraId="091512FF" w14:textId="77777777" w:rsidR="00ED0E85" w:rsidRDefault="00ED0E85" w:rsidP="00ED0E85">
            <w:pPr>
              <w:pStyle w:val="BodyText"/>
            </w:pPr>
            <w:r>
              <w:rPr>
                <w:lang w:bidi="fa-IR"/>
              </w:rPr>
              <w:t>BEED</w:t>
            </w:r>
          </w:p>
        </w:tc>
        <w:tc>
          <w:tcPr>
            <w:tcW w:w="6803" w:type="dxa"/>
            <w:shd w:val="clear" w:color="auto" w:fill="auto"/>
            <w:tcMar>
              <w:left w:w="57" w:type="dxa"/>
              <w:right w:w="57" w:type="dxa"/>
            </w:tcMar>
          </w:tcPr>
          <w:p w14:paraId="08867ADC" w14:textId="77777777" w:rsidR="00ED0E85" w:rsidRDefault="00ED0E85" w:rsidP="00ED0E85">
            <w:pPr>
              <w:pStyle w:val="BodyText"/>
              <w:rPr>
                <w:lang w:bidi="fa-IR"/>
              </w:rPr>
            </w:pPr>
            <w:r w:rsidRPr="00F271E8">
              <w:t>Building Energy Efficiency Disclosure</w:t>
            </w:r>
          </w:p>
        </w:tc>
      </w:tr>
      <w:tr w:rsidR="00ED0E85" w14:paraId="4D7C7C95" w14:textId="77777777" w:rsidTr="00ED0E85">
        <w:tc>
          <w:tcPr>
            <w:tcW w:w="1701" w:type="dxa"/>
            <w:shd w:val="clear" w:color="auto" w:fill="auto"/>
            <w:tcMar>
              <w:left w:w="57" w:type="dxa"/>
              <w:right w:w="57" w:type="dxa"/>
            </w:tcMar>
          </w:tcPr>
          <w:p w14:paraId="42835ACE" w14:textId="77777777" w:rsidR="00ED0E85" w:rsidRDefault="00ED0E85" w:rsidP="00ED0E85">
            <w:pPr>
              <w:pStyle w:val="BodyText"/>
            </w:pPr>
            <w:r>
              <w:t>CBA</w:t>
            </w:r>
          </w:p>
        </w:tc>
        <w:tc>
          <w:tcPr>
            <w:tcW w:w="6803" w:type="dxa"/>
            <w:shd w:val="clear" w:color="auto" w:fill="auto"/>
            <w:tcMar>
              <w:left w:w="57" w:type="dxa"/>
              <w:right w:w="57" w:type="dxa"/>
            </w:tcMar>
          </w:tcPr>
          <w:p w14:paraId="443F5A6A" w14:textId="77777777" w:rsidR="00ED0E85" w:rsidRPr="00635974" w:rsidRDefault="00ED0E85" w:rsidP="00ED0E85">
            <w:pPr>
              <w:pStyle w:val="BodyText"/>
              <w:rPr>
                <w:lang w:bidi="fa-IR"/>
              </w:rPr>
            </w:pPr>
            <w:r>
              <w:rPr>
                <w:lang w:bidi="fa-IR"/>
              </w:rPr>
              <w:t>Cost Benefit Analysis</w:t>
            </w:r>
          </w:p>
        </w:tc>
      </w:tr>
      <w:tr w:rsidR="00ED0E85" w14:paraId="21CF71DE" w14:textId="77777777" w:rsidTr="00ED0E85">
        <w:tc>
          <w:tcPr>
            <w:tcW w:w="1701" w:type="dxa"/>
            <w:shd w:val="clear" w:color="auto" w:fill="auto"/>
            <w:tcMar>
              <w:left w:w="57" w:type="dxa"/>
              <w:right w:w="57" w:type="dxa"/>
            </w:tcMar>
          </w:tcPr>
          <w:p w14:paraId="3BC4456F" w14:textId="77777777" w:rsidR="00ED0E85" w:rsidRPr="00635974" w:rsidRDefault="00ED0E85" w:rsidP="00ED0E85">
            <w:pPr>
              <w:pStyle w:val="BodyText"/>
            </w:pPr>
            <w:r>
              <w:t>CBD</w:t>
            </w:r>
          </w:p>
        </w:tc>
        <w:tc>
          <w:tcPr>
            <w:tcW w:w="6803" w:type="dxa"/>
            <w:shd w:val="clear" w:color="auto" w:fill="auto"/>
            <w:tcMar>
              <w:left w:w="57" w:type="dxa"/>
              <w:right w:w="57" w:type="dxa"/>
            </w:tcMar>
          </w:tcPr>
          <w:p w14:paraId="73A87CFA" w14:textId="77777777" w:rsidR="00ED0E85" w:rsidRPr="00635974" w:rsidRDefault="00ED0E85" w:rsidP="00ED0E85">
            <w:pPr>
              <w:pStyle w:val="BodyText"/>
              <w:rPr>
                <w:lang w:bidi="fa-IR"/>
              </w:rPr>
            </w:pPr>
            <w:r w:rsidRPr="00635974">
              <w:rPr>
                <w:lang w:bidi="fa-IR"/>
              </w:rPr>
              <w:t>Commercial Building Disclosure</w:t>
            </w:r>
          </w:p>
        </w:tc>
      </w:tr>
      <w:tr w:rsidR="00ED0E85" w14:paraId="4CD29011" w14:textId="77777777" w:rsidTr="00ED0E85">
        <w:tc>
          <w:tcPr>
            <w:tcW w:w="1701" w:type="dxa"/>
            <w:shd w:val="clear" w:color="auto" w:fill="auto"/>
            <w:tcMar>
              <w:left w:w="57" w:type="dxa"/>
              <w:right w:w="57" w:type="dxa"/>
            </w:tcMar>
          </w:tcPr>
          <w:p w14:paraId="2E500C9E" w14:textId="77777777" w:rsidR="00ED0E85" w:rsidRPr="00635974" w:rsidRDefault="00ED0E85" w:rsidP="00ED0E85">
            <w:pPr>
              <w:pStyle w:val="BodyText"/>
            </w:pPr>
            <w:r>
              <w:t>CIE</w:t>
            </w:r>
          </w:p>
        </w:tc>
        <w:tc>
          <w:tcPr>
            <w:tcW w:w="6803" w:type="dxa"/>
            <w:shd w:val="clear" w:color="auto" w:fill="auto"/>
            <w:tcMar>
              <w:left w:w="57" w:type="dxa"/>
              <w:right w:w="57" w:type="dxa"/>
            </w:tcMar>
          </w:tcPr>
          <w:p w14:paraId="5000E15D" w14:textId="77777777" w:rsidR="00ED0E85" w:rsidRPr="00635974" w:rsidRDefault="00ED0E85" w:rsidP="00ED0E85">
            <w:pPr>
              <w:pStyle w:val="BodyText"/>
              <w:rPr>
                <w:lang w:bidi="fa-IR"/>
              </w:rPr>
            </w:pPr>
            <w:r>
              <w:rPr>
                <w:lang w:bidi="fa-IR"/>
              </w:rPr>
              <w:t>Centre for International Economics</w:t>
            </w:r>
          </w:p>
        </w:tc>
      </w:tr>
      <w:tr w:rsidR="00ED0E85" w14:paraId="64E65646" w14:textId="77777777" w:rsidTr="00ED0E85">
        <w:tc>
          <w:tcPr>
            <w:tcW w:w="1701" w:type="dxa"/>
            <w:shd w:val="clear" w:color="auto" w:fill="auto"/>
            <w:tcMar>
              <w:left w:w="57" w:type="dxa"/>
              <w:right w:w="57" w:type="dxa"/>
            </w:tcMar>
          </w:tcPr>
          <w:p w14:paraId="44EDA980" w14:textId="77777777" w:rsidR="00ED0E85" w:rsidRDefault="00ED0E85" w:rsidP="00ED0E85">
            <w:pPr>
              <w:pStyle w:val="BodyText"/>
            </w:pPr>
            <w:r w:rsidRPr="00635974">
              <w:t>CLF</w:t>
            </w:r>
          </w:p>
        </w:tc>
        <w:tc>
          <w:tcPr>
            <w:tcW w:w="6803" w:type="dxa"/>
            <w:shd w:val="clear" w:color="auto" w:fill="auto"/>
            <w:tcMar>
              <w:left w:w="57" w:type="dxa"/>
              <w:right w:w="57" w:type="dxa"/>
            </w:tcMar>
          </w:tcPr>
          <w:p w14:paraId="6C8C7EB8" w14:textId="77777777" w:rsidR="00ED0E85" w:rsidRDefault="00ED0E85" w:rsidP="00ED0E85">
            <w:pPr>
              <w:pStyle w:val="BodyText"/>
              <w:rPr>
                <w:lang w:bidi="fa-IR"/>
              </w:rPr>
            </w:pPr>
            <w:r w:rsidRPr="00635974">
              <w:rPr>
                <w:lang w:bidi="fa-IR"/>
              </w:rPr>
              <w:t>Conservation load factor</w:t>
            </w:r>
          </w:p>
        </w:tc>
      </w:tr>
      <w:tr w:rsidR="00ED0E85" w14:paraId="1BA79544" w14:textId="77777777" w:rsidTr="00ED0E85">
        <w:tc>
          <w:tcPr>
            <w:tcW w:w="1701" w:type="dxa"/>
            <w:shd w:val="clear" w:color="auto" w:fill="auto"/>
            <w:tcMar>
              <w:left w:w="57" w:type="dxa"/>
              <w:right w:w="57" w:type="dxa"/>
            </w:tcMar>
          </w:tcPr>
          <w:p w14:paraId="738897F7" w14:textId="77777777" w:rsidR="00ED0E85" w:rsidRDefault="00ED0E85" w:rsidP="00ED0E85">
            <w:pPr>
              <w:pStyle w:val="BodyText"/>
            </w:pPr>
            <w:r w:rsidRPr="00635974">
              <w:t>COAG</w:t>
            </w:r>
          </w:p>
        </w:tc>
        <w:tc>
          <w:tcPr>
            <w:tcW w:w="6803" w:type="dxa"/>
            <w:shd w:val="clear" w:color="auto" w:fill="auto"/>
            <w:tcMar>
              <w:left w:w="57" w:type="dxa"/>
              <w:right w:w="57" w:type="dxa"/>
            </w:tcMar>
          </w:tcPr>
          <w:p w14:paraId="5A3AC515" w14:textId="77777777" w:rsidR="00ED0E85" w:rsidRDefault="00ED0E85" w:rsidP="00ED0E85">
            <w:pPr>
              <w:pStyle w:val="BodyText"/>
              <w:rPr>
                <w:lang w:bidi="fa-IR"/>
              </w:rPr>
            </w:pPr>
            <w:r w:rsidRPr="00635974">
              <w:rPr>
                <w:lang w:bidi="fa-IR"/>
              </w:rPr>
              <w:t>Council of Australian Governments</w:t>
            </w:r>
          </w:p>
        </w:tc>
      </w:tr>
      <w:tr w:rsidR="00ED0E85" w14:paraId="4F4CDAEC" w14:textId="77777777" w:rsidTr="00ED0E85">
        <w:tc>
          <w:tcPr>
            <w:tcW w:w="1701" w:type="dxa"/>
            <w:shd w:val="clear" w:color="auto" w:fill="auto"/>
            <w:tcMar>
              <w:left w:w="57" w:type="dxa"/>
              <w:right w:w="57" w:type="dxa"/>
            </w:tcMar>
          </w:tcPr>
          <w:p w14:paraId="071614FE" w14:textId="77777777" w:rsidR="00ED0E85" w:rsidRDefault="00ED0E85" w:rsidP="00ED0E85">
            <w:pPr>
              <w:pStyle w:val="BodyText"/>
            </w:pPr>
            <w:r>
              <w:t>DEE</w:t>
            </w:r>
          </w:p>
        </w:tc>
        <w:tc>
          <w:tcPr>
            <w:tcW w:w="6803" w:type="dxa"/>
            <w:shd w:val="clear" w:color="auto" w:fill="auto"/>
            <w:tcMar>
              <w:left w:w="57" w:type="dxa"/>
              <w:right w:w="57" w:type="dxa"/>
            </w:tcMar>
          </w:tcPr>
          <w:p w14:paraId="75300C18" w14:textId="77777777" w:rsidR="00ED0E85" w:rsidRDefault="00ED0E85" w:rsidP="00ED0E85">
            <w:pPr>
              <w:pStyle w:val="BodyText"/>
              <w:rPr>
                <w:lang w:bidi="fa-IR"/>
              </w:rPr>
            </w:pPr>
            <w:r w:rsidRPr="00635974">
              <w:rPr>
                <w:lang w:bidi="fa-IR"/>
              </w:rPr>
              <w:t>Department of the Environment and Energy</w:t>
            </w:r>
          </w:p>
        </w:tc>
      </w:tr>
      <w:tr w:rsidR="00ED0E85" w14:paraId="7819ADD9" w14:textId="77777777" w:rsidTr="00ED0E85">
        <w:tc>
          <w:tcPr>
            <w:tcW w:w="1701" w:type="dxa"/>
            <w:shd w:val="clear" w:color="auto" w:fill="auto"/>
            <w:tcMar>
              <w:left w:w="57" w:type="dxa"/>
              <w:right w:w="57" w:type="dxa"/>
            </w:tcMar>
          </w:tcPr>
          <w:p w14:paraId="52776048" w14:textId="77777777" w:rsidR="00ED0E85" w:rsidRDefault="00ED0E85" w:rsidP="00ED0E85">
            <w:pPr>
              <w:pStyle w:val="BodyText"/>
            </w:pPr>
            <w:r w:rsidRPr="00635974">
              <w:t>EA</w:t>
            </w:r>
          </w:p>
        </w:tc>
        <w:tc>
          <w:tcPr>
            <w:tcW w:w="6803" w:type="dxa"/>
            <w:shd w:val="clear" w:color="auto" w:fill="auto"/>
            <w:tcMar>
              <w:left w:w="57" w:type="dxa"/>
              <w:right w:w="57" w:type="dxa"/>
            </w:tcMar>
          </w:tcPr>
          <w:p w14:paraId="48B58E1C" w14:textId="77777777" w:rsidR="00ED0E85" w:rsidRDefault="00ED0E85" w:rsidP="00ED0E85">
            <w:pPr>
              <w:pStyle w:val="BodyText"/>
              <w:rPr>
                <w:lang w:bidi="fa-IR"/>
              </w:rPr>
            </w:pPr>
            <w:r w:rsidRPr="00635974">
              <w:rPr>
                <w:lang w:bidi="fa-IR"/>
              </w:rPr>
              <w:t>Ecotourism Australia</w:t>
            </w:r>
          </w:p>
        </w:tc>
      </w:tr>
      <w:tr w:rsidR="00ED0E85" w14:paraId="6AD23DB2" w14:textId="77777777" w:rsidTr="00ED0E85">
        <w:tc>
          <w:tcPr>
            <w:tcW w:w="1701" w:type="dxa"/>
            <w:shd w:val="clear" w:color="auto" w:fill="auto"/>
            <w:tcMar>
              <w:left w:w="57" w:type="dxa"/>
              <w:right w:w="57" w:type="dxa"/>
            </w:tcMar>
          </w:tcPr>
          <w:p w14:paraId="0C2F4A55" w14:textId="77777777" w:rsidR="00ED0E85" w:rsidRDefault="00ED0E85" w:rsidP="00ED0E85">
            <w:pPr>
              <w:pStyle w:val="BodyText"/>
            </w:pPr>
            <w:r w:rsidRPr="00635974">
              <w:t>ETS</w:t>
            </w:r>
          </w:p>
        </w:tc>
        <w:tc>
          <w:tcPr>
            <w:tcW w:w="6803" w:type="dxa"/>
            <w:shd w:val="clear" w:color="auto" w:fill="auto"/>
            <w:tcMar>
              <w:left w:w="57" w:type="dxa"/>
              <w:right w:w="57" w:type="dxa"/>
            </w:tcMar>
          </w:tcPr>
          <w:p w14:paraId="0D4352F5" w14:textId="77777777" w:rsidR="00ED0E85" w:rsidRDefault="00ED0E85" w:rsidP="00ED0E85">
            <w:pPr>
              <w:pStyle w:val="BodyText"/>
              <w:rPr>
                <w:lang w:bidi="fa-IR"/>
              </w:rPr>
            </w:pPr>
            <w:r w:rsidRPr="00635974">
              <w:rPr>
                <w:lang w:bidi="fa-IR"/>
              </w:rPr>
              <w:t>Emissions Trading Scheme</w:t>
            </w:r>
          </w:p>
        </w:tc>
      </w:tr>
      <w:tr w:rsidR="00ED0E85" w14:paraId="4056C2D0" w14:textId="77777777" w:rsidTr="00ED0E85">
        <w:tc>
          <w:tcPr>
            <w:tcW w:w="1701" w:type="dxa"/>
            <w:shd w:val="clear" w:color="auto" w:fill="auto"/>
            <w:tcMar>
              <w:left w:w="57" w:type="dxa"/>
              <w:right w:w="57" w:type="dxa"/>
            </w:tcMar>
          </w:tcPr>
          <w:p w14:paraId="1E95B473" w14:textId="77777777" w:rsidR="00ED0E85" w:rsidRPr="009253DC" w:rsidRDefault="00ED0E85" w:rsidP="00ED0E85">
            <w:pPr>
              <w:pStyle w:val="BodyText"/>
            </w:pPr>
            <w:r w:rsidRPr="009253DC">
              <w:t>GDP</w:t>
            </w:r>
          </w:p>
        </w:tc>
        <w:tc>
          <w:tcPr>
            <w:tcW w:w="6803" w:type="dxa"/>
            <w:shd w:val="clear" w:color="auto" w:fill="auto"/>
            <w:tcMar>
              <w:left w:w="57" w:type="dxa"/>
              <w:right w:w="57" w:type="dxa"/>
            </w:tcMar>
          </w:tcPr>
          <w:p w14:paraId="70387112" w14:textId="77777777" w:rsidR="00ED0E85" w:rsidRPr="009253DC" w:rsidRDefault="00ED0E85" w:rsidP="00ED0E85">
            <w:pPr>
              <w:pStyle w:val="BodyText"/>
            </w:pPr>
            <w:r w:rsidRPr="009253DC">
              <w:t>Gross Domestic Product</w:t>
            </w:r>
          </w:p>
        </w:tc>
      </w:tr>
      <w:tr w:rsidR="00ED0E85" w14:paraId="567E42A0" w14:textId="77777777" w:rsidTr="00ED0E85">
        <w:tc>
          <w:tcPr>
            <w:tcW w:w="1701" w:type="dxa"/>
            <w:shd w:val="clear" w:color="auto" w:fill="auto"/>
            <w:tcMar>
              <w:left w:w="57" w:type="dxa"/>
              <w:right w:w="57" w:type="dxa"/>
            </w:tcMar>
          </w:tcPr>
          <w:p w14:paraId="5B7C8864" w14:textId="77777777" w:rsidR="00ED0E85" w:rsidRDefault="00ED0E85" w:rsidP="00ED0E85">
            <w:pPr>
              <w:pStyle w:val="BodyText"/>
            </w:pPr>
            <w:r>
              <w:t>GHG</w:t>
            </w:r>
          </w:p>
        </w:tc>
        <w:tc>
          <w:tcPr>
            <w:tcW w:w="6803" w:type="dxa"/>
            <w:shd w:val="clear" w:color="auto" w:fill="auto"/>
            <w:tcMar>
              <w:left w:w="57" w:type="dxa"/>
              <w:right w:w="57" w:type="dxa"/>
            </w:tcMar>
          </w:tcPr>
          <w:p w14:paraId="53895492" w14:textId="77777777" w:rsidR="00ED0E85" w:rsidRDefault="00ED0E85" w:rsidP="00ED0E85">
            <w:pPr>
              <w:pStyle w:val="BodyText"/>
            </w:pPr>
            <w:r>
              <w:t>Greenhouse gas</w:t>
            </w:r>
          </w:p>
        </w:tc>
      </w:tr>
      <w:tr w:rsidR="00ED0E85" w14:paraId="2C1EE822" w14:textId="77777777" w:rsidTr="00ED0E85">
        <w:tc>
          <w:tcPr>
            <w:tcW w:w="1701" w:type="dxa"/>
            <w:shd w:val="clear" w:color="auto" w:fill="auto"/>
            <w:tcMar>
              <w:left w:w="57" w:type="dxa"/>
              <w:right w:w="57" w:type="dxa"/>
            </w:tcMar>
          </w:tcPr>
          <w:p w14:paraId="44CEC8F2" w14:textId="77777777" w:rsidR="00ED0E85" w:rsidRDefault="00ED0E85" w:rsidP="00ED0E85">
            <w:pPr>
              <w:pStyle w:val="BodyText"/>
            </w:pPr>
            <w:r w:rsidRPr="00635974">
              <w:t>GLAR</w:t>
            </w:r>
          </w:p>
        </w:tc>
        <w:tc>
          <w:tcPr>
            <w:tcW w:w="6803" w:type="dxa"/>
            <w:shd w:val="clear" w:color="auto" w:fill="auto"/>
            <w:tcMar>
              <w:left w:w="57" w:type="dxa"/>
              <w:right w:w="57" w:type="dxa"/>
            </w:tcMar>
          </w:tcPr>
          <w:p w14:paraId="4BFFB711" w14:textId="77777777" w:rsidR="00ED0E85" w:rsidRDefault="00ED0E85" w:rsidP="00ED0E85">
            <w:pPr>
              <w:pStyle w:val="BodyText"/>
              <w:rPr>
                <w:lang w:bidi="fa-IR"/>
              </w:rPr>
            </w:pPr>
            <w:r w:rsidRPr="00635974">
              <w:rPr>
                <w:lang w:bidi="fa-IR"/>
              </w:rPr>
              <w:t>Gross Lettable Area Retail</w:t>
            </w:r>
          </w:p>
        </w:tc>
      </w:tr>
      <w:tr w:rsidR="00ED0E85" w14:paraId="323083F1" w14:textId="77777777" w:rsidTr="00ED0E85">
        <w:tc>
          <w:tcPr>
            <w:tcW w:w="1701" w:type="dxa"/>
            <w:shd w:val="clear" w:color="auto" w:fill="auto"/>
            <w:tcMar>
              <w:left w:w="57" w:type="dxa"/>
              <w:right w:w="57" w:type="dxa"/>
            </w:tcMar>
          </w:tcPr>
          <w:p w14:paraId="38BC3BD7" w14:textId="77777777" w:rsidR="00ED0E85" w:rsidRPr="009253DC" w:rsidRDefault="00ED0E85" w:rsidP="00ED0E85">
            <w:pPr>
              <w:pStyle w:val="BodyText"/>
              <w:rPr>
                <w:lang w:bidi="fa-IR"/>
              </w:rPr>
            </w:pPr>
            <w:r w:rsidRPr="009253DC">
              <w:rPr>
                <w:lang w:bidi="fa-IR"/>
              </w:rPr>
              <w:t>GRESB</w:t>
            </w:r>
          </w:p>
        </w:tc>
        <w:tc>
          <w:tcPr>
            <w:tcW w:w="6803" w:type="dxa"/>
            <w:shd w:val="clear" w:color="auto" w:fill="auto"/>
            <w:tcMar>
              <w:left w:w="57" w:type="dxa"/>
              <w:right w:w="57" w:type="dxa"/>
            </w:tcMar>
          </w:tcPr>
          <w:p w14:paraId="285078A1" w14:textId="77777777" w:rsidR="00ED0E85" w:rsidRPr="00635974" w:rsidRDefault="00ED0E85" w:rsidP="00ED0E85">
            <w:pPr>
              <w:pStyle w:val="BodyText"/>
              <w:rPr>
                <w:lang w:bidi="fa-IR"/>
              </w:rPr>
            </w:pPr>
            <w:r w:rsidRPr="009C67F4">
              <w:rPr>
                <w:lang w:bidi="fa-IR"/>
              </w:rPr>
              <w:t>G</w:t>
            </w:r>
            <w:r w:rsidRPr="007F244D">
              <w:rPr>
                <w:lang w:bidi="fa-IR"/>
              </w:rPr>
              <w:t>l</w:t>
            </w:r>
            <w:r w:rsidRPr="00492AA5">
              <w:rPr>
                <w:lang w:bidi="fa-IR"/>
              </w:rPr>
              <w:t>obal Real Estate Sustainability Benchmark</w:t>
            </w:r>
          </w:p>
        </w:tc>
      </w:tr>
      <w:tr w:rsidR="00ED0E85" w14:paraId="5571904F" w14:textId="77777777" w:rsidTr="00ED0E85">
        <w:tc>
          <w:tcPr>
            <w:tcW w:w="1701" w:type="dxa"/>
            <w:shd w:val="clear" w:color="auto" w:fill="auto"/>
            <w:tcMar>
              <w:left w:w="57" w:type="dxa"/>
              <w:right w:w="57" w:type="dxa"/>
            </w:tcMar>
          </w:tcPr>
          <w:p w14:paraId="0A428B06" w14:textId="77777777" w:rsidR="00ED0E85" w:rsidRDefault="00ED0E85" w:rsidP="00ED0E85">
            <w:pPr>
              <w:pStyle w:val="BodyText"/>
            </w:pPr>
            <w:r w:rsidRPr="00635974">
              <w:t>HVAC</w:t>
            </w:r>
          </w:p>
        </w:tc>
        <w:tc>
          <w:tcPr>
            <w:tcW w:w="6803" w:type="dxa"/>
            <w:shd w:val="clear" w:color="auto" w:fill="auto"/>
            <w:tcMar>
              <w:left w:w="57" w:type="dxa"/>
              <w:right w:w="57" w:type="dxa"/>
            </w:tcMar>
          </w:tcPr>
          <w:p w14:paraId="35DC09D2" w14:textId="77777777" w:rsidR="00ED0E85" w:rsidRDefault="00ED0E85" w:rsidP="00ED0E85">
            <w:pPr>
              <w:pStyle w:val="BodyText"/>
              <w:rPr>
                <w:lang w:bidi="fa-IR"/>
              </w:rPr>
            </w:pPr>
            <w:r w:rsidRPr="00635974">
              <w:rPr>
                <w:lang w:bidi="fa-IR"/>
              </w:rPr>
              <w:t>Heating, ventilation and cooling</w:t>
            </w:r>
          </w:p>
        </w:tc>
      </w:tr>
      <w:tr w:rsidR="00ED0E85" w14:paraId="2F8974CC" w14:textId="77777777" w:rsidTr="00ED0E85">
        <w:tc>
          <w:tcPr>
            <w:tcW w:w="1701" w:type="dxa"/>
            <w:shd w:val="clear" w:color="auto" w:fill="auto"/>
            <w:tcMar>
              <w:left w:w="57" w:type="dxa"/>
              <w:right w:w="57" w:type="dxa"/>
            </w:tcMar>
          </w:tcPr>
          <w:p w14:paraId="00BA0A6F" w14:textId="77777777" w:rsidR="00ED0E85" w:rsidRDefault="00ED0E85" w:rsidP="00ED0E85">
            <w:pPr>
              <w:pStyle w:val="BodyText"/>
            </w:pPr>
            <w:r w:rsidRPr="00635974">
              <w:t>IEQ</w:t>
            </w:r>
          </w:p>
        </w:tc>
        <w:tc>
          <w:tcPr>
            <w:tcW w:w="6803" w:type="dxa"/>
            <w:shd w:val="clear" w:color="auto" w:fill="auto"/>
            <w:tcMar>
              <w:left w:w="57" w:type="dxa"/>
              <w:right w:w="57" w:type="dxa"/>
            </w:tcMar>
          </w:tcPr>
          <w:p w14:paraId="7C2EEEBB" w14:textId="77777777" w:rsidR="00ED0E85" w:rsidRDefault="00ED0E85" w:rsidP="00ED0E85">
            <w:pPr>
              <w:pStyle w:val="BodyText"/>
              <w:rPr>
                <w:lang w:bidi="fa-IR"/>
              </w:rPr>
            </w:pPr>
            <w:r w:rsidRPr="00635974">
              <w:rPr>
                <w:lang w:bidi="fa-IR"/>
              </w:rPr>
              <w:t>Indoor environmental quality</w:t>
            </w:r>
          </w:p>
        </w:tc>
      </w:tr>
      <w:tr w:rsidR="00ED0E85" w14:paraId="231C6978" w14:textId="77777777" w:rsidTr="00ED0E85">
        <w:tc>
          <w:tcPr>
            <w:tcW w:w="1701" w:type="dxa"/>
            <w:shd w:val="clear" w:color="auto" w:fill="auto"/>
            <w:tcMar>
              <w:left w:w="57" w:type="dxa"/>
              <w:right w:w="57" w:type="dxa"/>
            </w:tcMar>
          </w:tcPr>
          <w:p w14:paraId="475274AD" w14:textId="77777777" w:rsidR="00ED0E85" w:rsidRDefault="00ED0E85" w:rsidP="00ED0E85">
            <w:pPr>
              <w:pStyle w:val="BodyText"/>
            </w:pPr>
            <w:r>
              <w:t>IT</w:t>
            </w:r>
          </w:p>
        </w:tc>
        <w:tc>
          <w:tcPr>
            <w:tcW w:w="6803" w:type="dxa"/>
            <w:shd w:val="clear" w:color="auto" w:fill="auto"/>
            <w:tcMar>
              <w:left w:w="57" w:type="dxa"/>
              <w:right w:w="57" w:type="dxa"/>
            </w:tcMar>
          </w:tcPr>
          <w:p w14:paraId="4152DE06" w14:textId="77777777" w:rsidR="00ED0E85" w:rsidRDefault="00ED0E85" w:rsidP="00ED0E85">
            <w:pPr>
              <w:pStyle w:val="BodyText"/>
              <w:rPr>
                <w:lang w:bidi="fa-IR"/>
              </w:rPr>
            </w:pPr>
            <w:r>
              <w:rPr>
                <w:lang w:bidi="fa-IR"/>
              </w:rPr>
              <w:t>Information Technology</w:t>
            </w:r>
          </w:p>
        </w:tc>
      </w:tr>
      <w:tr w:rsidR="00ED0E85" w14:paraId="1F448B07" w14:textId="77777777" w:rsidTr="00ED0E85">
        <w:tc>
          <w:tcPr>
            <w:tcW w:w="1701" w:type="dxa"/>
            <w:shd w:val="clear" w:color="auto" w:fill="auto"/>
            <w:tcMar>
              <w:left w:w="57" w:type="dxa"/>
              <w:right w:w="57" w:type="dxa"/>
            </w:tcMar>
          </w:tcPr>
          <w:p w14:paraId="1406D98B" w14:textId="77777777" w:rsidR="00ED0E85" w:rsidRDefault="00ED0E85" w:rsidP="00ED0E85">
            <w:pPr>
              <w:pStyle w:val="BodyText"/>
            </w:pPr>
            <w:r w:rsidRPr="00635974">
              <w:t>IWG</w:t>
            </w:r>
          </w:p>
        </w:tc>
        <w:tc>
          <w:tcPr>
            <w:tcW w:w="6803" w:type="dxa"/>
            <w:shd w:val="clear" w:color="auto" w:fill="auto"/>
            <w:tcMar>
              <w:left w:w="57" w:type="dxa"/>
              <w:right w:w="57" w:type="dxa"/>
            </w:tcMar>
          </w:tcPr>
          <w:p w14:paraId="65D45EC5" w14:textId="77777777" w:rsidR="00ED0E85" w:rsidRDefault="00ED0E85" w:rsidP="00ED0E85">
            <w:pPr>
              <w:pStyle w:val="BodyText"/>
              <w:rPr>
                <w:lang w:bidi="fa-IR"/>
              </w:rPr>
            </w:pPr>
            <w:r w:rsidRPr="00635974">
              <w:rPr>
                <w:lang w:bidi="fa-IR"/>
              </w:rPr>
              <w:t>Interagency Working Group</w:t>
            </w:r>
          </w:p>
        </w:tc>
      </w:tr>
      <w:tr w:rsidR="00ED0E85" w14:paraId="46D095D7" w14:textId="77777777" w:rsidTr="00ED0E85">
        <w:tc>
          <w:tcPr>
            <w:tcW w:w="1701" w:type="dxa"/>
            <w:shd w:val="clear" w:color="auto" w:fill="auto"/>
            <w:tcMar>
              <w:left w:w="57" w:type="dxa"/>
              <w:right w:w="57" w:type="dxa"/>
            </w:tcMar>
          </w:tcPr>
          <w:p w14:paraId="23964EC1" w14:textId="77777777" w:rsidR="00ED0E85" w:rsidRDefault="00ED0E85" w:rsidP="00ED0E85">
            <w:pPr>
              <w:pStyle w:val="BodyText"/>
            </w:pPr>
            <w:r>
              <w:t>KPA</w:t>
            </w:r>
          </w:p>
        </w:tc>
        <w:tc>
          <w:tcPr>
            <w:tcW w:w="6803" w:type="dxa"/>
            <w:shd w:val="clear" w:color="auto" w:fill="auto"/>
            <w:tcMar>
              <w:left w:w="57" w:type="dxa"/>
              <w:right w:w="57" w:type="dxa"/>
            </w:tcMar>
          </w:tcPr>
          <w:p w14:paraId="58581954" w14:textId="77777777" w:rsidR="00ED0E85" w:rsidRDefault="00ED0E85" w:rsidP="00ED0E85">
            <w:pPr>
              <w:pStyle w:val="BodyText"/>
              <w:rPr>
                <w:lang w:bidi="fa-IR"/>
              </w:rPr>
            </w:pPr>
            <w:r w:rsidRPr="00635974">
              <w:rPr>
                <w:lang w:bidi="fa-IR"/>
              </w:rPr>
              <w:t>Key performance areas</w:t>
            </w:r>
          </w:p>
        </w:tc>
      </w:tr>
      <w:tr w:rsidR="00ED0E85" w14:paraId="2404DAFD" w14:textId="77777777" w:rsidTr="00ED0E85">
        <w:tc>
          <w:tcPr>
            <w:tcW w:w="1701" w:type="dxa"/>
            <w:shd w:val="clear" w:color="auto" w:fill="auto"/>
            <w:tcMar>
              <w:left w:w="57" w:type="dxa"/>
              <w:right w:w="57" w:type="dxa"/>
            </w:tcMar>
          </w:tcPr>
          <w:p w14:paraId="4B112947" w14:textId="77777777" w:rsidR="00ED0E85" w:rsidRDefault="00ED0E85" w:rsidP="00ED0E85">
            <w:pPr>
              <w:pStyle w:val="BodyText"/>
            </w:pPr>
            <w:r>
              <w:t>LRMC</w:t>
            </w:r>
          </w:p>
        </w:tc>
        <w:tc>
          <w:tcPr>
            <w:tcW w:w="6803" w:type="dxa"/>
            <w:shd w:val="clear" w:color="auto" w:fill="auto"/>
            <w:tcMar>
              <w:left w:w="57" w:type="dxa"/>
              <w:right w:w="57" w:type="dxa"/>
            </w:tcMar>
          </w:tcPr>
          <w:p w14:paraId="6C697044" w14:textId="77777777" w:rsidR="00ED0E85" w:rsidRPr="00560EB0" w:rsidRDefault="00ED0E85" w:rsidP="00ED0E85">
            <w:pPr>
              <w:pStyle w:val="BodyText"/>
            </w:pPr>
            <w:r>
              <w:t>Long-run marginal cost</w:t>
            </w:r>
          </w:p>
        </w:tc>
      </w:tr>
      <w:tr w:rsidR="00ED0E85" w14:paraId="14A6201E" w14:textId="77777777" w:rsidTr="00ED0E85">
        <w:tc>
          <w:tcPr>
            <w:tcW w:w="1701" w:type="dxa"/>
            <w:shd w:val="clear" w:color="auto" w:fill="auto"/>
            <w:tcMar>
              <w:left w:w="57" w:type="dxa"/>
              <w:right w:w="57" w:type="dxa"/>
            </w:tcMar>
          </w:tcPr>
          <w:p w14:paraId="6951E02B" w14:textId="77777777" w:rsidR="00ED0E85" w:rsidRDefault="00ED0E85" w:rsidP="00ED0E85">
            <w:pPr>
              <w:pStyle w:val="BodyText"/>
            </w:pPr>
            <w:r>
              <w:t>NABERS</w:t>
            </w:r>
          </w:p>
        </w:tc>
        <w:tc>
          <w:tcPr>
            <w:tcW w:w="6803" w:type="dxa"/>
            <w:shd w:val="clear" w:color="auto" w:fill="auto"/>
            <w:tcMar>
              <w:left w:w="57" w:type="dxa"/>
              <w:right w:w="57" w:type="dxa"/>
            </w:tcMar>
          </w:tcPr>
          <w:p w14:paraId="0511BDAC" w14:textId="77777777" w:rsidR="00ED0E85" w:rsidRDefault="00ED0E85" w:rsidP="00ED0E85">
            <w:pPr>
              <w:pStyle w:val="BodyText"/>
            </w:pPr>
            <w:r w:rsidRPr="00560EB0">
              <w:t xml:space="preserve">National Australian Built Environment Rating System </w:t>
            </w:r>
          </w:p>
        </w:tc>
      </w:tr>
      <w:tr w:rsidR="00ED0E85" w14:paraId="642A32B3" w14:textId="77777777" w:rsidTr="00ED0E85">
        <w:tc>
          <w:tcPr>
            <w:tcW w:w="1701" w:type="dxa"/>
            <w:shd w:val="clear" w:color="auto" w:fill="auto"/>
            <w:tcMar>
              <w:left w:w="57" w:type="dxa"/>
              <w:right w:w="57" w:type="dxa"/>
            </w:tcMar>
          </w:tcPr>
          <w:p w14:paraId="442ACDF4" w14:textId="77777777" w:rsidR="00ED0E85" w:rsidRDefault="00ED0E85" w:rsidP="00ED0E85">
            <w:pPr>
              <w:pStyle w:val="BodyText"/>
            </w:pPr>
            <w:r w:rsidRPr="00635974">
              <w:t>NCC</w:t>
            </w:r>
          </w:p>
        </w:tc>
        <w:tc>
          <w:tcPr>
            <w:tcW w:w="6803" w:type="dxa"/>
            <w:shd w:val="clear" w:color="auto" w:fill="auto"/>
            <w:tcMar>
              <w:left w:w="57" w:type="dxa"/>
              <w:right w:w="57" w:type="dxa"/>
            </w:tcMar>
          </w:tcPr>
          <w:p w14:paraId="392BE62E" w14:textId="77777777" w:rsidR="00ED0E85" w:rsidRDefault="00ED0E85" w:rsidP="00ED0E85">
            <w:pPr>
              <w:pStyle w:val="BodyText"/>
              <w:rPr>
                <w:lang w:bidi="fa-IR"/>
              </w:rPr>
            </w:pPr>
            <w:r w:rsidRPr="00635974">
              <w:rPr>
                <w:lang w:bidi="fa-IR"/>
              </w:rPr>
              <w:t>National Construction Code</w:t>
            </w:r>
          </w:p>
        </w:tc>
      </w:tr>
      <w:tr w:rsidR="00ED0E85" w14:paraId="192DCC67" w14:textId="77777777" w:rsidTr="00ED0E85">
        <w:tc>
          <w:tcPr>
            <w:tcW w:w="1701" w:type="dxa"/>
            <w:shd w:val="clear" w:color="auto" w:fill="auto"/>
            <w:tcMar>
              <w:left w:w="57" w:type="dxa"/>
              <w:right w:w="57" w:type="dxa"/>
            </w:tcMar>
          </w:tcPr>
          <w:p w14:paraId="41E7DB83" w14:textId="77777777" w:rsidR="00ED0E85" w:rsidRDefault="00ED0E85" w:rsidP="00ED0E85">
            <w:pPr>
              <w:pStyle w:val="BodyText"/>
            </w:pPr>
            <w:r w:rsidRPr="00635974">
              <w:rPr>
                <w:lang w:bidi="fa-IR"/>
              </w:rPr>
              <w:t>NEPP</w:t>
            </w:r>
            <w:r w:rsidRPr="00635974">
              <w:rPr>
                <w:lang w:bidi="fa-IR"/>
              </w:rPr>
              <w:tab/>
            </w:r>
            <w:r w:rsidRPr="00635974">
              <w:rPr>
                <w:lang w:bidi="fa-IR"/>
              </w:rPr>
              <w:tab/>
            </w:r>
          </w:p>
        </w:tc>
        <w:tc>
          <w:tcPr>
            <w:tcW w:w="6803" w:type="dxa"/>
            <w:shd w:val="clear" w:color="auto" w:fill="auto"/>
            <w:tcMar>
              <w:left w:w="57" w:type="dxa"/>
              <w:right w:w="57" w:type="dxa"/>
            </w:tcMar>
          </w:tcPr>
          <w:p w14:paraId="76DD0C4D" w14:textId="77777777" w:rsidR="00ED0E85" w:rsidRDefault="00ED0E85" w:rsidP="00ED0E85">
            <w:pPr>
              <w:pStyle w:val="BodyText"/>
              <w:rPr>
                <w:lang w:bidi="fa-IR"/>
              </w:rPr>
            </w:pPr>
            <w:r w:rsidRPr="00635974">
              <w:rPr>
                <w:lang w:bidi="fa-IR"/>
              </w:rPr>
              <w:t>National Energy Productivity Plan</w:t>
            </w:r>
          </w:p>
        </w:tc>
      </w:tr>
      <w:tr w:rsidR="00ED0E85" w14:paraId="02B7869F" w14:textId="77777777" w:rsidTr="00ED0E85">
        <w:tc>
          <w:tcPr>
            <w:tcW w:w="1701" w:type="dxa"/>
            <w:shd w:val="clear" w:color="auto" w:fill="auto"/>
            <w:tcMar>
              <w:left w:w="57" w:type="dxa"/>
              <w:right w:w="57" w:type="dxa"/>
            </w:tcMar>
          </w:tcPr>
          <w:p w14:paraId="0D074A96" w14:textId="77777777" w:rsidR="00ED0E85" w:rsidRDefault="00ED0E85" w:rsidP="00ED0E85">
            <w:pPr>
              <w:pStyle w:val="BodyText"/>
            </w:pPr>
            <w:r w:rsidRPr="00635974">
              <w:rPr>
                <w:lang w:bidi="fa-IR"/>
              </w:rPr>
              <w:t>NFEE</w:t>
            </w:r>
            <w:r w:rsidRPr="00635974">
              <w:rPr>
                <w:lang w:bidi="fa-IR"/>
              </w:rPr>
              <w:tab/>
            </w:r>
            <w:r w:rsidRPr="00635974">
              <w:rPr>
                <w:lang w:bidi="fa-IR"/>
              </w:rPr>
              <w:tab/>
            </w:r>
          </w:p>
        </w:tc>
        <w:tc>
          <w:tcPr>
            <w:tcW w:w="6803" w:type="dxa"/>
            <w:shd w:val="clear" w:color="auto" w:fill="auto"/>
            <w:tcMar>
              <w:left w:w="57" w:type="dxa"/>
              <w:right w:w="57" w:type="dxa"/>
            </w:tcMar>
          </w:tcPr>
          <w:p w14:paraId="6BC514B0" w14:textId="77777777" w:rsidR="00ED0E85" w:rsidRDefault="00ED0E85" w:rsidP="00ED0E85">
            <w:pPr>
              <w:pStyle w:val="BodyText"/>
              <w:rPr>
                <w:lang w:bidi="fa-IR"/>
              </w:rPr>
            </w:pPr>
            <w:r w:rsidRPr="00635974">
              <w:rPr>
                <w:lang w:bidi="fa-IR"/>
              </w:rPr>
              <w:t>National Framework on Energy Efficiency</w:t>
            </w:r>
          </w:p>
        </w:tc>
      </w:tr>
      <w:tr w:rsidR="00ED0E85" w14:paraId="307EA14F" w14:textId="77777777" w:rsidTr="00ED0E85">
        <w:tc>
          <w:tcPr>
            <w:tcW w:w="1701" w:type="dxa"/>
            <w:shd w:val="clear" w:color="auto" w:fill="auto"/>
            <w:tcMar>
              <w:left w:w="57" w:type="dxa"/>
              <w:right w:w="57" w:type="dxa"/>
            </w:tcMar>
          </w:tcPr>
          <w:p w14:paraId="55B43DC7" w14:textId="77777777" w:rsidR="00ED0E85" w:rsidRDefault="00ED0E85" w:rsidP="00ED0E85">
            <w:pPr>
              <w:pStyle w:val="BodyText"/>
            </w:pPr>
            <w:r w:rsidRPr="00635974">
              <w:rPr>
                <w:lang w:bidi="fa-IR"/>
              </w:rPr>
              <w:t>NGERS</w:t>
            </w:r>
            <w:r w:rsidRPr="00635974">
              <w:rPr>
                <w:lang w:bidi="fa-IR"/>
              </w:rPr>
              <w:tab/>
            </w:r>
            <w:r w:rsidRPr="00635974">
              <w:rPr>
                <w:lang w:bidi="fa-IR"/>
              </w:rPr>
              <w:tab/>
            </w:r>
          </w:p>
        </w:tc>
        <w:tc>
          <w:tcPr>
            <w:tcW w:w="6803" w:type="dxa"/>
            <w:shd w:val="clear" w:color="auto" w:fill="auto"/>
            <w:tcMar>
              <w:left w:w="57" w:type="dxa"/>
              <w:right w:w="57" w:type="dxa"/>
            </w:tcMar>
          </w:tcPr>
          <w:p w14:paraId="7EB2E816" w14:textId="77777777" w:rsidR="00ED0E85" w:rsidRDefault="00ED0E85" w:rsidP="00ED0E85">
            <w:pPr>
              <w:pStyle w:val="BodyText"/>
              <w:rPr>
                <w:lang w:bidi="fa-IR"/>
              </w:rPr>
            </w:pPr>
            <w:r w:rsidRPr="00635974">
              <w:rPr>
                <w:lang w:bidi="fa-IR"/>
              </w:rPr>
              <w:t>National Greenhouse and Energy Reporting Scheme</w:t>
            </w:r>
          </w:p>
        </w:tc>
      </w:tr>
      <w:tr w:rsidR="00ED0E85" w14:paraId="475AD7D8" w14:textId="77777777" w:rsidTr="00ED0E85">
        <w:tc>
          <w:tcPr>
            <w:tcW w:w="1701" w:type="dxa"/>
            <w:shd w:val="clear" w:color="auto" w:fill="auto"/>
            <w:tcMar>
              <w:left w:w="57" w:type="dxa"/>
              <w:right w:w="57" w:type="dxa"/>
            </w:tcMar>
          </w:tcPr>
          <w:p w14:paraId="04FF1D5C" w14:textId="77777777" w:rsidR="00ED0E85" w:rsidRDefault="00ED0E85" w:rsidP="00ED0E85">
            <w:pPr>
              <w:pStyle w:val="BodyText"/>
            </w:pPr>
            <w:r>
              <w:t>NLA</w:t>
            </w:r>
          </w:p>
        </w:tc>
        <w:tc>
          <w:tcPr>
            <w:tcW w:w="6803" w:type="dxa"/>
            <w:shd w:val="clear" w:color="auto" w:fill="auto"/>
            <w:tcMar>
              <w:left w:w="57" w:type="dxa"/>
              <w:right w:w="57" w:type="dxa"/>
            </w:tcMar>
          </w:tcPr>
          <w:p w14:paraId="4A15F4BD" w14:textId="77777777" w:rsidR="00ED0E85" w:rsidRDefault="00ED0E85" w:rsidP="00ED0E85">
            <w:pPr>
              <w:pStyle w:val="BodyText"/>
            </w:pPr>
            <w:r>
              <w:t>Net Lettable Area</w:t>
            </w:r>
          </w:p>
        </w:tc>
      </w:tr>
      <w:tr w:rsidR="00ED0E85" w14:paraId="4A8E01F9" w14:textId="77777777" w:rsidTr="00ED0E85">
        <w:tc>
          <w:tcPr>
            <w:tcW w:w="1701" w:type="dxa"/>
            <w:shd w:val="clear" w:color="auto" w:fill="auto"/>
            <w:tcMar>
              <w:left w:w="57" w:type="dxa"/>
              <w:right w:w="57" w:type="dxa"/>
            </w:tcMar>
          </w:tcPr>
          <w:p w14:paraId="03174380" w14:textId="77777777" w:rsidR="00ED0E85" w:rsidRDefault="00ED0E85" w:rsidP="00ED0E85">
            <w:pPr>
              <w:pStyle w:val="BodyText"/>
            </w:pPr>
            <w:r>
              <w:t>NLPD</w:t>
            </w:r>
          </w:p>
        </w:tc>
        <w:tc>
          <w:tcPr>
            <w:tcW w:w="6803" w:type="dxa"/>
            <w:shd w:val="clear" w:color="auto" w:fill="auto"/>
            <w:tcMar>
              <w:left w:w="57" w:type="dxa"/>
              <w:right w:w="57" w:type="dxa"/>
            </w:tcMar>
          </w:tcPr>
          <w:p w14:paraId="2E854AA9" w14:textId="77777777" w:rsidR="00ED0E85" w:rsidRDefault="00ED0E85" w:rsidP="00ED0E85">
            <w:pPr>
              <w:pStyle w:val="BodyText"/>
            </w:pPr>
            <w:r w:rsidRPr="00805C0A">
              <w:rPr>
                <w:szCs w:val="16"/>
              </w:rPr>
              <w:t xml:space="preserve">Nominal Lighting Power Density </w:t>
            </w:r>
          </w:p>
        </w:tc>
      </w:tr>
      <w:tr w:rsidR="00ED0E85" w:rsidRPr="00EF06CF" w14:paraId="1BFBF052" w14:textId="77777777" w:rsidTr="00ED0E85">
        <w:tc>
          <w:tcPr>
            <w:tcW w:w="1701" w:type="dxa"/>
            <w:shd w:val="clear" w:color="auto" w:fill="auto"/>
            <w:tcMar>
              <w:left w:w="57" w:type="dxa"/>
              <w:right w:w="57" w:type="dxa"/>
            </w:tcMar>
          </w:tcPr>
          <w:p w14:paraId="44EE905D" w14:textId="77777777" w:rsidR="00ED0E85" w:rsidRPr="009253DC" w:rsidRDefault="00ED0E85" w:rsidP="00ED0E85">
            <w:pPr>
              <w:pStyle w:val="BodyText"/>
              <w:rPr>
                <w:lang w:bidi="fa-IR"/>
              </w:rPr>
            </w:pPr>
            <w:r w:rsidRPr="009253DC">
              <w:rPr>
                <w:lang w:bidi="fa-IR"/>
              </w:rPr>
              <w:t>NPI</w:t>
            </w:r>
          </w:p>
        </w:tc>
        <w:tc>
          <w:tcPr>
            <w:tcW w:w="6803" w:type="dxa"/>
            <w:shd w:val="clear" w:color="auto" w:fill="auto"/>
            <w:tcMar>
              <w:left w:w="57" w:type="dxa"/>
              <w:right w:w="57" w:type="dxa"/>
            </w:tcMar>
          </w:tcPr>
          <w:p w14:paraId="0F2510A3" w14:textId="77777777" w:rsidR="00ED0E85" w:rsidRPr="009253DC" w:rsidRDefault="00ED0E85" w:rsidP="00ED0E85">
            <w:pPr>
              <w:pStyle w:val="BodyText"/>
              <w:rPr>
                <w:lang w:bidi="fa-IR"/>
              </w:rPr>
            </w:pPr>
            <w:r w:rsidRPr="009253DC">
              <w:rPr>
                <w:lang w:bidi="fa-IR"/>
              </w:rPr>
              <w:t>National Pollutant Inventory</w:t>
            </w:r>
          </w:p>
        </w:tc>
      </w:tr>
      <w:tr w:rsidR="00ED0E85" w14:paraId="5388A60B" w14:textId="77777777" w:rsidTr="00ED0E85">
        <w:tc>
          <w:tcPr>
            <w:tcW w:w="1701" w:type="dxa"/>
            <w:shd w:val="clear" w:color="auto" w:fill="auto"/>
            <w:tcMar>
              <w:left w:w="57" w:type="dxa"/>
              <w:right w:w="57" w:type="dxa"/>
            </w:tcMar>
          </w:tcPr>
          <w:p w14:paraId="2B3F289F" w14:textId="77777777" w:rsidR="00ED0E85" w:rsidRDefault="00ED0E85" w:rsidP="00ED0E85">
            <w:pPr>
              <w:pStyle w:val="BodyText"/>
            </w:pPr>
            <w:r w:rsidRPr="00635974">
              <w:rPr>
                <w:lang w:bidi="fa-IR"/>
              </w:rPr>
              <w:t>NSEE</w:t>
            </w:r>
            <w:r w:rsidRPr="00635974">
              <w:rPr>
                <w:lang w:bidi="fa-IR"/>
              </w:rPr>
              <w:tab/>
            </w:r>
            <w:r w:rsidRPr="00635974">
              <w:rPr>
                <w:lang w:bidi="fa-IR"/>
              </w:rPr>
              <w:tab/>
            </w:r>
          </w:p>
        </w:tc>
        <w:tc>
          <w:tcPr>
            <w:tcW w:w="6803" w:type="dxa"/>
            <w:shd w:val="clear" w:color="auto" w:fill="auto"/>
            <w:tcMar>
              <w:left w:w="57" w:type="dxa"/>
              <w:right w:w="57" w:type="dxa"/>
            </w:tcMar>
          </w:tcPr>
          <w:p w14:paraId="31062365" w14:textId="77777777" w:rsidR="00ED0E85" w:rsidRDefault="00ED0E85" w:rsidP="00ED0E85">
            <w:pPr>
              <w:pStyle w:val="BodyText"/>
              <w:rPr>
                <w:lang w:bidi="fa-IR"/>
              </w:rPr>
            </w:pPr>
            <w:r w:rsidRPr="00635974">
              <w:rPr>
                <w:lang w:bidi="fa-IR"/>
              </w:rPr>
              <w:t>National Strategy on Energy Efficiency</w:t>
            </w:r>
          </w:p>
        </w:tc>
      </w:tr>
      <w:tr w:rsidR="00ED0E85" w14:paraId="4B8A98C2" w14:textId="77777777" w:rsidTr="00ED0E85">
        <w:tc>
          <w:tcPr>
            <w:tcW w:w="1701" w:type="dxa"/>
            <w:shd w:val="clear" w:color="auto" w:fill="auto"/>
            <w:tcMar>
              <w:left w:w="57" w:type="dxa"/>
              <w:right w:w="57" w:type="dxa"/>
            </w:tcMar>
          </w:tcPr>
          <w:p w14:paraId="3C56D15B" w14:textId="77777777" w:rsidR="00ED0E85" w:rsidRDefault="00ED0E85" w:rsidP="00ED0E85">
            <w:pPr>
              <w:pStyle w:val="BodyText"/>
            </w:pPr>
            <w:r w:rsidRPr="00635974">
              <w:rPr>
                <w:lang w:bidi="fa-IR"/>
              </w:rPr>
              <w:t>PUE</w:t>
            </w:r>
            <w:r w:rsidRPr="00635974">
              <w:rPr>
                <w:lang w:bidi="fa-IR"/>
              </w:rPr>
              <w:tab/>
            </w:r>
            <w:r w:rsidRPr="00635974">
              <w:rPr>
                <w:lang w:bidi="fa-IR"/>
              </w:rPr>
              <w:tab/>
            </w:r>
          </w:p>
        </w:tc>
        <w:tc>
          <w:tcPr>
            <w:tcW w:w="6803" w:type="dxa"/>
            <w:shd w:val="clear" w:color="auto" w:fill="auto"/>
            <w:tcMar>
              <w:left w:w="57" w:type="dxa"/>
              <w:right w:w="57" w:type="dxa"/>
            </w:tcMar>
          </w:tcPr>
          <w:p w14:paraId="69AA7655" w14:textId="77777777" w:rsidR="00ED0E85" w:rsidRDefault="00ED0E85" w:rsidP="00ED0E85">
            <w:pPr>
              <w:pStyle w:val="BodyText"/>
              <w:rPr>
                <w:lang w:bidi="fa-IR"/>
              </w:rPr>
            </w:pPr>
            <w:r w:rsidRPr="00635974">
              <w:rPr>
                <w:lang w:bidi="fa-IR"/>
              </w:rPr>
              <w:t>Power usage effectiveness</w:t>
            </w:r>
          </w:p>
        </w:tc>
      </w:tr>
      <w:tr w:rsidR="00ED0E85" w14:paraId="011BF4BB" w14:textId="77777777" w:rsidTr="00ED0E85">
        <w:tc>
          <w:tcPr>
            <w:tcW w:w="1701" w:type="dxa"/>
            <w:shd w:val="clear" w:color="auto" w:fill="auto"/>
            <w:tcMar>
              <w:left w:w="57" w:type="dxa"/>
              <w:right w:w="57" w:type="dxa"/>
            </w:tcMar>
          </w:tcPr>
          <w:p w14:paraId="1F132A50" w14:textId="77777777" w:rsidR="00ED0E85" w:rsidRDefault="00ED0E85" w:rsidP="00ED0E85">
            <w:pPr>
              <w:pStyle w:val="BodyText"/>
            </w:pPr>
            <w:r>
              <w:t>PWC</w:t>
            </w:r>
          </w:p>
        </w:tc>
        <w:tc>
          <w:tcPr>
            <w:tcW w:w="6803" w:type="dxa"/>
            <w:shd w:val="clear" w:color="auto" w:fill="auto"/>
            <w:tcMar>
              <w:left w:w="57" w:type="dxa"/>
              <w:right w:w="57" w:type="dxa"/>
            </w:tcMar>
          </w:tcPr>
          <w:p w14:paraId="3D4AFEC1" w14:textId="77777777" w:rsidR="00ED0E85" w:rsidRDefault="00ED0E85" w:rsidP="00ED0E85">
            <w:pPr>
              <w:pStyle w:val="BodyText"/>
              <w:rPr>
                <w:lang w:bidi="fa-IR"/>
              </w:rPr>
            </w:pPr>
            <w:r>
              <w:rPr>
                <w:lang w:bidi="fa-IR"/>
              </w:rPr>
              <w:t>PricewaterhouseCoopers</w:t>
            </w:r>
          </w:p>
        </w:tc>
      </w:tr>
      <w:tr w:rsidR="00ED0E85" w14:paraId="10C30403" w14:textId="77777777" w:rsidTr="00ED0E85">
        <w:tc>
          <w:tcPr>
            <w:tcW w:w="1701" w:type="dxa"/>
            <w:shd w:val="clear" w:color="auto" w:fill="auto"/>
            <w:tcMar>
              <w:left w:w="57" w:type="dxa"/>
              <w:right w:w="57" w:type="dxa"/>
            </w:tcMar>
          </w:tcPr>
          <w:p w14:paraId="28884968" w14:textId="77777777" w:rsidR="00ED0E85" w:rsidRDefault="00ED0E85" w:rsidP="00ED0E85">
            <w:pPr>
              <w:pStyle w:val="BodyText"/>
            </w:pPr>
            <w:r w:rsidRPr="00635974">
              <w:rPr>
                <w:lang w:bidi="fa-IR"/>
              </w:rPr>
              <w:t>RIS</w:t>
            </w:r>
            <w:r w:rsidRPr="00635974">
              <w:rPr>
                <w:lang w:bidi="fa-IR"/>
              </w:rPr>
              <w:tab/>
            </w:r>
            <w:r w:rsidRPr="00635974">
              <w:rPr>
                <w:lang w:bidi="fa-IR"/>
              </w:rPr>
              <w:tab/>
            </w:r>
          </w:p>
        </w:tc>
        <w:tc>
          <w:tcPr>
            <w:tcW w:w="6803" w:type="dxa"/>
            <w:shd w:val="clear" w:color="auto" w:fill="auto"/>
            <w:tcMar>
              <w:left w:w="57" w:type="dxa"/>
              <w:right w:w="57" w:type="dxa"/>
            </w:tcMar>
          </w:tcPr>
          <w:p w14:paraId="0F74D95A" w14:textId="77777777" w:rsidR="00ED0E85" w:rsidRDefault="00ED0E85" w:rsidP="00ED0E85">
            <w:pPr>
              <w:pStyle w:val="BodyText"/>
              <w:rPr>
                <w:lang w:bidi="fa-IR"/>
              </w:rPr>
            </w:pPr>
            <w:r w:rsidRPr="00635974">
              <w:rPr>
                <w:lang w:bidi="fa-IR"/>
              </w:rPr>
              <w:t>Regulat</w:t>
            </w:r>
            <w:r>
              <w:rPr>
                <w:lang w:bidi="fa-IR"/>
              </w:rPr>
              <w:t>ion</w:t>
            </w:r>
            <w:r w:rsidRPr="00635974">
              <w:rPr>
                <w:lang w:bidi="fa-IR"/>
              </w:rPr>
              <w:t xml:space="preserve"> Impact Statement</w:t>
            </w:r>
          </w:p>
        </w:tc>
      </w:tr>
      <w:tr w:rsidR="00ED0E85" w14:paraId="662BDA51" w14:textId="77777777" w:rsidTr="00ED0E85">
        <w:tc>
          <w:tcPr>
            <w:tcW w:w="1701" w:type="dxa"/>
            <w:shd w:val="clear" w:color="auto" w:fill="auto"/>
            <w:tcMar>
              <w:left w:w="57" w:type="dxa"/>
              <w:right w:w="57" w:type="dxa"/>
            </w:tcMar>
          </w:tcPr>
          <w:p w14:paraId="247DACAA" w14:textId="77777777" w:rsidR="00ED0E85" w:rsidRDefault="00ED0E85" w:rsidP="00ED0E85">
            <w:pPr>
              <w:pStyle w:val="BodyText"/>
            </w:pPr>
            <w:r w:rsidRPr="00635974">
              <w:rPr>
                <w:lang w:bidi="fa-IR"/>
              </w:rPr>
              <w:t>SCA</w:t>
            </w:r>
            <w:r w:rsidRPr="00635974">
              <w:rPr>
                <w:lang w:bidi="fa-IR"/>
              </w:rPr>
              <w:tab/>
            </w:r>
            <w:r w:rsidRPr="00635974">
              <w:rPr>
                <w:lang w:bidi="fa-IR"/>
              </w:rPr>
              <w:tab/>
            </w:r>
          </w:p>
        </w:tc>
        <w:tc>
          <w:tcPr>
            <w:tcW w:w="6803" w:type="dxa"/>
            <w:shd w:val="clear" w:color="auto" w:fill="auto"/>
            <w:tcMar>
              <w:left w:w="57" w:type="dxa"/>
              <w:right w:w="57" w:type="dxa"/>
            </w:tcMar>
          </w:tcPr>
          <w:p w14:paraId="0455AF1F" w14:textId="77777777" w:rsidR="00ED0E85" w:rsidRDefault="00ED0E85" w:rsidP="00ED0E85">
            <w:pPr>
              <w:pStyle w:val="BodyText"/>
              <w:rPr>
                <w:lang w:bidi="fa-IR"/>
              </w:rPr>
            </w:pPr>
            <w:r w:rsidRPr="00635974">
              <w:rPr>
                <w:lang w:bidi="fa-IR"/>
              </w:rPr>
              <w:t>Shopping Centres Australasia</w:t>
            </w:r>
          </w:p>
        </w:tc>
      </w:tr>
      <w:tr w:rsidR="00ED0E85" w14:paraId="0F2B3737" w14:textId="77777777" w:rsidTr="00ED0E85">
        <w:tc>
          <w:tcPr>
            <w:tcW w:w="1701" w:type="dxa"/>
            <w:shd w:val="clear" w:color="auto" w:fill="auto"/>
            <w:tcMar>
              <w:left w:w="57" w:type="dxa"/>
              <w:right w:w="57" w:type="dxa"/>
            </w:tcMar>
          </w:tcPr>
          <w:p w14:paraId="3B633167" w14:textId="77777777" w:rsidR="00ED0E85" w:rsidRDefault="00ED0E85" w:rsidP="00ED0E85">
            <w:pPr>
              <w:pStyle w:val="BodyText"/>
            </w:pPr>
            <w:r w:rsidRPr="00635974">
              <w:rPr>
                <w:lang w:bidi="fa-IR"/>
              </w:rPr>
              <w:t>SCC</w:t>
            </w:r>
            <w:r w:rsidRPr="00635974">
              <w:rPr>
                <w:lang w:bidi="fa-IR"/>
              </w:rPr>
              <w:tab/>
            </w:r>
            <w:r w:rsidRPr="00635974">
              <w:rPr>
                <w:lang w:bidi="fa-IR"/>
              </w:rPr>
              <w:tab/>
            </w:r>
          </w:p>
        </w:tc>
        <w:tc>
          <w:tcPr>
            <w:tcW w:w="6803" w:type="dxa"/>
            <w:shd w:val="clear" w:color="auto" w:fill="auto"/>
            <w:tcMar>
              <w:left w:w="57" w:type="dxa"/>
              <w:right w:w="57" w:type="dxa"/>
            </w:tcMar>
          </w:tcPr>
          <w:p w14:paraId="676B01A6" w14:textId="77777777" w:rsidR="00ED0E85" w:rsidRDefault="00ED0E85" w:rsidP="00ED0E85">
            <w:pPr>
              <w:pStyle w:val="BodyText"/>
              <w:rPr>
                <w:lang w:bidi="fa-IR"/>
              </w:rPr>
            </w:pPr>
            <w:r w:rsidRPr="00635974">
              <w:rPr>
                <w:lang w:bidi="fa-IR"/>
              </w:rPr>
              <w:t>Social cost of carbon</w:t>
            </w:r>
          </w:p>
        </w:tc>
      </w:tr>
      <w:tr w:rsidR="00ED0E85" w14:paraId="1F2EAE1C" w14:textId="77777777" w:rsidTr="00ED0E85">
        <w:tc>
          <w:tcPr>
            <w:tcW w:w="1701" w:type="dxa"/>
            <w:shd w:val="clear" w:color="auto" w:fill="auto"/>
            <w:tcMar>
              <w:left w:w="57" w:type="dxa"/>
              <w:right w:w="57" w:type="dxa"/>
            </w:tcMar>
          </w:tcPr>
          <w:p w14:paraId="07F200C4" w14:textId="77777777" w:rsidR="00ED0E85" w:rsidRDefault="00ED0E85" w:rsidP="00ED0E85">
            <w:pPr>
              <w:pStyle w:val="BodyText"/>
            </w:pPr>
            <w:r w:rsidRPr="00635974">
              <w:rPr>
                <w:lang w:bidi="fa-IR"/>
              </w:rPr>
              <w:t>SDG</w:t>
            </w:r>
            <w:r w:rsidRPr="00635974">
              <w:rPr>
                <w:lang w:bidi="fa-IR"/>
              </w:rPr>
              <w:tab/>
            </w:r>
            <w:r w:rsidRPr="00635974">
              <w:rPr>
                <w:lang w:bidi="fa-IR"/>
              </w:rPr>
              <w:tab/>
            </w:r>
          </w:p>
        </w:tc>
        <w:tc>
          <w:tcPr>
            <w:tcW w:w="6803" w:type="dxa"/>
            <w:shd w:val="clear" w:color="auto" w:fill="auto"/>
            <w:tcMar>
              <w:left w:w="57" w:type="dxa"/>
              <w:right w:w="57" w:type="dxa"/>
            </w:tcMar>
          </w:tcPr>
          <w:p w14:paraId="6A141320" w14:textId="77777777" w:rsidR="00ED0E85" w:rsidRDefault="00ED0E85" w:rsidP="00ED0E85">
            <w:pPr>
              <w:pStyle w:val="BodyText"/>
              <w:rPr>
                <w:lang w:bidi="fa-IR"/>
              </w:rPr>
            </w:pPr>
            <w:r w:rsidRPr="00635974">
              <w:rPr>
                <w:lang w:bidi="fa-IR"/>
              </w:rPr>
              <w:t>Sustainable Development Goals</w:t>
            </w:r>
          </w:p>
        </w:tc>
      </w:tr>
      <w:tr w:rsidR="00ED0E85" w14:paraId="72C09CF7" w14:textId="77777777" w:rsidTr="00ED0E85">
        <w:tc>
          <w:tcPr>
            <w:tcW w:w="1701" w:type="dxa"/>
            <w:shd w:val="clear" w:color="auto" w:fill="auto"/>
            <w:tcMar>
              <w:left w:w="57" w:type="dxa"/>
              <w:right w:w="57" w:type="dxa"/>
            </w:tcMar>
          </w:tcPr>
          <w:p w14:paraId="5CDA28D5" w14:textId="77777777" w:rsidR="00ED0E85" w:rsidRDefault="00ED0E85" w:rsidP="00ED0E85">
            <w:pPr>
              <w:pStyle w:val="BodyText"/>
            </w:pPr>
            <w:r>
              <w:t>TAA</w:t>
            </w:r>
          </w:p>
        </w:tc>
        <w:tc>
          <w:tcPr>
            <w:tcW w:w="6803" w:type="dxa"/>
            <w:shd w:val="clear" w:color="auto" w:fill="auto"/>
            <w:tcMar>
              <w:left w:w="57" w:type="dxa"/>
              <w:right w:w="57" w:type="dxa"/>
            </w:tcMar>
          </w:tcPr>
          <w:p w14:paraId="385D6A37" w14:textId="77777777" w:rsidR="00ED0E85" w:rsidRDefault="00ED0E85" w:rsidP="00ED0E85">
            <w:pPr>
              <w:pStyle w:val="BodyText"/>
              <w:rPr>
                <w:lang w:bidi="fa-IR"/>
              </w:rPr>
            </w:pPr>
            <w:r>
              <w:t>Tourism Accommodation Australia</w:t>
            </w:r>
          </w:p>
        </w:tc>
      </w:tr>
      <w:tr w:rsidR="00ED0E85" w14:paraId="36B77538" w14:textId="77777777" w:rsidTr="00ED0E85">
        <w:tc>
          <w:tcPr>
            <w:tcW w:w="1701" w:type="dxa"/>
            <w:shd w:val="clear" w:color="auto" w:fill="auto"/>
            <w:tcMar>
              <w:left w:w="57" w:type="dxa"/>
              <w:right w:w="57" w:type="dxa"/>
            </w:tcMar>
          </w:tcPr>
          <w:p w14:paraId="62529987" w14:textId="77777777" w:rsidR="00ED0E85" w:rsidRDefault="00ED0E85" w:rsidP="00ED0E85">
            <w:pPr>
              <w:pStyle w:val="BodyText"/>
            </w:pPr>
            <w:r w:rsidRPr="00635974">
              <w:rPr>
                <w:lang w:bidi="fa-IR"/>
              </w:rPr>
              <w:t>TLA</w:t>
            </w:r>
            <w:r w:rsidRPr="00635974">
              <w:rPr>
                <w:lang w:bidi="fa-IR"/>
              </w:rPr>
              <w:tab/>
            </w:r>
            <w:r w:rsidRPr="00635974">
              <w:rPr>
                <w:lang w:bidi="fa-IR"/>
              </w:rPr>
              <w:tab/>
            </w:r>
          </w:p>
        </w:tc>
        <w:tc>
          <w:tcPr>
            <w:tcW w:w="6803" w:type="dxa"/>
            <w:shd w:val="clear" w:color="auto" w:fill="auto"/>
            <w:tcMar>
              <w:left w:w="57" w:type="dxa"/>
              <w:right w:w="57" w:type="dxa"/>
            </w:tcMar>
          </w:tcPr>
          <w:p w14:paraId="15D8BC2B" w14:textId="77777777" w:rsidR="00ED0E85" w:rsidRDefault="00ED0E85" w:rsidP="00ED0E85">
            <w:pPr>
              <w:pStyle w:val="BodyText"/>
              <w:rPr>
                <w:lang w:bidi="fa-IR"/>
              </w:rPr>
            </w:pPr>
            <w:r w:rsidRPr="00635974">
              <w:rPr>
                <w:lang w:bidi="fa-IR"/>
              </w:rPr>
              <w:t>Tenancy Lighting Assessment</w:t>
            </w:r>
          </w:p>
        </w:tc>
      </w:tr>
      <w:tr w:rsidR="00ED0E85" w14:paraId="511E343D" w14:textId="77777777" w:rsidTr="00ED0E85">
        <w:tc>
          <w:tcPr>
            <w:tcW w:w="1701" w:type="dxa"/>
            <w:shd w:val="clear" w:color="auto" w:fill="auto"/>
            <w:tcMar>
              <w:left w:w="57" w:type="dxa"/>
              <w:right w:w="57" w:type="dxa"/>
            </w:tcMar>
          </w:tcPr>
          <w:p w14:paraId="3718B6A4" w14:textId="77777777" w:rsidR="00ED0E85" w:rsidRDefault="00ED0E85" w:rsidP="00ED0E85">
            <w:pPr>
              <w:pStyle w:val="BodyText"/>
            </w:pPr>
            <w:r w:rsidRPr="00635974">
              <w:rPr>
                <w:lang w:bidi="fa-IR"/>
              </w:rPr>
              <w:t>UNFCCC</w:t>
            </w:r>
            <w:r w:rsidRPr="00635974">
              <w:rPr>
                <w:lang w:bidi="fa-IR"/>
              </w:rPr>
              <w:tab/>
            </w:r>
            <w:r w:rsidRPr="00635974">
              <w:rPr>
                <w:lang w:bidi="fa-IR"/>
              </w:rPr>
              <w:tab/>
            </w:r>
          </w:p>
        </w:tc>
        <w:tc>
          <w:tcPr>
            <w:tcW w:w="6803" w:type="dxa"/>
            <w:shd w:val="clear" w:color="auto" w:fill="auto"/>
            <w:tcMar>
              <w:left w:w="57" w:type="dxa"/>
              <w:right w:w="57" w:type="dxa"/>
            </w:tcMar>
          </w:tcPr>
          <w:p w14:paraId="4A238E7D" w14:textId="77777777" w:rsidR="00ED0E85" w:rsidRDefault="00ED0E85" w:rsidP="00ED0E85">
            <w:pPr>
              <w:pStyle w:val="BodyText"/>
              <w:rPr>
                <w:lang w:bidi="fa-IR"/>
              </w:rPr>
            </w:pPr>
            <w:r w:rsidRPr="00635974">
              <w:rPr>
                <w:lang w:bidi="fa-IR"/>
              </w:rPr>
              <w:t>United Nations Framework Convention on Climate Change</w:t>
            </w:r>
          </w:p>
        </w:tc>
      </w:tr>
      <w:tr w:rsidR="00ED0E85" w14:paraId="2F13AC2F" w14:textId="77777777" w:rsidTr="00ED0E85">
        <w:tc>
          <w:tcPr>
            <w:tcW w:w="1701" w:type="dxa"/>
            <w:shd w:val="clear" w:color="auto" w:fill="auto"/>
            <w:tcMar>
              <w:left w:w="57" w:type="dxa"/>
              <w:right w:w="57" w:type="dxa"/>
            </w:tcMar>
          </w:tcPr>
          <w:p w14:paraId="0EC6F868" w14:textId="77777777" w:rsidR="00ED0E85" w:rsidRDefault="00ED0E85" w:rsidP="00ED0E85">
            <w:pPr>
              <w:pStyle w:val="BodyText"/>
            </w:pPr>
            <w:r w:rsidRPr="00635974">
              <w:rPr>
                <w:lang w:bidi="fa-IR"/>
              </w:rPr>
              <w:t>US</w:t>
            </w:r>
            <w:r w:rsidRPr="00635974">
              <w:rPr>
                <w:lang w:bidi="fa-IR"/>
              </w:rPr>
              <w:tab/>
            </w:r>
            <w:r w:rsidRPr="00635974">
              <w:rPr>
                <w:lang w:bidi="fa-IR"/>
              </w:rPr>
              <w:tab/>
            </w:r>
          </w:p>
        </w:tc>
        <w:tc>
          <w:tcPr>
            <w:tcW w:w="6803" w:type="dxa"/>
            <w:shd w:val="clear" w:color="auto" w:fill="auto"/>
            <w:tcMar>
              <w:left w:w="57" w:type="dxa"/>
              <w:right w:w="57" w:type="dxa"/>
            </w:tcMar>
          </w:tcPr>
          <w:p w14:paraId="02346502" w14:textId="77777777" w:rsidR="00ED0E85" w:rsidRDefault="00ED0E85" w:rsidP="00ED0E85">
            <w:pPr>
              <w:pStyle w:val="BodyText"/>
              <w:rPr>
                <w:lang w:bidi="fa-IR"/>
              </w:rPr>
            </w:pPr>
            <w:r w:rsidRPr="00635974">
              <w:rPr>
                <w:lang w:bidi="fa-IR"/>
              </w:rPr>
              <w:t>United States</w:t>
            </w:r>
          </w:p>
        </w:tc>
      </w:tr>
      <w:tr w:rsidR="00ED0E85" w14:paraId="4855CC54" w14:textId="77777777" w:rsidTr="00ED0E85">
        <w:tc>
          <w:tcPr>
            <w:tcW w:w="1701" w:type="dxa"/>
            <w:shd w:val="clear" w:color="auto" w:fill="auto"/>
            <w:tcMar>
              <w:left w:w="57" w:type="dxa"/>
              <w:right w:w="57" w:type="dxa"/>
            </w:tcMar>
          </w:tcPr>
          <w:p w14:paraId="20C1523B" w14:textId="77777777" w:rsidR="00ED0E85" w:rsidRDefault="00ED0E85" w:rsidP="00ED0E85">
            <w:pPr>
              <w:pStyle w:val="BodyText"/>
            </w:pPr>
          </w:p>
        </w:tc>
        <w:tc>
          <w:tcPr>
            <w:tcW w:w="6803" w:type="dxa"/>
            <w:shd w:val="clear" w:color="auto" w:fill="auto"/>
            <w:tcMar>
              <w:left w:w="57" w:type="dxa"/>
              <w:right w:w="57" w:type="dxa"/>
            </w:tcMar>
          </w:tcPr>
          <w:p w14:paraId="337C7308" w14:textId="77777777" w:rsidR="00ED0E85" w:rsidRDefault="00ED0E85" w:rsidP="00ED0E85">
            <w:pPr>
              <w:pStyle w:val="BodyText"/>
            </w:pPr>
          </w:p>
        </w:tc>
      </w:tr>
      <w:tr w:rsidR="00ED0E85" w14:paraId="01319243" w14:textId="77777777" w:rsidTr="00ED0E85">
        <w:tc>
          <w:tcPr>
            <w:tcW w:w="1701" w:type="dxa"/>
            <w:shd w:val="clear" w:color="auto" w:fill="auto"/>
            <w:tcMar>
              <w:left w:w="57" w:type="dxa"/>
              <w:right w:w="57" w:type="dxa"/>
            </w:tcMar>
          </w:tcPr>
          <w:p w14:paraId="1E8C84DD" w14:textId="77777777" w:rsidR="00ED0E85" w:rsidRDefault="00ED0E85" w:rsidP="00ED0E85">
            <w:pPr>
              <w:pStyle w:val="BodyText"/>
            </w:pPr>
          </w:p>
        </w:tc>
        <w:tc>
          <w:tcPr>
            <w:tcW w:w="6803" w:type="dxa"/>
            <w:shd w:val="clear" w:color="auto" w:fill="auto"/>
            <w:tcMar>
              <w:left w:w="57" w:type="dxa"/>
              <w:right w:w="57" w:type="dxa"/>
            </w:tcMar>
          </w:tcPr>
          <w:p w14:paraId="0FD1DDAB" w14:textId="77777777" w:rsidR="00ED0E85" w:rsidRDefault="00ED0E85" w:rsidP="00ED0E85">
            <w:pPr>
              <w:pStyle w:val="BodyText"/>
            </w:pPr>
          </w:p>
        </w:tc>
      </w:tr>
      <w:tr w:rsidR="00ED0E85" w14:paraId="1574A213" w14:textId="77777777" w:rsidTr="00ED0E85">
        <w:tc>
          <w:tcPr>
            <w:tcW w:w="1701" w:type="dxa"/>
            <w:shd w:val="clear" w:color="auto" w:fill="auto"/>
            <w:tcMar>
              <w:left w:w="57" w:type="dxa"/>
              <w:right w:w="57" w:type="dxa"/>
            </w:tcMar>
          </w:tcPr>
          <w:p w14:paraId="65C4BD19" w14:textId="77777777" w:rsidR="00ED0E85" w:rsidRDefault="00ED0E85" w:rsidP="00ED0E85">
            <w:pPr>
              <w:pStyle w:val="BodyText"/>
            </w:pPr>
          </w:p>
        </w:tc>
        <w:tc>
          <w:tcPr>
            <w:tcW w:w="6803" w:type="dxa"/>
            <w:shd w:val="clear" w:color="auto" w:fill="auto"/>
            <w:tcMar>
              <w:left w:w="57" w:type="dxa"/>
              <w:right w:w="57" w:type="dxa"/>
            </w:tcMar>
          </w:tcPr>
          <w:p w14:paraId="47976118" w14:textId="77777777" w:rsidR="00ED0E85" w:rsidRDefault="00ED0E85" w:rsidP="00ED0E85">
            <w:pPr>
              <w:pStyle w:val="BodyText"/>
            </w:pPr>
          </w:p>
        </w:tc>
      </w:tr>
      <w:tr w:rsidR="00ED0E85" w14:paraId="7FD0FCE4" w14:textId="77777777" w:rsidTr="00ED0E85">
        <w:tc>
          <w:tcPr>
            <w:tcW w:w="1701" w:type="dxa"/>
            <w:shd w:val="clear" w:color="auto" w:fill="auto"/>
            <w:tcMar>
              <w:left w:w="57" w:type="dxa"/>
              <w:right w:w="57" w:type="dxa"/>
            </w:tcMar>
          </w:tcPr>
          <w:p w14:paraId="367A69E7" w14:textId="77777777" w:rsidR="00ED0E85" w:rsidRDefault="00ED0E85" w:rsidP="00ED0E85">
            <w:pPr>
              <w:pStyle w:val="BodyText"/>
            </w:pPr>
          </w:p>
        </w:tc>
        <w:tc>
          <w:tcPr>
            <w:tcW w:w="6803" w:type="dxa"/>
            <w:shd w:val="clear" w:color="auto" w:fill="auto"/>
            <w:tcMar>
              <w:left w:w="57" w:type="dxa"/>
              <w:right w:w="57" w:type="dxa"/>
            </w:tcMar>
          </w:tcPr>
          <w:p w14:paraId="113D82D6" w14:textId="77777777" w:rsidR="00ED0E85" w:rsidRDefault="00ED0E85" w:rsidP="00ED0E85">
            <w:pPr>
              <w:pStyle w:val="BodyText"/>
            </w:pPr>
          </w:p>
        </w:tc>
      </w:tr>
      <w:tr w:rsidR="00ED0E85" w14:paraId="31932148" w14:textId="77777777" w:rsidTr="00ED0E85">
        <w:tc>
          <w:tcPr>
            <w:tcW w:w="1701" w:type="dxa"/>
            <w:shd w:val="clear" w:color="auto" w:fill="auto"/>
            <w:tcMar>
              <w:left w:w="57" w:type="dxa"/>
              <w:right w:w="57" w:type="dxa"/>
            </w:tcMar>
          </w:tcPr>
          <w:p w14:paraId="0F82BD07" w14:textId="77777777" w:rsidR="00ED0E85" w:rsidRDefault="00ED0E85" w:rsidP="00ED0E85">
            <w:pPr>
              <w:pStyle w:val="BodyText"/>
            </w:pPr>
          </w:p>
        </w:tc>
        <w:tc>
          <w:tcPr>
            <w:tcW w:w="6803" w:type="dxa"/>
            <w:shd w:val="clear" w:color="auto" w:fill="auto"/>
            <w:tcMar>
              <w:left w:w="57" w:type="dxa"/>
              <w:right w:w="57" w:type="dxa"/>
            </w:tcMar>
          </w:tcPr>
          <w:p w14:paraId="259A754F" w14:textId="77777777" w:rsidR="00ED0E85" w:rsidRDefault="00ED0E85" w:rsidP="00ED0E85">
            <w:pPr>
              <w:pStyle w:val="BodyText"/>
            </w:pPr>
          </w:p>
        </w:tc>
      </w:tr>
      <w:tr w:rsidR="00ED0E85" w14:paraId="4DCF074B" w14:textId="77777777" w:rsidTr="00ED0E85">
        <w:tc>
          <w:tcPr>
            <w:tcW w:w="1701" w:type="dxa"/>
            <w:shd w:val="clear" w:color="auto" w:fill="auto"/>
            <w:tcMar>
              <w:left w:w="57" w:type="dxa"/>
              <w:right w:w="57" w:type="dxa"/>
            </w:tcMar>
          </w:tcPr>
          <w:p w14:paraId="747088DE" w14:textId="77777777" w:rsidR="00ED0E85" w:rsidRDefault="00ED0E85" w:rsidP="00ED0E85">
            <w:pPr>
              <w:pStyle w:val="BodyText"/>
            </w:pPr>
          </w:p>
        </w:tc>
        <w:tc>
          <w:tcPr>
            <w:tcW w:w="6803" w:type="dxa"/>
            <w:shd w:val="clear" w:color="auto" w:fill="auto"/>
            <w:tcMar>
              <w:left w:w="57" w:type="dxa"/>
              <w:right w:w="57" w:type="dxa"/>
            </w:tcMar>
          </w:tcPr>
          <w:p w14:paraId="1C3F91F4" w14:textId="77777777" w:rsidR="00ED0E85" w:rsidRDefault="00ED0E85" w:rsidP="00ED0E85">
            <w:pPr>
              <w:pStyle w:val="BodyText"/>
            </w:pPr>
          </w:p>
        </w:tc>
      </w:tr>
      <w:tr w:rsidR="00ED0E85" w14:paraId="7B8E1D34" w14:textId="77777777" w:rsidTr="00ED0E85">
        <w:tc>
          <w:tcPr>
            <w:tcW w:w="1701" w:type="dxa"/>
            <w:shd w:val="clear" w:color="auto" w:fill="auto"/>
            <w:tcMar>
              <w:left w:w="57" w:type="dxa"/>
              <w:right w:w="57" w:type="dxa"/>
            </w:tcMar>
          </w:tcPr>
          <w:p w14:paraId="1A57B74B" w14:textId="77777777" w:rsidR="00ED0E85" w:rsidRDefault="00ED0E85" w:rsidP="00ED0E85">
            <w:pPr>
              <w:pStyle w:val="BodyText"/>
            </w:pPr>
          </w:p>
        </w:tc>
        <w:tc>
          <w:tcPr>
            <w:tcW w:w="6803" w:type="dxa"/>
            <w:shd w:val="clear" w:color="auto" w:fill="auto"/>
            <w:tcMar>
              <w:left w:w="57" w:type="dxa"/>
              <w:right w:w="57" w:type="dxa"/>
            </w:tcMar>
          </w:tcPr>
          <w:p w14:paraId="321F7311" w14:textId="77777777" w:rsidR="00ED0E85" w:rsidRDefault="00ED0E85" w:rsidP="00ED0E85">
            <w:pPr>
              <w:pStyle w:val="BodyText"/>
            </w:pPr>
          </w:p>
        </w:tc>
      </w:tr>
      <w:tr w:rsidR="00ED0E85" w14:paraId="658801C3" w14:textId="77777777" w:rsidTr="00ED0E85">
        <w:tc>
          <w:tcPr>
            <w:tcW w:w="1701" w:type="dxa"/>
            <w:shd w:val="clear" w:color="auto" w:fill="auto"/>
            <w:tcMar>
              <w:left w:w="57" w:type="dxa"/>
              <w:right w:w="57" w:type="dxa"/>
            </w:tcMar>
          </w:tcPr>
          <w:p w14:paraId="16033F6A" w14:textId="77777777" w:rsidR="00ED0E85" w:rsidRDefault="00ED0E85" w:rsidP="00ED0E85">
            <w:pPr>
              <w:pStyle w:val="BodyText"/>
            </w:pPr>
          </w:p>
        </w:tc>
        <w:tc>
          <w:tcPr>
            <w:tcW w:w="6803" w:type="dxa"/>
            <w:shd w:val="clear" w:color="auto" w:fill="auto"/>
            <w:tcMar>
              <w:left w:w="57" w:type="dxa"/>
              <w:right w:w="57" w:type="dxa"/>
            </w:tcMar>
          </w:tcPr>
          <w:p w14:paraId="15A4922A" w14:textId="77777777" w:rsidR="00ED0E85" w:rsidRDefault="00ED0E85" w:rsidP="00ED0E85">
            <w:pPr>
              <w:pStyle w:val="BodyText"/>
            </w:pPr>
          </w:p>
        </w:tc>
      </w:tr>
      <w:tr w:rsidR="00ED0E85" w14:paraId="68E3246A" w14:textId="77777777" w:rsidTr="00ED0E85">
        <w:tc>
          <w:tcPr>
            <w:tcW w:w="1701" w:type="dxa"/>
            <w:shd w:val="clear" w:color="auto" w:fill="auto"/>
            <w:tcMar>
              <w:left w:w="57" w:type="dxa"/>
              <w:right w:w="57" w:type="dxa"/>
            </w:tcMar>
          </w:tcPr>
          <w:p w14:paraId="2DB891FF" w14:textId="77777777" w:rsidR="00ED0E85" w:rsidRDefault="00ED0E85" w:rsidP="00ED0E85">
            <w:pPr>
              <w:pStyle w:val="BodyText"/>
            </w:pPr>
          </w:p>
        </w:tc>
        <w:tc>
          <w:tcPr>
            <w:tcW w:w="6803" w:type="dxa"/>
            <w:shd w:val="clear" w:color="auto" w:fill="auto"/>
            <w:tcMar>
              <w:left w:w="57" w:type="dxa"/>
              <w:right w:w="57" w:type="dxa"/>
            </w:tcMar>
          </w:tcPr>
          <w:p w14:paraId="1CC5BCA7" w14:textId="77777777" w:rsidR="00ED0E85" w:rsidRDefault="00ED0E85" w:rsidP="00ED0E85">
            <w:pPr>
              <w:pStyle w:val="BodyText"/>
            </w:pPr>
          </w:p>
        </w:tc>
      </w:tr>
      <w:tr w:rsidR="00ED0E85" w14:paraId="4056D451" w14:textId="77777777" w:rsidTr="00ED0E85">
        <w:tc>
          <w:tcPr>
            <w:tcW w:w="1701" w:type="dxa"/>
            <w:shd w:val="clear" w:color="auto" w:fill="auto"/>
            <w:tcMar>
              <w:left w:w="57" w:type="dxa"/>
              <w:right w:w="57" w:type="dxa"/>
            </w:tcMar>
          </w:tcPr>
          <w:p w14:paraId="6CF8D6DD" w14:textId="77777777" w:rsidR="00ED0E85" w:rsidRDefault="00ED0E85" w:rsidP="00ED0E85">
            <w:pPr>
              <w:pStyle w:val="BodyText"/>
            </w:pPr>
          </w:p>
        </w:tc>
        <w:tc>
          <w:tcPr>
            <w:tcW w:w="6803" w:type="dxa"/>
            <w:shd w:val="clear" w:color="auto" w:fill="auto"/>
            <w:tcMar>
              <w:left w:w="57" w:type="dxa"/>
              <w:right w:w="57" w:type="dxa"/>
            </w:tcMar>
          </w:tcPr>
          <w:p w14:paraId="2157CCC1" w14:textId="77777777" w:rsidR="00ED0E85" w:rsidRDefault="00ED0E85" w:rsidP="00ED0E85">
            <w:pPr>
              <w:pStyle w:val="BodyText"/>
            </w:pPr>
          </w:p>
        </w:tc>
      </w:tr>
      <w:tr w:rsidR="00ED0E85" w14:paraId="4C414076" w14:textId="77777777" w:rsidTr="00ED0E85">
        <w:tc>
          <w:tcPr>
            <w:tcW w:w="1701" w:type="dxa"/>
            <w:shd w:val="clear" w:color="auto" w:fill="auto"/>
            <w:tcMar>
              <w:left w:w="57" w:type="dxa"/>
              <w:right w:w="57" w:type="dxa"/>
            </w:tcMar>
          </w:tcPr>
          <w:p w14:paraId="5E1BF6D9" w14:textId="77777777" w:rsidR="00ED0E85" w:rsidRDefault="00ED0E85" w:rsidP="00ED0E85">
            <w:pPr>
              <w:pStyle w:val="BodyText"/>
            </w:pPr>
          </w:p>
        </w:tc>
        <w:tc>
          <w:tcPr>
            <w:tcW w:w="6803" w:type="dxa"/>
            <w:shd w:val="clear" w:color="auto" w:fill="auto"/>
            <w:tcMar>
              <w:left w:w="57" w:type="dxa"/>
              <w:right w:w="57" w:type="dxa"/>
            </w:tcMar>
          </w:tcPr>
          <w:p w14:paraId="71D9D159" w14:textId="77777777" w:rsidR="00ED0E85" w:rsidRDefault="00ED0E85" w:rsidP="00ED0E85">
            <w:pPr>
              <w:pStyle w:val="BodyText"/>
            </w:pPr>
          </w:p>
        </w:tc>
      </w:tr>
      <w:tr w:rsidR="00ED0E85" w14:paraId="3B7590E5" w14:textId="77777777" w:rsidTr="00ED0E85">
        <w:tc>
          <w:tcPr>
            <w:tcW w:w="1701" w:type="dxa"/>
            <w:shd w:val="clear" w:color="auto" w:fill="auto"/>
            <w:tcMar>
              <w:left w:w="57" w:type="dxa"/>
              <w:right w:w="57" w:type="dxa"/>
            </w:tcMar>
          </w:tcPr>
          <w:p w14:paraId="7E52D5E4" w14:textId="77777777" w:rsidR="00ED0E85" w:rsidRDefault="00ED0E85" w:rsidP="00ED0E85">
            <w:pPr>
              <w:pStyle w:val="BodyText"/>
            </w:pPr>
          </w:p>
        </w:tc>
        <w:tc>
          <w:tcPr>
            <w:tcW w:w="6803" w:type="dxa"/>
            <w:shd w:val="clear" w:color="auto" w:fill="auto"/>
            <w:tcMar>
              <w:left w:w="57" w:type="dxa"/>
              <w:right w:w="57" w:type="dxa"/>
            </w:tcMar>
          </w:tcPr>
          <w:p w14:paraId="4AE482AA" w14:textId="77777777" w:rsidR="00ED0E85" w:rsidRDefault="00ED0E85" w:rsidP="00ED0E85">
            <w:pPr>
              <w:pStyle w:val="BodyText"/>
            </w:pPr>
          </w:p>
        </w:tc>
      </w:tr>
    </w:tbl>
    <w:p w14:paraId="28447291" w14:textId="77777777" w:rsidR="002A5062" w:rsidRDefault="00ED0E85" w:rsidP="00801EC2">
      <w:pPr>
        <w:pStyle w:val="Heading1NotNumbered"/>
      </w:pPr>
      <w:bookmarkStart w:id="6" w:name="_Toc19280091"/>
      <w:r>
        <w:t>Executive s</w:t>
      </w:r>
      <w:r w:rsidR="005A6134" w:rsidRPr="005A6134">
        <w:t>ummary</w:t>
      </w:r>
      <w:bookmarkEnd w:id="5"/>
      <w:bookmarkEnd w:id="6"/>
    </w:p>
    <w:p w14:paraId="64EBE231" w14:textId="77777777" w:rsidR="00ED0E85" w:rsidRDefault="00ED0E85" w:rsidP="00ED0E85">
      <w:pPr>
        <w:pStyle w:val="BodyText"/>
        <w:rPr>
          <w:lang w:bidi="fa-IR"/>
        </w:rPr>
      </w:pPr>
      <w:r>
        <w:rPr>
          <w:lang w:bidi="fa-IR"/>
        </w:rPr>
        <w:t>The Commercial Building Disclosure (CBD) Program is a mandatory disclosure program, requiring information on a building’s energy performance to be disclosed when larger office spaces are sold or leased.</w:t>
      </w:r>
    </w:p>
    <w:p w14:paraId="48515083" w14:textId="0688E970" w:rsidR="00ED0E85" w:rsidRDefault="00ED0E85" w:rsidP="00ED0E85">
      <w:pPr>
        <w:pStyle w:val="BodyText"/>
        <w:rPr>
          <w:lang w:bidi="fa-IR"/>
        </w:rPr>
      </w:pPr>
      <w:r>
        <w:rPr>
          <w:lang w:bidi="fa-IR"/>
        </w:rPr>
        <w:t xml:space="preserve">The Centre for International Economics (CIE) has been engaged to review the CBD Program and its enabling legislation — the </w:t>
      </w:r>
      <w:r w:rsidRPr="003A070F">
        <w:rPr>
          <w:i/>
          <w:lang w:bidi="fa-IR"/>
        </w:rPr>
        <w:t>Building Energy Efficiency Disclosure Act 2010</w:t>
      </w:r>
      <w:r>
        <w:rPr>
          <w:lang w:bidi="fa-IR"/>
        </w:rPr>
        <w:t xml:space="preserve"> (the BEED Act). The terms of reference for our review are shown in box </w:t>
      </w:r>
      <w:r>
        <w:rPr>
          <w:lang w:bidi="fa-IR"/>
        </w:rPr>
        <w:fldChar w:fldCharType="begin"/>
      </w:r>
      <w:r>
        <w:rPr>
          <w:lang w:bidi="fa-IR"/>
        </w:rPr>
        <w:instrText xml:space="preserve"> REF _Caption1375 </w:instrText>
      </w:r>
      <w:r>
        <w:rPr>
          <w:lang w:bidi="fa-IR"/>
        </w:rPr>
        <w:fldChar w:fldCharType="separate"/>
      </w:r>
      <w:r w:rsidR="00AD3561">
        <w:rPr>
          <w:noProof/>
        </w:rPr>
        <w:t>4</w:t>
      </w:r>
      <w:r w:rsidR="00AD3561" w:rsidRPr="00695C93">
        <w:rPr>
          <w:noProof/>
        </w:rPr>
        <w:t>.</w:t>
      </w:r>
      <w:r w:rsidR="00AD3561">
        <w:rPr>
          <w:noProof/>
        </w:rPr>
        <w:t>19</w:t>
      </w:r>
      <w:r>
        <w:rPr>
          <w:lang w:bidi="fa-IR"/>
        </w:rPr>
        <w:fldChar w:fldCharType="end"/>
      </w:r>
      <w:r>
        <w:rPr>
          <w:lang w:bidi="fa-IR"/>
        </w:rPr>
        <w:t>. The following sections outline our findings against each of our terms of reference and our recommendations.</w:t>
      </w:r>
    </w:p>
    <w:p w14:paraId="728A7BD7" w14:textId="77777777" w:rsidR="00ED0E85" w:rsidRDefault="00ED0E85" w:rsidP="00ED0E85">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Pr>
      <w:tblGrid>
        <w:gridCol w:w="7938"/>
      </w:tblGrid>
      <w:tr w:rsidR="00ED0E85" w:rsidRPr="00E05C8C" w14:paraId="21683323" w14:textId="77777777" w:rsidTr="00ED0E85">
        <w:trPr>
          <w:cantSplit/>
        </w:trPr>
        <w:tc>
          <w:tcPr>
            <w:tcW w:w="7938" w:type="dxa"/>
            <w:tcBorders>
              <w:top w:val="nil"/>
              <w:left w:val="nil"/>
              <w:bottom w:val="nil"/>
              <w:right w:val="nil"/>
            </w:tcBorders>
            <w:shd w:val="clear" w:color="auto" w:fill="C6BFAB" w:themeFill="accent3"/>
          </w:tcPr>
          <w:p w14:paraId="45BDE788" w14:textId="295D44BF" w:rsidR="00ED0E85" w:rsidRPr="00E05C8C" w:rsidRDefault="00ED0E85" w:rsidP="001F5383">
            <w:pPr>
              <w:pStyle w:val="Caption"/>
              <w:numPr>
                <w:ilvl w:val="0"/>
                <w:numId w:val="13"/>
              </w:numPr>
              <w:spacing w:before="120" w:after="100"/>
            </w:pPr>
            <w:r w:rsidRPr="00E05C8C">
              <w:fldChar w:fldCharType="begin"/>
            </w:r>
            <w:r w:rsidRPr="00E05C8C">
              <w:instrText xml:space="preserve"> IF 1 = 1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0</w:instrText>
            </w:r>
            <w:r>
              <w:rPr>
                <w:noProof/>
              </w:rPr>
              <w:fldChar w:fldCharType="end"/>
            </w:r>
            <w:r w:rsidRPr="00E05C8C">
              <w:instrText xml:space="preserve"> = 0 ""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rsidRPr="00E05C8C">
              <w:instrText xml:space="preserve">." </w:instrText>
            </w:r>
            <w:r w:rsidRPr="00E05C8C">
              <w:fldChar w:fldCharType="end"/>
            </w:r>
            <w:r w:rsidRPr="00E05C8C">
              <w:instrText>" "</w:instrText>
            </w:r>
            <w:r w:rsidR="00C353B5">
              <w:fldChar w:fldCharType="begin"/>
            </w:r>
            <w:r w:rsidR="00C353B5">
              <w:instrText xml:space="preserve"> STYLEREF "Heading 6" \l \n </w:instrText>
            </w:r>
            <w:r w:rsidR="00C353B5">
              <w:fldChar w:fldCharType="separate"/>
            </w:r>
            <w:r w:rsidRPr="00E05C8C">
              <w:instrText>B</w:instrText>
            </w:r>
            <w:r w:rsidR="00C353B5">
              <w:fldChar w:fldCharType="end"/>
            </w:r>
            <w:r w:rsidRPr="00E05C8C">
              <w:instrText xml:space="preserve">." </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0</w:instrText>
            </w:r>
            <w:r>
              <w:rPr>
                <w:noProof/>
              </w:rPr>
              <w:fldChar w:fldCharType="end"/>
            </w:r>
            <w:r w:rsidRPr="00E05C8C">
              <w:instrText xml:space="preserve"> = 0 "" "1" </w:instrText>
            </w:r>
            <w:r w:rsidRPr="00E05C8C">
              <w:fldChar w:fldCharType="end"/>
            </w:r>
            <w:r w:rsidRPr="00E05C8C">
              <w:instrText xml:space="preserve">" "6" </w:instrText>
            </w:r>
            <w:r w:rsidRPr="00E05C8C">
              <w:fldChar w:fldCharType="end"/>
            </w:r>
            <w:r w:rsidRPr="00E05C8C">
              <w:instrText xml:space="preserve"> </w:instrText>
            </w:r>
            <w:r w:rsidRPr="00E05C8C">
              <w:fldChar w:fldCharType="separate"/>
            </w:r>
            <w:r w:rsidR="00C353B5">
              <w:rPr>
                <w:noProof/>
              </w:rPr>
              <w:instrText>1</w:instrText>
            </w:r>
            <w:r w:rsidRPr="00E05C8C">
              <w:fldChar w:fldCharType="end"/>
            </w:r>
            <w:r w:rsidRPr="00E05C8C">
              <w:instrText xml:space="preserve">" "" </w:instrText>
            </w:r>
            <w:r w:rsidRPr="00E05C8C">
              <w:fldChar w:fldCharType="separate"/>
            </w:r>
            <w:bookmarkStart w:id="7" w:name="_Caption5015"/>
            <w:bookmarkStart w:id="8" w:name="_Caption0148"/>
            <w:bookmarkStart w:id="9" w:name="_Toc19275557"/>
            <w:bookmarkStart w:id="10" w:name="_Toc19276167"/>
            <w:bookmarkStart w:id="11" w:name="_Toc19280166"/>
            <w:r w:rsidR="00C353B5">
              <w:rPr>
                <w:noProof/>
              </w:rPr>
              <w:t>1</w:t>
            </w:r>
            <w:bookmarkEnd w:id="7"/>
            <w:bookmarkEnd w:id="8"/>
            <w:r w:rsidRPr="00E05C8C">
              <w:fldChar w:fldCharType="end"/>
            </w:r>
            <w:r w:rsidRPr="00E05C8C">
              <w:tab/>
            </w:r>
            <w:r>
              <w:t>Terms of Reference</w:t>
            </w:r>
            <w:bookmarkEnd w:id="9"/>
            <w:bookmarkEnd w:id="10"/>
            <w:bookmarkEnd w:id="11"/>
          </w:p>
        </w:tc>
      </w:tr>
      <w:tr w:rsidR="00ED0E85" w14:paraId="4750CB35" w14:textId="77777777" w:rsidTr="00ED0E85">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9E8E5" w:themeFill="background2"/>
          </w:tcPr>
          <w:p w14:paraId="357E7A51" w14:textId="77777777" w:rsidR="00ED0E85" w:rsidRDefault="00ED0E85" w:rsidP="00ED0E85">
            <w:pPr>
              <w:pStyle w:val="BodyText"/>
            </w:pPr>
            <w:r>
              <w:t>The review will assess and provide recommendations on:</w:t>
            </w:r>
          </w:p>
          <w:p w14:paraId="50273C88" w14:textId="77777777" w:rsidR="00ED0E85" w:rsidRDefault="00ED0E85" w:rsidP="001F5383">
            <w:pPr>
              <w:pStyle w:val="ListNumber"/>
              <w:numPr>
                <w:ilvl w:val="0"/>
                <w:numId w:val="16"/>
              </w:numPr>
            </w:pPr>
            <w:r>
              <w:t xml:space="preserve">Whether the CBD Program’s objectives are clear, remain relevant and are being met. </w:t>
            </w:r>
          </w:p>
          <w:p w14:paraId="0C4A15B6" w14:textId="77777777" w:rsidR="00ED0E85" w:rsidRDefault="00ED0E85" w:rsidP="001F5383">
            <w:pPr>
              <w:pStyle w:val="ListNumber"/>
              <w:numPr>
                <w:ilvl w:val="0"/>
                <w:numId w:val="10"/>
              </w:numPr>
            </w:pPr>
            <w:r>
              <w:t xml:space="preserve">Whether the CBD Program is the most effective, appropriate and least-cost way to achieve energy efficiency outcomes including the benefits and costs imposed on industry. </w:t>
            </w:r>
          </w:p>
          <w:p w14:paraId="112F949A" w14:textId="77777777" w:rsidR="00ED0E85" w:rsidRDefault="00ED0E85" w:rsidP="001F5383">
            <w:pPr>
              <w:pStyle w:val="ListNumber"/>
              <w:numPr>
                <w:ilvl w:val="0"/>
                <w:numId w:val="10"/>
              </w:numPr>
            </w:pPr>
            <w:r>
              <w:t>The effectiveness of the Program in promoting energy efficiency and emissions abatement, both in its own right and in the context of the current framework of energy efficiency measures.</w:t>
            </w:r>
          </w:p>
          <w:p w14:paraId="6964953C" w14:textId="77777777" w:rsidR="00ED0E85" w:rsidRDefault="00ED0E85" w:rsidP="001F5383">
            <w:pPr>
              <w:pStyle w:val="ListNumber"/>
              <w:numPr>
                <w:ilvl w:val="0"/>
                <w:numId w:val="10"/>
              </w:numPr>
            </w:pPr>
            <w:r>
              <w:t>The case for expansion of the Program to other high energy-using classes of buildings including shopping centres, data centres, hotels (and apartment accommodation), and office tenancies, including the most appropriate form of disclosure in each sector and cost benefit analyses of the preferred options.</w:t>
            </w:r>
          </w:p>
          <w:p w14:paraId="52BE0EF7" w14:textId="77777777" w:rsidR="00ED0E85" w:rsidRDefault="00ED0E85" w:rsidP="001F5383">
            <w:pPr>
              <w:pStyle w:val="ListNumber"/>
              <w:numPr>
                <w:ilvl w:val="0"/>
                <w:numId w:val="10"/>
              </w:numPr>
            </w:pPr>
            <w:r>
              <w:t>The impact of changes made in response to the previous review, including lowering the mandatory disclosure threshold for commercial office buildings from 2000 square metres to 1000 square metres and the extension of the Tenancy Lighting Assessment to five years.</w:t>
            </w:r>
          </w:p>
          <w:p w14:paraId="6050F059" w14:textId="77777777" w:rsidR="00ED0E85" w:rsidRDefault="00ED0E85" w:rsidP="001F5383">
            <w:pPr>
              <w:pStyle w:val="ListNumber"/>
              <w:numPr>
                <w:ilvl w:val="0"/>
                <w:numId w:val="10"/>
              </w:numPr>
            </w:pPr>
            <w:r>
              <w:t>Whether operational elements of the Program are delivering the best outcomes for stakeholders and the Program’s objectives, including the merits of the Tenancy Lighting Assessment and whether it should be continued or improved, and the merits of requiring periodic ratings instead of ratings triggered by property being offered for sale or lease.</w:t>
            </w:r>
          </w:p>
          <w:p w14:paraId="1C215F46" w14:textId="77777777" w:rsidR="00ED0E85" w:rsidRPr="00BF2F67" w:rsidRDefault="00ED0E85" w:rsidP="001F5383">
            <w:pPr>
              <w:pStyle w:val="BodyText"/>
              <w:numPr>
                <w:ilvl w:val="0"/>
                <w:numId w:val="10"/>
              </w:numPr>
              <w:spacing w:before="70"/>
            </w:pPr>
            <w:r>
              <w:t>Any legislative or regulatory changes required to improve the existing Program.</w:t>
            </w:r>
          </w:p>
        </w:tc>
      </w:tr>
      <w:tr w:rsidR="00ED0E85" w14:paraId="22A6BA07" w14:textId="77777777" w:rsidTr="00ED0E85">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tcBorders>
              <w:bottom w:val="single" w:sz="6" w:space="0" w:color="9B917E" w:themeColor="accent4"/>
            </w:tcBorders>
            <w:shd w:val="clear" w:color="auto" w:fill="E9E8E5" w:themeFill="background2"/>
          </w:tcPr>
          <w:p w14:paraId="019094BD" w14:textId="77777777" w:rsidR="00ED0E85" w:rsidRDefault="00ED0E85" w:rsidP="00ED0E85"/>
        </w:tc>
      </w:tr>
    </w:tbl>
    <w:p w14:paraId="713B6E31" w14:textId="77777777" w:rsidR="00ED0E85" w:rsidRDefault="00ED0E85" w:rsidP="00ED0E85">
      <w:pPr>
        <w:pStyle w:val="Heading2"/>
        <w:numPr>
          <w:ilvl w:val="1"/>
          <w:numId w:val="5"/>
        </w:numPr>
      </w:pPr>
      <w:bookmarkStart w:id="12" w:name="_Toc19275483"/>
      <w:bookmarkStart w:id="13" w:name="_Toc19276093"/>
      <w:bookmarkStart w:id="14" w:name="_Toc19280092"/>
      <w:r>
        <w:t>Objectives of the CBD program</w:t>
      </w:r>
      <w:bookmarkEnd w:id="12"/>
      <w:bookmarkEnd w:id="13"/>
      <w:bookmarkEnd w:id="14"/>
    </w:p>
    <w:p w14:paraId="0FFF365E" w14:textId="77777777" w:rsidR="00ED0E85" w:rsidRDefault="00ED0E85" w:rsidP="00ED0E85">
      <w:pPr>
        <w:pStyle w:val="KeyPoint"/>
      </w:pPr>
      <w:r>
        <w:t>The objectives of the CBD are currently not clear, although the CBD Program has achieved all of the objectives stated in various documents.</w:t>
      </w:r>
    </w:p>
    <w:p w14:paraId="4CD566E0" w14:textId="77777777" w:rsidR="00ED0E85" w:rsidRDefault="00ED0E85" w:rsidP="00ED0E85">
      <w:pPr>
        <w:pStyle w:val="KeyPoint"/>
      </w:pPr>
      <w:r>
        <w:t>The objectives of the CBD Program should be aligned with the National Energy Productivity Plan.</w:t>
      </w:r>
    </w:p>
    <w:p w14:paraId="31D87817" w14:textId="77777777" w:rsidR="00ED0E85" w:rsidRDefault="00ED0E85" w:rsidP="00ED0E85">
      <w:pPr>
        <w:pStyle w:val="BodyText"/>
        <w:rPr>
          <w:lang w:bidi="fa-IR"/>
        </w:rPr>
      </w:pPr>
      <w:r>
        <w:rPr>
          <w:lang w:bidi="fa-IR"/>
        </w:rPr>
        <w:t>The objectives of the CBD Program are variously stated as to:</w:t>
      </w:r>
    </w:p>
    <w:p w14:paraId="5883E697" w14:textId="77777777" w:rsidR="00ED0E85" w:rsidRDefault="00ED0E85" w:rsidP="00ED0E85">
      <w:pPr>
        <w:pStyle w:val="ListBullet"/>
        <w:rPr>
          <w:lang w:bidi="fa-IR"/>
        </w:rPr>
      </w:pPr>
      <w:r>
        <w:rPr>
          <w:lang w:bidi="fa-IR"/>
        </w:rPr>
        <w:t>promote the disclosure of information about the energy efficiency of buildings (as stated in the Act)</w:t>
      </w:r>
    </w:p>
    <w:p w14:paraId="57321FB2" w14:textId="77777777" w:rsidR="00ED0E85" w:rsidRDefault="00ED0E85" w:rsidP="00ED0E85">
      <w:pPr>
        <w:pStyle w:val="ListBullet"/>
        <w:rPr>
          <w:lang w:bidi="fa-IR"/>
        </w:rPr>
      </w:pPr>
      <w:r>
        <w:rPr>
          <w:lang w:bidi="fa-IR"/>
        </w:rPr>
        <w:t>improve the energy efficiency of office buildings and to ensure prospective buyers and tenants are informed (as stated in the RIS for the BEED Act and on the CBD Program website), and</w:t>
      </w:r>
    </w:p>
    <w:p w14:paraId="38F6DEA2" w14:textId="77777777" w:rsidR="00ED0E85" w:rsidRDefault="00ED0E85" w:rsidP="00ED0E85">
      <w:pPr>
        <w:pStyle w:val="ListBullet"/>
        <w:rPr>
          <w:lang w:bidi="fa-IR"/>
        </w:rPr>
      </w:pPr>
      <w:r>
        <w:rPr>
          <w:lang w:bidi="fa-IR"/>
        </w:rPr>
        <w:t>facilitate a significant reduction in energy consumption and greenhouse gas emissions (as stated in the RIS for the recent changes to the CBD Program).</w:t>
      </w:r>
      <w:r>
        <w:rPr>
          <w:rStyle w:val="FootnoteReference"/>
          <w:lang w:bidi="fa-IR"/>
        </w:rPr>
        <w:footnoteReference w:id="1"/>
      </w:r>
    </w:p>
    <w:p w14:paraId="71C7C710" w14:textId="77777777" w:rsidR="00ED0E85" w:rsidRDefault="00ED0E85" w:rsidP="00ED0E85">
      <w:pPr>
        <w:pStyle w:val="BodyText"/>
        <w:rPr>
          <w:lang w:bidi="fa-IR"/>
        </w:rPr>
      </w:pPr>
      <w:r>
        <w:rPr>
          <w:lang w:bidi="fa-IR"/>
        </w:rPr>
        <w:t>The CBD Program has achieved all of the above objectives.</w:t>
      </w:r>
    </w:p>
    <w:p w14:paraId="182CA554" w14:textId="77777777" w:rsidR="00ED0E85" w:rsidRDefault="00ED0E85" w:rsidP="00ED0E85">
      <w:pPr>
        <w:pStyle w:val="BodyText"/>
        <w:rPr>
          <w:lang w:bidi="fa-IR"/>
        </w:rPr>
      </w:pPr>
      <w:r>
        <w:rPr>
          <w:lang w:bidi="fa-IR"/>
        </w:rPr>
        <w:t xml:space="preserve">The relevance of the CBS program’s objectives should reflect the overarching plan, the National Energy Productivity Plan (NEPP). The NEPP argues that the benefits of improved energy efficiency (or energy productivity) are to: </w:t>
      </w:r>
    </w:p>
    <w:p w14:paraId="03CF4C61" w14:textId="77777777" w:rsidR="00ED0E85" w:rsidRDefault="00ED0E85" w:rsidP="00ED0E85">
      <w:pPr>
        <w:pStyle w:val="ListBullet"/>
        <w:rPr>
          <w:lang w:bidi="fa-IR"/>
        </w:rPr>
      </w:pPr>
      <w:r>
        <w:rPr>
          <w:lang w:bidi="fa-IR"/>
        </w:rPr>
        <w:t>boost competitiveness and growth;</w:t>
      </w:r>
    </w:p>
    <w:p w14:paraId="42B1D5F1" w14:textId="77777777" w:rsidR="00ED0E85" w:rsidRDefault="00ED0E85" w:rsidP="00ED0E85">
      <w:pPr>
        <w:pStyle w:val="ListBullet"/>
        <w:rPr>
          <w:lang w:bidi="fa-IR"/>
        </w:rPr>
      </w:pPr>
      <w:r>
        <w:rPr>
          <w:lang w:bidi="fa-IR"/>
        </w:rPr>
        <w:t>help businesses manage their energy costs</w:t>
      </w:r>
    </w:p>
    <w:p w14:paraId="3B695AF0" w14:textId="77777777" w:rsidR="00ED0E85" w:rsidRDefault="00ED0E85" w:rsidP="00ED0E85">
      <w:pPr>
        <w:pStyle w:val="ListBullet"/>
        <w:rPr>
          <w:lang w:bidi="fa-IR"/>
        </w:rPr>
      </w:pPr>
      <w:r>
        <w:rPr>
          <w:lang w:bidi="fa-IR"/>
        </w:rPr>
        <w:t>reduce GHG emissions.</w:t>
      </w:r>
    </w:p>
    <w:p w14:paraId="53D2819A" w14:textId="77777777" w:rsidR="00ED0E85" w:rsidRDefault="00ED0E85" w:rsidP="00ED0E85">
      <w:pPr>
        <w:pStyle w:val="BodyText"/>
        <w:rPr>
          <w:lang w:bidi="fa-IR"/>
        </w:rPr>
      </w:pPr>
      <w:r>
        <w:rPr>
          <w:lang w:bidi="fa-IR"/>
        </w:rPr>
        <w:t xml:space="preserve">Given the lack of clear objectives for the program currently, the CBD program should develop objectives aligned to the NEPP, such as the objective below. </w:t>
      </w:r>
    </w:p>
    <w:p w14:paraId="4DC2D7AC" w14:textId="77777777" w:rsidR="00ED0E85" w:rsidRDefault="00ED0E85" w:rsidP="00ED0E85">
      <w:pPr>
        <w:pStyle w:val="Quote"/>
        <w:rPr>
          <w:lang w:bidi="fa-IR"/>
        </w:rPr>
      </w:pPr>
      <w:r>
        <w:rPr>
          <w:lang w:bidi="fa-IR"/>
        </w:rPr>
        <w:t>The objective of the CBD program is to facilitate improvement to the energy efficiency of commercial buildings on the basis that improved energy efficiency can:</w:t>
      </w:r>
    </w:p>
    <w:p w14:paraId="46D8BC72" w14:textId="77777777" w:rsidR="00ED0E85" w:rsidRDefault="00ED0E85" w:rsidP="001F5383">
      <w:pPr>
        <w:pStyle w:val="Quote"/>
        <w:numPr>
          <w:ilvl w:val="0"/>
          <w:numId w:val="21"/>
        </w:numPr>
        <w:rPr>
          <w:lang w:bidi="fa-IR"/>
        </w:rPr>
      </w:pPr>
      <w:r>
        <w:rPr>
          <w:lang w:bidi="fa-IR"/>
        </w:rPr>
        <w:t>reduce energy bills and overall costs for building owners and/or tenants</w:t>
      </w:r>
    </w:p>
    <w:p w14:paraId="03C24EE3" w14:textId="77777777" w:rsidR="00ED0E85" w:rsidRDefault="00ED0E85" w:rsidP="001F5383">
      <w:pPr>
        <w:pStyle w:val="Quote"/>
        <w:numPr>
          <w:ilvl w:val="0"/>
          <w:numId w:val="21"/>
        </w:numPr>
        <w:rPr>
          <w:lang w:bidi="fa-IR"/>
        </w:rPr>
      </w:pPr>
      <w:r>
        <w:rPr>
          <w:lang w:bidi="fa-IR"/>
        </w:rPr>
        <w:t>reduce GHG emissions.</w:t>
      </w:r>
    </w:p>
    <w:p w14:paraId="50591C67" w14:textId="77777777" w:rsidR="00ED0E85" w:rsidRDefault="00ED0E85" w:rsidP="00ED0E85">
      <w:pPr>
        <w:pStyle w:val="Heading2"/>
        <w:numPr>
          <w:ilvl w:val="1"/>
          <w:numId w:val="5"/>
        </w:numPr>
      </w:pPr>
      <w:bookmarkStart w:id="15" w:name="_Toc19275484"/>
      <w:bookmarkStart w:id="16" w:name="_Toc19276094"/>
      <w:bookmarkStart w:id="17" w:name="_Toc19280093"/>
      <w:r>
        <w:t>Effectiveness of the CBD Program</w:t>
      </w:r>
      <w:bookmarkEnd w:id="15"/>
      <w:bookmarkEnd w:id="16"/>
      <w:bookmarkEnd w:id="17"/>
    </w:p>
    <w:p w14:paraId="05A36F44" w14:textId="77777777" w:rsidR="00ED0E85" w:rsidRDefault="00ED0E85" w:rsidP="00ED0E85">
      <w:pPr>
        <w:pStyle w:val="KeyPoint"/>
      </w:pPr>
      <w:r>
        <w:t>The CBD Program has been effective in promoting energy efficiency and emissions abatement.</w:t>
      </w:r>
    </w:p>
    <w:p w14:paraId="69F040FE" w14:textId="77777777" w:rsidR="00ED0E85" w:rsidRDefault="00ED0E85" w:rsidP="00ED0E85">
      <w:pPr>
        <w:pStyle w:val="KeyPoint"/>
      </w:pPr>
      <w:r>
        <w:t>Under the CBD Program, building owners/managers make their own decisions on energy efficiency improvements. As such, there is a lower risk of building owners being forced to make energy efficiency improvements that are not cost</w:t>
      </w:r>
      <w:r>
        <w:noBreakHyphen/>
        <w:t xml:space="preserve">effective, compared with programs where higher levels of energy efficiency are mandated. </w:t>
      </w:r>
    </w:p>
    <w:p w14:paraId="40FA4071" w14:textId="77777777" w:rsidR="00ED0E85" w:rsidRDefault="00ED0E85" w:rsidP="00ED0E85">
      <w:pPr>
        <w:pStyle w:val="BodyText"/>
        <w:rPr>
          <w:lang w:bidi="fa-IR"/>
        </w:rPr>
      </w:pPr>
      <w:r>
        <w:rPr>
          <w:lang w:bidi="fa-IR"/>
        </w:rPr>
        <w:t>Average energy use for offices (base building) has declined over time from over 550 MJ/m</w:t>
      </w:r>
      <w:r w:rsidRPr="00F12928">
        <w:rPr>
          <w:vertAlign w:val="superscript"/>
          <w:lang w:bidi="fa-IR"/>
        </w:rPr>
        <w:t>2</w:t>
      </w:r>
      <w:r>
        <w:rPr>
          <w:lang w:bidi="fa-IR"/>
        </w:rPr>
        <w:t xml:space="preserve"> in 2010</w:t>
      </w:r>
      <w:r>
        <w:rPr>
          <w:lang w:bidi="fa-IR"/>
        </w:rPr>
        <w:noBreakHyphen/>
        <w:t>11 to 400 MJ/m</w:t>
      </w:r>
      <w:r w:rsidRPr="00F12928">
        <w:rPr>
          <w:vertAlign w:val="superscript"/>
          <w:lang w:bidi="fa-IR"/>
        </w:rPr>
        <w:t>2</w:t>
      </w:r>
      <w:r>
        <w:rPr>
          <w:lang w:bidi="fa-IR"/>
        </w:rPr>
        <w:t xml:space="preserve"> in 2018</w:t>
      </w:r>
      <w:r>
        <w:rPr>
          <w:lang w:bidi="fa-IR"/>
        </w:rPr>
        <w:noBreakHyphen/>
        <w:t xml:space="preserve">19. The CBD Program has made a significant contribution towards this improvement, </w:t>
      </w:r>
      <w:r>
        <w:t>primarily through encouraging building owners/managers to make operational changes and end of life capital upgrades (very few stakeholders have indicated that they would undertake major capex solely for improving their energy efficiency)</w:t>
      </w:r>
      <w:r>
        <w:rPr>
          <w:lang w:bidi="fa-IR"/>
        </w:rPr>
        <w:t>. We estimate that the CBD Program has:</w:t>
      </w:r>
    </w:p>
    <w:p w14:paraId="5B8705AB" w14:textId="77777777" w:rsidR="00ED0E85" w:rsidRDefault="00ED0E85" w:rsidP="00ED0E85">
      <w:pPr>
        <w:pStyle w:val="ListBullet"/>
        <w:rPr>
          <w:lang w:bidi="fa-IR"/>
        </w:rPr>
      </w:pPr>
      <w:r>
        <w:rPr>
          <w:lang w:bidi="fa-IR"/>
        </w:rPr>
        <w:t xml:space="preserve">reduced energy consumption by a cumulative </w:t>
      </w:r>
      <w:r w:rsidRPr="005F77BF">
        <w:rPr>
          <w:lang w:bidi="fa-IR"/>
        </w:rPr>
        <w:t>3 PJ to date</w:t>
      </w:r>
    </w:p>
    <w:p w14:paraId="65F14A0F" w14:textId="77777777" w:rsidR="00ED0E85" w:rsidRDefault="00ED0E85" w:rsidP="00ED0E85">
      <w:pPr>
        <w:pStyle w:val="ListBullet"/>
        <w:rPr>
          <w:lang w:bidi="fa-IR"/>
        </w:rPr>
      </w:pPr>
      <w:r w:rsidRPr="005F77BF">
        <w:rPr>
          <w:lang w:bidi="fa-IR"/>
        </w:rPr>
        <w:t>saved over $82.6 million in energy bills to date</w:t>
      </w:r>
      <w:r>
        <w:rPr>
          <w:lang w:bidi="fa-IR"/>
        </w:rPr>
        <w:t>, and</w:t>
      </w:r>
    </w:p>
    <w:p w14:paraId="74B31297" w14:textId="77777777" w:rsidR="00ED0E85" w:rsidRDefault="00ED0E85" w:rsidP="00ED0E85">
      <w:pPr>
        <w:pStyle w:val="ListBullet"/>
        <w:rPr>
          <w:lang w:bidi="fa-IR"/>
        </w:rPr>
      </w:pPr>
      <w:r w:rsidRPr="00CA57B1">
        <w:rPr>
          <w:lang w:bidi="fa-IR"/>
        </w:rPr>
        <w:t xml:space="preserve">reduced GHG </w:t>
      </w:r>
      <w:r w:rsidRPr="00E44630">
        <w:rPr>
          <w:lang w:bidi="fa-IR"/>
        </w:rPr>
        <w:t>emissions</w:t>
      </w:r>
      <w:r>
        <w:rPr>
          <w:lang w:bidi="fa-IR"/>
        </w:rPr>
        <w:t xml:space="preserve"> by around </w:t>
      </w:r>
      <w:r w:rsidRPr="00A92028">
        <w:t>600</w:t>
      </w:r>
      <w:r>
        <w:t> </w:t>
      </w:r>
      <w:r w:rsidRPr="00A92028">
        <w:t>000</w:t>
      </w:r>
      <w:r>
        <w:rPr>
          <w:lang w:bidi="fa-IR"/>
        </w:rPr>
        <w:t xml:space="preserve"> tonnes CO</w:t>
      </w:r>
      <w:r w:rsidRPr="00CA57B1">
        <w:rPr>
          <w:vertAlign w:val="subscript"/>
          <w:lang w:bidi="fa-IR"/>
        </w:rPr>
        <w:t>2-e</w:t>
      </w:r>
      <w:r>
        <w:rPr>
          <w:lang w:bidi="fa-IR"/>
        </w:rPr>
        <w:t xml:space="preserve"> to date (equivalent to the GHG emissions of more than 40 000 household for a year).</w:t>
      </w:r>
    </w:p>
    <w:p w14:paraId="14DD0F56" w14:textId="584D85C4" w:rsidR="00ED0E85" w:rsidRDefault="00ED0E85" w:rsidP="00ED0E85">
      <w:pPr>
        <w:pStyle w:val="BodyText"/>
        <w:rPr>
          <w:lang w:bidi="fa-IR"/>
        </w:rPr>
      </w:pPr>
      <w:r w:rsidRPr="005F77BF">
        <w:rPr>
          <w:lang w:bidi="fa-IR"/>
        </w:rPr>
        <w:t>After accounting for all</w:t>
      </w:r>
      <w:r>
        <w:rPr>
          <w:lang w:bidi="fa-IR"/>
        </w:rPr>
        <w:t xml:space="preserve"> the costs and benefits of achieving these energy savings, and including impacts from changes already made to buildings and that will occur over the next ten years, the net benefits of the program are estimated to be </w:t>
      </w:r>
      <w:r w:rsidRPr="00611AE1">
        <w:rPr>
          <w:lang w:bidi="fa-IR"/>
        </w:rPr>
        <w:t>$</w:t>
      </w:r>
      <w:r>
        <w:rPr>
          <w:lang w:bidi="fa-IR"/>
        </w:rPr>
        <w:t>86</w:t>
      </w:r>
      <w:r w:rsidRPr="00611AE1">
        <w:rPr>
          <w:lang w:bidi="fa-IR"/>
        </w:rPr>
        <w:t> million</w:t>
      </w:r>
      <w:r>
        <w:rPr>
          <w:lang w:bidi="fa-IR"/>
        </w:rPr>
        <w:t xml:space="preserve"> in net present value terms </w:t>
      </w:r>
      <w:r>
        <w:t>(table </w:t>
      </w:r>
      <w:r>
        <w:rPr>
          <w:noProof/>
        </w:rPr>
        <w:fldChar w:fldCharType="begin"/>
      </w:r>
      <w:r>
        <w:rPr>
          <w:noProof/>
        </w:rPr>
        <w:instrText xml:space="preserve"> REF _Caption2137 </w:instrText>
      </w:r>
      <w:r>
        <w:rPr>
          <w:noProof/>
        </w:rPr>
        <w:fldChar w:fldCharType="separate"/>
      </w:r>
      <w:r w:rsidR="00AD3561">
        <w:rPr>
          <w:noProof/>
        </w:rPr>
        <w:t>2</w:t>
      </w:r>
      <w:r>
        <w:rPr>
          <w:noProof/>
        </w:rPr>
        <w:fldChar w:fldCharType="end"/>
      </w:r>
      <w:r>
        <w:t>)</w:t>
      </w:r>
      <w:r w:rsidRPr="00611AE1">
        <w:rPr>
          <w:lang w:bidi="fa-IR"/>
        </w:rPr>
        <w:t>.</w:t>
      </w:r>
      <w:r>
        <w:rPr>
          <w:lang w:bidi="fa-IR"/>
        </w:rPr>
        <w:t xml:space="preserve"> This includes:</w:t>
      </w:r>
    </w:p>
    <w:p w14:paraId="7FA2200B" w14:textId="77777777" w:rsidR="00ED0E85" w:rsidRDefault="00ED0E85" w:rsidP="00ED0E85">
      <w:pPr>
        <w:pStyle w:val="ListBullet"/>
        <w:rPr>
          <w:lang w:bidi="fa-IR"/>
        </w:rPr>
      </w:pPr>
      <w:r>
        <w:rPr>
          <w:lang w:bidi="fa-IR"/>
        </w:rPr>
        <w:t>benefits to building owners/tenants, because savings in energy bills outweigh the costs of the improvements made</w:t>
      </w:r>
    </w:p>
    <w:p w14:paraId="09B442FB" w14:textId="77777777" w:rsidR="00ED0E85" w:rsidRDefault="00ED0E85" w:rsidP="00ED0E85">
      <w:pPr>
        <w:pStyle w:val="ListBullet"/>
        <w:rPr>
          <w:lang w:bidi="fa-IR"/>
        </w:rPr>
      </w:pPr>
      <w:r>
        <w:rPr>
          <w:lang w:bidi="fa-IR"/>
        </w:rPr>
        <w:t>community benefits from reduced GHG emissions.</w:t>
      </w:r>
    </w:p>
    <w:p w14:paraId="637A49C2" w14:textId="687E1248"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1</w:instrText>
      </w:r>
      <w:r>
        <w:rPr>
          <w:noProof/>
        </w:rPr>
        <w:fldChar w:fldCharType="end"/>
      </w:r>
      <w:r w:rsidRPr="00695C93">
        <w:instrText xml:space="preserve">." </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end"/>
      </w:r>
      <w:r w:rsidRPr="00695C93">
        <w:instrText xml:space="preserve"> </w:instrText>
      </w:r>
      <w:r w:rsidRPr="00695C93">
        <w:fldChar w:fldCharType="separate"/>
      </w:r>
      <w:r w:rsidR="00C353B5">
        <w:rPr>
          <w:noProof/>
        </w:rPr>
        <w:instrText>2</w:instrText>
      </w:r>
      <w:r w:rsidRPr="00695C93">
        <w:fldChar w:fldCharType="end"/>
      </w:r>
      <w:r w:rsidRPr="00695C93">
        <w:instrText xml:space="preserve">" "" </w:instrText>
      </w:r>
      <w:r w:rsidRPr="00695C93">
        <w:fldChar w:fldCharType="separate"/>
      </w:r>
      <w:bookmarkStart w:id="18" w:name="_Caption0853"/>
      <w:bookmarkStart w:id="19" w:name="_Caption4262"/>
      <w:bookmarkStart w:id="20" w:name="_Caption6702"/>
      <w:bookmarkStart w:id="21" w:name="_Caption9645"/>
      <w:bookmarkStart w:id="22" w:name="_Caption5034"/>
      <w:bookmarkStart w:id="23" w:name="_Caption7705"/>
      <w:bookmarkStart w:id="24" w:name="_Caption9246"/>
      <w:bookmarkStart w:id="25" w:name="_Caption2137"/>
      <w:bookmarkStart w:id="26" w:name="_Caption8168"/>
      <w:bookmarkStart w:id="27" w:name="_Toc19275558"/>
      <w:bookmarkStart w:id="28" w:name="_Toc19276168"/>
      <w:bookmarkStart w:id="29" w:name="_Toc19280167"/>
      <w:r w:rsidR="00C353B5">
        <w:rPr>
          <w:noProof/>
        </w:rPr>
        <w:t>2</w:t>
      </w:r>
      <w:bookmarkEnd w:id="18"/>
      <w:bookmarkEnd w:id="19"/>
      <w:bookmarkEnd w:id="20"/>
      <w:bookmarkEnd w:id="21"/>
      <w:bookmarkEnd w:id="22"/>
      <w:bookmarkEnd w:id="23"/>
      <w:bookmarkEnd w:id="24"/>
      <w:bookmarkEnd w:id="25"/>
      <w:bookmarkEnd w:id="26"/>
      <w:r w:rsidRPr="00695C93">
        <w:fldChar w:fldCharType="end"/>
      </w:r>
      <w:r w:rsidRPr="00695C93">
        <w:tab/>
      </w:r>
      <w:r>
        <w:t>CBD Program — cost-benefit analysis</w:t>
      </w:r>
      <w:bookmarkEnd w:id="27"/>
      <w:bookmarkEnd w:id="28"/>
      <w:bookmarkEnd w:id="29"/>
    </w:p>
    <w:tbl>
      <w:tblPr>
        <w:tblW w:w="7938" w:type="dxa"/>
        <w:tblLayout w:type="fixed"/>
        <w:tblLook w:val="0000" w:firstRow="0" w:lastRow="0" w:firstColumn="0" w:lastColumn="0" w:noHBand="0" w:noVBand="0"/>
      </w:tblPr>
      <w:tblGrid>
        <w:gridCol w:w="3208"/>
        <w:gridCol w:w="4730"/>
      </w:tblGrid>
      <w:tr w:rsidR="00ED0E85" w14:paraId="1F9BF678" w14:textId="77777777" w:rsidTr="001540E1">
        <w:trPr>
          <w:trHeight w:val="691"/>
          <w:tblHeader/>
        </w:trPr>
        <w:tc>
          <w:tcPr>
            <w:tcW w:w="3492" w:type="dxa"/>
            <w:shd w:val="clear" w:color="auto" w:fill="6F6652"/>
            <w:tcMar>
              <w:left w:w="57" w:type="dxa"/>
              <w:right w:w="57" w:type="dxa"/>
            </w:tcMar>
          </w:tcPr>
          <w:p w14:paraId="656C889E" w14:textId="77777777" w:rsidR="00ED0E85" w:rsidRDefault="00ED0E85" w:rsidP="00ED0E85">
            <w:pPr>
              <w:pStyle w:val="TableDataColumnHeading"/>
              <w:jc w:val="left"/>
              <w:rPr>
                <w:lang w:val="en-GB"/>
              </w:rPr>
            </w:pPr>
          </w:p>
        </w:tc>
        <w:tc>
          <w:tcPr>
            <w:tcW w:w="5155" w:type="dxa"/>
            <w:shd w:val="clear" w:color="auto" w:fill="6F6652"/>
            <w:tcMar>
              <w:left w:w="57" w:type="dxa"/>
              <w:right w:w="57" w:type="dxa"/>
            </w:tcMar>
          </w:tcPr>
          <w:p w14:paraId="0FC1F9E1" w14:textId="77777777" w:rsidR="00ED0E85" w:rsidRDefault="00ED0E85" w:rsidP="00ED0E85">
            <w:pPr>
              <w:pStyle w:val="TableDataColumnHeading"/>
              <w:rPr>
                <w:lang w:val="en-GB"/>
              </w:rPr>
            </w:pPr>
            <w:r>
              <w:rPr>
                <w:lang w:val="en-GB"/>
              </w:rPr>
              <w:t>Total impacts</w:t>
            </w:r>
          </w:p>
        </w:tc>
      </w:tr>
      <w:tr w:rsidR="00ED0E85" w14:paraId="7041A0E5" w14:textId="77777777" w:rsidTr="001540E1">
        <w:trPr>
          <w:trHeight w:val="230"/>
          <w:tblHeader/>
        </w:trPr>
        <w:tc>
          <w:tcPr>
            <w:tcW w:w="3492" w:type="dxa"/>
            <w:tcBorders>
              <w:bottom w:val="single" w:sz="8" w:space="0" w:color="FFFFFF" w:themeColor="background1"/>
            </w:tcBorders>
            <w:shd w:val="clear" w:color="auto" w:fill="auto"/>
            <w:tcMar>
              <w:left w:w="57" w:type="dxa"/>
              <w:right w:w="57" w:type="dxa"/>
            </w:tcMar>
          </w:tcPr>
          <w:p w14:paraId="3D4B293E" w14:textId="77777777" w:rsidR="00ED0E85" w:rsidRDefault="00ED0E85" w:rsidP="00ED0E85">
            <w:pPr>
              <w:pStyle w:val="TableUnit"/>
              <w:jc w:val="left"/>
              <w:rPr>
                <w:lang w:val="en-GB"/>
              </w:rPr>
            </w:pPr>
          </w:p>
        </w:tc>
        <w:tc>
          <w:tcPr>
            <w:tcW w:w="5155" w:type="dxa"/>
            <w:tcBorders>
              <w:bottom w:val="single" w:sz="8" w:space="0" w:color="FFFFFF" w:themeColor="background1"/>
            </w:tcBorders>
            <w:shd w:val="clear" w:color="auto" w:fill="auto"/>
            <w:tcMar>
              <w:left w:w="57" w:type="dxa"/>
              <w:right w:w="57" w:type="dxa"/>
            </w:tcMar>
          </w:tcPr>
          <w:p w14:paraId="077A0C97" w14:textId="77777777" w:rsidR="00ED0E85" w:rsidRDefault="00ED0E85" w:rsidP="00ED0E85">
            <w:pPr>
              <w:pStyle w:val="TableUnit"/>
              <w:rPr>
                <w:lang w:val="en-GB"/>
              </w:rPr>
            </w:pPr>
            <w:r>
              <w:rPr>
                <w:lang w:val="en-GB"/>
              </w:rPr>
              <w:t>$ million</w:t>
            </w:r>
          </w:p>
        </w:tc>
      </w:tr>
      <w:tr w:rsidR="00ED0E85" w14:paraId="03DE8B7F" w14:textId="77777777" w:rsidTr="001540E1">
        <w:trPr>
          <w:trHeight w:val="230"/>
        </w:trPr>
        <w:tc>
          <w:tcPr>
            <w:tcW w:w="349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0C65932" w14:textId="77777777" w:rsidR="00ED0E85" w:rsidRDefault="00ED0E85" w:rsidP="00ED0E85">
            <w:pPr>
              <w:pStyle w:val="TableHeading1"/>
              <w:rPr>
                <w:lang w:val="en-GB"/>
              </w:rPr>
            </w:pPr>
            <w:r>
              <w:rPr>
                <w:lang w:val="en-GB"/>
              </w:rPr>
              <w:t>Private benefits/costs</w:t>
            </w:r>
          </w:p>
        </w:tc>
        <w:tc>
          <w:tcPr>
            <w:tcW w:w="515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4588B22" w14:textId="77777777" w:rsidR="00ED0E85" w:rsidRDefault="00ED0E85" w:rsidP="00ED0E85">
            <w:pPr>
              <w:pStyle w:val="TableHeading1"/>
              <w:rPr>
                <w:lang w:val="en-GB"/>
              </w:rPr>
            </w:pPr>
          </w:p>
        </w:tc>
      </w:tr>
      <w:tr w:rsidR="00ED0E85" w14:paraId="2B858483" w14:textId="77777777" w:rsidTr="001540E1">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9A293C" w14:textId="77777777" w:rsidR="00ED0E85" w:rsidRDefault="00ED0E85" w:rsidP="00ED0E85">
            <w:pPr>
              <w:pStyle w:val="TableDataEntries"/>
              <w:jc w:val="left"/>
              <w:rPr>
                <w:lang w:val="en-GB"/>
              </w:rPr>
            </w:pPr>
            <w:r>
              <w:rPr>
                <w:lang w:val="en-GB"/>
              </w:rPr>
              <w:t xml:space="preserve">  Electricity savings</w:t>
            </w:r>
          </w:p>
        </w:tc>
        <w:tc>
          <w:tcPr>
            <w:tcW w:w="515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42C88B6" w14:textId="77777777" w:rsidR="00ED0E85" w:rsidRDefault="00ED0E85" w:rsidP="00ED0E85">
            <w:pPr>
              <w:pStyle w:val="TableDataEntries"/>
              <w:rPr>
                <w:lang w:val="en-GB"/>
              </w:rPr>
            </w:pPr>
            <w:r>
              <w:t xml:space="preserve"> 90</w:t>
            </w:r>
          </w:p>
        </w:tc>
      </w:tr>
      <w:tr w:rsidR="00ED0E85" w14:paraId="7538E20E" w14:textId="77777777" w:rsidTr="001540E1">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3959A0" w14:textId="77777777" w:rsidR="00ED0E85" w:rsidRDefault="00ED0E85" w:rsidP="00ED0E85">
            <w:pPr>
              <w:pStyle w:val="TableDataEntries"/>
              <w:jc w:val="left"/>
              <w:rPr>
                <w:lang w:val="en-GB"/>
              </w:rPr>
            </w:pPr>
            <w:r>
              <w:rPr>
                <w:lang w:val="en-GB"/>
              </w:rPr>
              <w:t xml:space="preserve">  Gas savings</w:t>
            </w:r>
          </w:p>
        </w:tc>
        <w:tc>
          <w:tcPr>
            <w:tcW w:w="515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F302643" w14:textId="77777777" w:rsidR="00ED0E85" w:rsidRDefault="00ED0E85" w:rsidP="00ED0E85">
            <w:pPr>
              <w:pStyle w:val="TableDataEntries"/>
              <w:rPr>
                <w:lang w:val="en-GB"/>
              </w:rPr>
            </w:pPr>
            <w:r>
              <w:t xml:space="preserve"> 49</w:t>
            </w:r>
          </w:p>
        </w:tc>
      </w:tr>
      <w:tr w:rsidR="00ED0E85" w14:paraId="07728BB9" w14:textId="77777777" w:rsidTr="001540E1">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452DE5" w14:textId="77777777" w:rsidR="00ED0E85" w:rsidRDefault="00ED0E85" w:rsidP="00ED0E85">
            <w:pPr>
              <w:pStyle w:val="TableDataEntries"/>
              <w:jc w:val="left"/>
              <w:rPr>
                <w:lang w:val="en-GB"/>
              </w:rPr>
            </w:pPr>
            <w:r>
              <w:rPr>
                <w:lang w:val="en-GB"/>
              </w:rPr>
              <w:t xml:space="preserve">  Upgrade costs</w:t>
            </w:r>
          </w:p>
        </w:tc>
        <w:tc>
          <w:tcPr>
            <w:tcW w:w="515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2FE78F1" w14:textId="77777777" w:rsidR="00ED0E85" w:rsidRDefault="00ED0E85" w:rsidP="00ED0E85">
            <w:pPr>
              <w:pStyle w:val="TableDataEntries"/>
              <w:rPr>
                <w:lang w:val="en-GB"/>
              </w:rPr>
            </w:pPr>
            <w:r>
              <w:t>- 68</w:t>
            </w:r>
          </w:p>
        </w:tc>
      </w:tr>
      <w:tr w:rsidR="00ED0E85" w14:paraId="3940CE9E" w14:textId="77777777" w:rsidTr="001540E1">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66E756" w14:textId="77777777" w:rsidR="00ED0E85" w:rsidRDefault="00ED0E85" w:rsidP="00ED0E85">
            <w:pPr>
              <w:pStyle w:val="TableDataEntries"/>
              <w:jc w:val="left"/>
              <w:rPr>
                <w:lang w:val="en-GB"/>
              </w:rPr>
            </w:pPr>
            <w:r>
              <w:rPr>
                <w:lang w:val="en-GB"/>
              </w:rPr>
              <w:t xml:space="preserve">  Compliance costs - NABERS ratings</w:t>
            </w:r>
          </w:p>
        </w:tc>
        <w:tc>
          <w:tcPr>
            <w:tcW w:w="515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6C5B1C0" w14:textId="77777777" w:rsidR="00ED0E85" w:rsidRDefault="00ED0E85" w:rsidP="00ED0E85">
            <w:pPr>
              <w:pStyle w:val="TableDataEntries"/>
              <w:rPr>
                <w:lang w:val="en-GB"/>
              </w:rPr>
            </w:pPr>
            <w:r>
              <w:t>- 29</w:t>
            </w:r>
          </w:p>
        </w:tc>
      </w:tr>
      <w:tr w:rsidR="00ED0E85" w14:paraId="1A7F8172" w14:textId="77777777" w:rsidTr="001540E1">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436243" w14:textId="77777777" w:rsidR="00ED0E85" w:rsidRDefault="00ED0E85" w:rsidP="00ED0E85">
            <w:pPr>
              <w:pStyle w:val="TableDataEntries"/>
              <w:jc w:val="left"/>
              <w:rPr>
                <w:lang w:val="en-GB"/>
              </w:rPr>
            </w:pPr>
            <w:r>
              <w:rPr>
                <w:lang w:val="en-GB"/>
              </w:rPr>
              <w:t xml:space="preserve">  Compliance costs - TLAs</w:t>
            </w:r>
          </w:p>
        </w:tc>
        <w:tc>
          <w:tcPr>
            <w:tcW w:w="515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21D562A" w14:textId="77777777" w:rsidR="00ED0E85" w:rsidRDefault="00ED0E85" w:rsidP="00ED0E85">
            <w:pPr>
              <w:pStyle w:val="TableDataEntries"/>
              <w:rPr>
                <w:lang w:val="en-GB"/>
              </w:rPr>
            </w:pPr>
            <w:r>
              <w:t>- 8</w:t>
            </w:r>
          </w:p>
        </w:tc>
      </w:tr>
      <w:tr w:rsidR="00ED0E85" w:rsidRPr="001A40D0" w14:paraId="716B9535" w14:textId="77777777" w:rsidTr="001540E1">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95B361" w14:textId="77777777" w:rsidR="00ED0E85" w:rsidRPr="005A3146" w:rsidRDefault="00ED0E85" w:rsidP="00ED0E85">
            <w:pPr>
              <w:pStyle w:val="TableDataEntries"/>
              <w:jc w:val="left"/>
              <w:rPr>
                <w:rFonts w:ascii="Franklin Gothic Demi" w:hAnsi="Franklin Gothic Demi"/>
                <w:lang w:val="en-GB"/>
              </w:rPr>
            </w:pPr>
            <w:r w:rsidRPr="005A3146">
              <w:rPr>
                <w:rFonts w:ascii="Franklin Gothic Demi" w:hAnsi="Franklin Gothic Demi"/>
                <w:lang w:val="en-GB"/>
              </w:rPr>
              <w:t>Net private benefits/costs</w:t>
            </w:r>
          </w:p>
        </w:tc>
        <w:tc>
          <w:tcPr>
            <w:tcW w:w="515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20F5639" w14:textId="77777777" w:rsidR="00ED0E85" w:rsidRPr="005A3146" w:rsidRDefault="00ED0E85" w:rsidP="00ED0E85">
            <w:pPr>
              <w:pStyle w:val="TableDataEntries"/>
              <w:rPr>
                <w:rFonts w:ascii="Franklin Gothic Demi" w:hAnsi="Franklin Gothic Demi"/>
                <w:lang w:val="en-GB"/>
              </w:rPr>
            </w:pPr>
            <w:r w:rsidRPr="005A3146">
              <w:rPr>
                <w:rFonts w:ascii="Franklin Gothic Demi" w:hAnsi="Franklin Gothic Demi"/>
              </w:rPr>
              <w:t xml:space="preserve"> 3</w:t>
            </w:r>
            <w:r>
              <w:rPr>
                <w:rFonts w:ascii="Franklin Gothic Demi" w:hAnsi="Franklin Gothic Demi"/>
              </w:rPr>
              <w:t>4</w:t>
            </w:r>
          </w:p>
        </w:tc>
      </w:tr>
      <w:tr w:rsidR="00ED0E85" w14:paraId="6299043E" w14:textId="77777777" w:rsidTr="001540E1">
        <w:trPr>
          <w:trHeight w:val="230"/>
        </w:trPr>
        <w:tc>
          <w:tcPr>
            <w:tcW w:w="349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747FD8D" w14:textId="77777777" w:rsidR="00ED0E85" w:rsidRDefault="00ED0E85" w:rsidP="00ED0E85">
            <w:pPr>
              <w:pStyle w:val="TableHeading1"/>
              <w:rPr>
                <w:lang w:val="en-GB"/>
              </w:rPr>
            </w:pPr>
            <w:r>
              <w:rPr>
                <w:lang w:val="en-GB"/>
              </w:rPr>
              <w:t>Other benefits/costs</w:t>
            </w:r>
          </w:p>
        </w:tc>
        <w:tc>
          <w:tcPr>
            <w:tcW w:w="515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2FD6E842" w14:textId="77777777" w:rsidR="00ED0E85" w:rsidRDefault="00ED0E85" w:rsidP="00ED0E85">
            <w:pPr>
              <w:pStyle w:val="TableDataEntries"/>
              <w:rPr>
                <w:lang w:val="en-GB"/>
              </w:rPr>
            </w:pPr>
          </w:p>
        </w:tc>
      </w:tr>
      <w:tr w:rsidR="00ED0E85" w14:paraId="21B60C6D" w14:textId="77777777" w:rsidTr="001540E1">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449751" w14:textId="77777777" w:rsidR="00ED0E85" w:rsidRDefault="00ED0E85" w:rsidP="00ED0E85">
            <w:pPr>
              <w:pStyle w:val="TableDataEntries"/>
              <w:jc w:val="left"/>
              <w:rPr>
                <w:lang w:val="en-GB"/>
              </w:rPr>
            </w:pPr>
            <w:r>
              <w:rPr>
                <w:lang w:val="en-GB"/>
              </w:rPr>
              <w:t xml:space="preserve">  GHG emissions </w:t>
            </w:r>
          </w:p>
        </w:tc>
        <w:tc>
          <w:tcPr>
            <w:tcW w:w="515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96DBB45" w14:textId="77777777" w:rsidR="00ED0E85" w:rsidRDefault="00ED0E85" w:rsidP="00ED0E85">
            <w:pPr>
              <w:pStyle w:val="TableDataEntries"/>
              <w:rPr>
                <w:lang w:val="en-GB"/>
              </w:rPr>
            </w:pPr>
            <w:r>
              <w:t xml:space="preserve"> 65</w:t>
            </w:r>
          </w:p>
        </w:tc>
      </w:tr>
      <w:tr w:rsidR="00ED0E85" w14:paraId="1A5FA66A" w14:textId="77777777" w:rsidTr="001540E1">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077A94" w14:textId="77777777" w:rsidR="00ED0E85" w:rsidRDefault="00ED0E85" w:rsidP="00ED0E85">
            <w:pPr>
              <w:pStyle w:val="TableDataEntries"/>
              <w:jc w:val="left"/>
              <w:rPr>
                <w:lang w:val="en-GB"/>
              </w:rPr>
            </w:pPr>
            <w:r>
              <w:rPr>
                <w:lang w:val="en-GB"/>
              </w:rPr>
              <w:t xml:space="preserve">  Government costs</w:t>
            </w:r>
          </w:p>
        </w:tc>
        <w:tc>
          <w:tcPr>
            <w:tcW w:w="515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9F65676" w14:textId="77777777" w:rsidR="00ED0E85" w:rsidRDefault="00ED0E85" w:rsidP="00ED0E85">
            <w:pPr>
              <w:pStyle w:val="TableDataEntries"/>
              <w:rPr>
                <w:lang w:val="en-GB"/>
              </w:rPr>
            </w:pPr>
            <w:r>
              <w:t>- 12</w:t>
            </w:r>
          </w:p>
        </w:tc>
      </w:tr>
      <w:tr w:rsidR="00ED0E85" w:rsidRPr="001A40D0" w14:paraId="62FD7DBE" w14:textId="77777777" w:rsidTr="001540E1">
        <w:trPr>
          <w:trHeight w:val="230"/>
        </w:trPr>
        <w:tc>
          <w:tcPr>
            <w:tcW w:w="349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27FF72A" w14:textId="77777777" w:rsidR="00ED0E85" w:rsidRPr="005A3146" w:rsidRDefault="00ED0E85" w:rsidP="00ED0E85">
            <w:pPr>
              <w:pStyle w:val="TableDataEntries"/>
              <w:jc w:val="left"/>
              <w:rPr>
                <w:rFonts w:ascii="Franklin Gothic Demi" w:hAnsi="Franklin Gothic Demi"/>
                <w:lang w:val="en-GB"/>
              </w:rPr>
            </w:pPr>
            <w:r w:rsidRPr="005A3146">
              <w:rPr>
                <w:rFonts w:ascii="Franklin Gothic Demi" w:hAnsi="Franklin Gothic Demi"/>
                <w:lang w:val="en-GB"/>
              </w:rPr>
              <w:t>Total net benefit/cost</w:t>
            </w:r>
          </w:p>
        </w:tc>
        <w:tc>
          <w:tcPr>
            <w:tcW w:w="5155"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6239EB1C" w14:textId="77777777" w:rsidR="00ED0E85" w:rsidRPr="005A3146" w:rsidRDefault="00ED0E85" w:rsidP="00ED0E85">
            <w:pPr>
              <w:pStyle w:val="TableDataEntries"/>
              <w:rPr>
                <w:rFonts w:ascii="Franklin Gothic Demi" w:hAnsi="Franklin Gothic Demi"/>
                <w:lang w:val="en-GB"/>
              </w:rPr>
            </w:pPr>
            <w:r w:rsidRPr="005A3146">
              <w:rPr>
                <w:rFonts w:ascii="Franklin Gothic Demi" w:hAnsi="Franklin Gothic Demi"/>
              </w:rPr>
              <w:t xml:space="preserve"> 8</w:t>
            </w:r>
            <w:r>
              <w:rPr>
                <w:rFonts w:ascii="Franklin Gothic Demi" w:hAnsi="Franklin Gothic Demi"/>
              </w:rPr>
              <w:t>7</w:t>
            </w:r>
          </w:p>
        </w:tc>
      </w:tr>
    </w:tbl>
    <w:p w14:paraId="31CDC36E" w14:textId="77777777" w:rsidR="00ED0E85" w:rsidRDefault="00ED0E85" w:rsidP="00ED0E85">
      <w:pPr>
        <w:pStyle w:val="Note"/>
      </w:pPr>
      <w:r w:rsidRPr="007D1B4F">
        <w:rPr>
          <w:i/>
        </w:rPr>
        <w:t>Note:</w:t>
      </w:r>
      <w:r w:rsidRPr="00E879B8">
        <w:t xml:space="preserve"> </w:t>
      </w:r>
      <w:r>
        <w:t>Costs and benefits are presented in present value terms over the period from where the CBD Program commenced in 2010</w:t>
      </w:r>
      <w:r>
        <w:noBreakHyphen/>
        <w:t>11 to 2018</w:t>
      </w:r>
      <w:r>
        <w:noBreakHyphen/>
        <w:t>19. As the energy efficiency upgrades made over this period will continue to deliver benefits into the future, energy saving benefits have been extended for an additional ten years.</w:t>
      </w:r>
    </w:p>
    <w:p w14:paraId="3DCF31E5" w14:textId="77777777" w:rsidR="00ED0E85" w:rsidRDefault="00ED0E85" w:rsidP="00ED0E85">
      <w:pPr>
        <w:pStyle w:val="Source"/>
      </w:pPr>
      <w:r>
        <w:rPr>
          <w:i/>
        </w:rPr>
        <w:t>Source</w:t>
      </w:r>
      <w:r w:rsidRPr="00E4232C">
        <w:rPr>
          <w:i/>
        </w:rPr>
        <w:t>:</w:t>
      </w:r>
      <w:r>
        <w:t xml:space="preserve"> CIE estimates (see chapter for further details).</w:t>
      </w:r>
    </w:p>
    <w:p w14:paraId="50B9FD5A" w14:textId="77777777" w:rsidR="00ED0E85" w:rsidRDefault="00ED0E85" w:rsidP="00ED0E85">
      <w:pPr>
        <w:pStyle w:val="BodyText"/>
        <w:rPr>
          <w:lang w:bidi="fa-IR"/>
        </w:rPr>
      </w:pPr>
      <w:r>
        <w:rPr>
          <w:lang w:bidi="fa-IR"/>
        </w:rPr>
        <w:t>These benefits are expected to increase over time. Under a ‘business as usual’ scenario, we estimate that the net benefits of the CBD Program will increase to $217.2 million by 2030.</w:t>
      </w:r>
    </w:p>
    <w:p w14:paraId="0A393366" w14:textId="77777777" w:rsidR="00ED0E85" w:rsidRDefault="00ED0E85" w:rsidP="00ED0E85">
      <w:pPr>
        <w:pStyle w:val="BodyText"/>
        <w:rPr>
          <w:lang w:bidi="fa-IR"/>
        </w:rPr>
      </w:pPr>
      <w:r>
        <w:rPr>
          <w:lang w:bidi="fa-IR"/>
        </w:rPr>
        <w:t>The CBD Program has achieved these gains because poorly performing offices have substantially lifted their performance, and because of demand from tenants including government tenants for high NABERS energy rated buildings. More specifically, the program has:</w:t>
      </w:r>
    </w:p>
    <w:p w14:paraId="4F759164" w14:textId="77777777" w:rsidR="00ED0E85" w:rsidRDefault="00ED0E85" w:rsidP="00ED0E85">
      <w:pPr>
        <w:pStyle w:val="ListBullet"/>
        <w:rPr>
          <w:lang w:bidi="fa-IR"/>
        </w:rPr>
      </w:pPr>
      <w:r>
        <w:rPr>
          <w:lang w:bidi="fa-IR"/>
        </w:rPr>
        <w:t>highlighted poor performance for building owners, which has pushed them to make changes</w:t>
      </w:r>
    </w:p>
    <w:p w14:paraId="6C579227" w14:textId="77777777" w:rsidR="00ED0E85" w:rsidRDefault="00ED0E85" w:rsidP="00ED0E85">
      <w:pPr>
        <w:pStyle w:val="ListBullet"/>
        <w:rPr>
          <w:lang w:bidi="fa-IR"/>
        </w:rPr>
      </w:pPr>
      <w:r>
        <w:rPr>
          <w:lang w:bidi="fa-IR"/>
        </w:rPr>
        <w:t xml:space="preserve">assisted corporate social responsibility objectives around reducing energy use and environmental footprint, thereby allowing tenants to choose more efficient buildings. </w:t>
      </w:r>
    </w:p>
    <w:p w14:paraId="768EC06D" w14:textId="77777777" w:rsidR="00ED0E85" w:rsidRDefault="00ED0E85" w:rsidP="00ED0E85">
      <w:pPr>
        <w:pStyle w:val="BodyText"/>
        <w:rPr>
          <w:lang w:bidi="fa-IR"/>
        </w:rPr>
      </w:pPr>
      <w:r>
        <w:rPr>
          <w:lang w:bidi="fa-IR"/>
        </w:rPr>
        <w:t>The CBD Program has achieved these gains through relatively light touch regulation — the mandatory provision of information. There is no regulatory requirement for building owners/managers to improve energy efficiency. Rather, the CBD Program works by encouraging building owners/managers to make their own decision to improve energy efficiency (the outcome) by overcoming some of the market and behavioural failures that may be barriers to improved energy efficiency. Because building owners/managers make their own decision on what energy efficient improvements to undertake, there is a lower risk of regulatory failures — such as where the costs of an energy efficient improvement outweigh the energy saving benefits for some or all buildings.</w:t>
      </w:r>
    </w:p>
    <w:p w14:paraId="5D7902EB" w14:textId="77777777" w:rsidR="00ED0E85" w:rsidRDefault="00ED0E85" w:rsidP="00ED0E85">
      <w:pPr>
        <w:pStyle w:val="Heading2"/>
        <w:numPr>
          <w:ilvl w:val="1"/>
          <w:numId w:val="5"/>
        </w:numPr>
      </w:pPr>
      <w:bookmarkStart w:id="30" w:name="_Toc19275485"/>
      <w:bookmarkStart w:id="31" w:name="_Toc19276095"/>
      <w:bookmarkStart w:id="32" w:name="_Toc19280094"/>
      <w:r>
        <w:t>Impact of previous changes to the program</w:t>
      </w:r>
      <w:bookmarkEnd w:id="30"/>
      <w:bookmarkEnd w:id="31"/>
      <w:bookmarkEnd w:id="32"/>
    </w:p>
    <w:p w14:paraId="0671CBD0" w14:textId="77777777" w:rsidR="00ED0E85" w:rsidRDefault="00ED0E85" w:rsidP="00ED0E85">
      <w:pPr>
        <w:pStyle w:val="KeyPoint"/>
      </w:pPr>
      <w:r>
        <w:t>As the recent changes to the CBD Program in response to a previous review commenced only around two years ago, they have had limited impact to date.</w:t>
      </w:r>
    </w:p>
    <w:p w14:paraId="56A4A741" w14:textId="77777777" w:rsidR="00ED0E85" w:rsidRDefault="00ED0E85" w:rsidP="00ED0E85">
      <w:pPr>
        <w:pStyle w:val="KeyPoint"/>
      </w:pPr>
      <w:r>
        <w:t>However, we expect that these changes will deliver modest net benefits over time.</w:t>
      </w:r>
    </w:p>
    <w:p w14:paraId="05B14767" w14:textId="77777777" w:rsidR="00ED0E85" w:rsidRDefault="00ED0E85" w:rsidP="00ED0E85">
      <w:pPr>
        <w:pStyle w:val="BodyText"/>
      </w:pPr>
      <w:r>
        <w:t>Following the previous review of the CBD Program, the following changes were made to the CBD Program effective from 1 July 2017:</w:t>
      </w:r>
    </w:p>
    <w:p w14:paraId="7D0CE546" w14:textId="77777777" w:rsidR="00ED0E85" w:rsidRDefault="00ED0E85" w:rsidP="00ED0E85">
      <w:pPr>
        <w:pStyle w:val="ListBullet"/>
      </w:pPr>
      <w:r>
        <w:t>the threshold was reduced from 2000 m</w:t>
      </w:r>
      <w:r w:rsidRPr="00DF537B">
        <w:rPr>
          <w:vertAlign w:val="superscript"/>
        </w:rPr>
        <w:t>2</w:t>
      </w:r>
      <w:r>
        <w:t xml:space="preserve"> to 1000 m</w:t>
      </w:r>
      <w:r w:rsidRPr="00DF537B">
        <w:rPr>
          <w:vertAlign w:val="superscript"/>
        </w:rPr>
        <w:t>2</w:t>
      </w:r>
      <w:r>
        <w:t xml:space="preserve"> </w:t>
      </w:r>
    </w:p>
    <w:p w14:paraId="72C4AABC" w14:textId="77777777" w:rsidR="00ED0E85" w:rsidRDefault="00ED0E85" w:rsidP="00ED0E85">
      <w:pPr>
        <w:pStyle w:val="ListBullet"/>
      </w:pPr>
      <w:r>
        <w:t>the requirement for a TLA was reduced from every year to every five years.</w:t>
      </w:r>
    </w:p>
    <w:p w14:paraId="7DD6D552" w14:textId="77777777" w:rsidR="00ED0E85" w:rsidRDefault="00ED0E85" w:rsidP="00ED0E85">
      <w:pPr>
        <w:pStyle w:val="BodyText"/>
      </w:pPr>
      <w:r>
        <w:t>As these changes were made only around 2 years ago, the additional buildings covered by the CBD Program have had limited opportunity to improve their energy performance.</w:t>
      </w:r>
    </w:p>
    <w:p w14:paraId="35C2A1B4" w14:textId="77777777" w:rsidR="00ED0E85" w:rsidRDefault="00ED0E85" w:rsidP="00ED0E85">
      <w:pPr>
        <w:pStyle w:val="BodyText"/>
      </w:pPr>
      <w:r>
        <w:t>However, under a ‘business as usual’ scenario, we estimate that the changes made in 2017 would deliver a net benefit to the community of around $4.17 million in net present value terms (using a discount rate of 7 per cent) by 2030.</w:t>
      </w:r>
    </w:p>
    <w:p w14:paraId="06C2340F" w14:textId="77777777" w:rsidR="00ED0E85" w:rsidRDefault="00ED0E85" w:rsidP="00ED0E85">
      <w:pPr>
        <w:pStyle w:val="Heading2"/>
        <w:numPr>
          <w:ilvl w:val="1"/>
          <w:numId w:val="5"/>
        </w:numPr>
      </w:pPr>
      <w:bookmarkStart w:id="33" w:name="_Toc19275486"/>
      <w:bookmarkStart w:id="34" w:name="_Toc19276096"/>
      <w:bookmarkStart w:id="35" w:name="_Toc19280095"/>
      <w:r>
        <w:t>Potential changes to the CBD Program</w:t>
      </w:r>
      <w:bookmarkEnd w:id="33"/>
      <w:bookmarkEnd w:id="34"/>
      <w:bookmarkEnd w:id="35"/>
    </w:p>
    <w:p w14:paraId="6353E9BB" w14:textId="77777777" w:rsidR="00ED0E85" w:rsidRDefault="00ED0E85" w:rsidP="00ED0E85">
      <w:pPr>
        <w:pStyle w:val="KeyPoint"/>
      </w:pPr>
      <w:r>
        <w:t>The CBD Program should be expanded to:</w:t>
      </w:r>
    </w:p>
    <w:p w14:paraId="253A9350" w14:textId="77777777" w:rsidR="00ED0E85" w:rsidRDefault="00ED0E85" w:rsidP="00ED0E85">
      <w:pPr>
        <w:pStyle w:val="KeyPoint2"/>
      </w:pPr>
      <w:r>
        <w:t>hotels (subject to a review of the NABERS tool)</w:t>
      </w:r>
    </w:p>
    <w:p w14:paraId="53321883" w14:textId="77777777" w:rsidR="00ED0E85" w:rsidRPr="0077105E" w:rsidRDefault="00ED0E85" w:rsidP="00ED0E85">
      <w:pPr>
        <w:pStyle w:val="KeyPoint2"/>
      </w:pPr>
      <w:r>
        <w:t>office tenancies (subject to the development of a low</w:t>
      </w:r>
      <w:r>
        <w:noBreakHyphen/>
        <w:t xml:space="preserve">cost system that would integrate mandatory tenancy ratings with existing base building requirements). </w:t>
      </w:r>
    </w:p>
    <w:p w14:paraId="43E33920" w14:textId="77777777" w:rsidR="00ED0E85" w:rsidRDefault="00ED0E85" w:rsidP="00ED0E85">
      <w:pPr>
        <w:pStyle w:val="KeyPoint"/>
      </w:pPr>
      <w:r>
        <w:t>At the present time, the CBD Program should not be expanded to:</w:t>
      </w:r>
    </w:p>
    <w:p w14:paraId="7F134ACD" w14:textId="77777777" w:rsidR="00ED0E85" w:rsidRDefault="00ED0E85" w:rsidP="00ED0E85">
      <w:pPr>
        <w:pStyle w:val="KeyPoint2"/>
      </w:pPr>
      <w:r>
        <w:t>shopping centres</w:t>
      </w:r>
    </w:p>
    <w:p w14:paraId="222993EF" w14:textId="77777777" w:rsidR="00ED0E85" w:rsidRDefault="00ED0E85" w:rsidP="00ED0E85">
      <w:pPr>
        <w:pStyle w:val="KeyPoint2"/>
      </w:pPr>
      <w:r>
        <w:t>data centres.</w:t>
      </w:r>
    </w:p>
    <w:p w14:paraId="301CFC3C" w14:textId="77777777" w:rsidR="00ED0E85" w:rsidRDefault="00ED0E85" w:rsidP="00ED0E85">
      <w:pPr>
        <w:pStyle w:val="KeyPoint"/>
      </w:pPr>
      <w:r>
        <w:t>There is a strong conceptual case for mandatory NABERS ratings for apartment buildings. However, strata</w:t>
      </w:r>
      <w:r>
        <w:noBreakHyphen/>
        <w:t>titled buildings (such as most apartment buildings) cannot be regulated by the Commonwealth under the Corporations Act and cannot therefore be covered by the CBD Program. Apartment buildings have not therefore been considered in detail.</w:t>
      </w:r>
    </w:p>
    <w:p w14:paraId="63055D6A" w14:textId="1BBE5BF6" w:rsidR="00ED0E85" w:rsidRDefault="00ED0E85" w:rsidP="00ED0E85">
      <w:pPr>
        <w:pStyle w:val="BodyText"/>
      </w:pPr>
      <w:r>
        <w:t>Table </w:t>
      </w:r>
      <w:r w:rsidR="004550CB">
        <w:rPr>
          <w:noProof/>
        </w:rPr>
        <w:fldChar w:fldCharType="begin"/>
      </w:r>
      <w:r w:rsidR="004550CB">
        <w:rPr>
          <w:noProof/>
        </w:rPr>
        <w:instrText xml:space="preserve"> REF _Caption0235 </w:instrText>
      </w:r>
      <w:r w:rsidR="004550CB">
        <w:rPr>
          <w:noProof/>
        </w:rPr>
        <w:fldChar w:fldCharType="separate"/>
      </w:r>
      <w:r w:rsidR="00AD3561">
        <w:rPr>
          <w:noProof/>
        </w:rPr>
        <w:t>3</w:t>
      </w:r>
      <w:r w:rsidR="004550CB">
        <w:rPr>
          <w:noProof/>
        </w:rPr>
        <w:fldChar w:fldCharType="end"/>
      </w:r>
      <w:r>
        <w:t xml:space="preserve"> summarises some key metrics for the four expansion sectors, with further discussion below.</w:t>
      </w:r>
    </w:p>
    <w:p w14:paraId="5FDDA09E" w14:textId="1FC78F85"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0</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2</w:instrText>
      </w:r>
      <w:r w:rsidR="004550CB">
        <w:rPr>
          <w:noProof/>
        </w:rPr>
        <w:fldChar w:fldCharType="end"/>
      </w:r>
      <w:r w:rsidRPr="00695C93">
        <w:instrText xml:space="preserve">." </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0</w:instrText>
      </w:r>
      <w:r w:rsidR="004550CB">
        <w:rPr>
          <w:noProof/>
        </w:rPr>
        <w:fldChar w:fldCharType="end"/>
      </w:r>
      <w:r w:rsidRPr="00695C93">
        <w:instrText xml:space="preserve"> = 0 "" "1" </w:instrText>
      </w:r>
      <w:r w:rsidRPr="00695C93">
        <w:fldChar w:fldCharType="end"/>
      </w:r>
      <w:r w:rsidRPr="00695C93">
        <w:instrText xml:space="preserve">" "6" </w:instrText>
      </w:r>
      <w:r w:rsidRPr="00695C93">
        <w:fldChar w:fldCharType="end"/>
      </w:r>
      <w:r w:rsidRPr="00695C93">
        <w:instrText xml:space="preserve"> </w:instrText>
      </w:r>
      <w:r w:rsidRPr="00695C93">
        <w:fldChar w:fldCharType="separate"/>
      </w:r>
      <w:r w:rsidR="00C353B5">
        <w:rPr>
          <w:noProof/>
        </w:rPr>
        <w:instrText>3</w:instrText>
      </w:r>
      <w:r w:rsidRPr="00695C93">
        <w:fldChar w:fldCharType="end"/>
      </w:r>
      <w:r w:rsidRPr="00695C93">
        <w:instrText xml:space="preserve">" "" </w:instrText>
      </w:r>
      <w:r w:rsidRPr="00695C93">
        <w:fldChar w:fldCharType="separate"/>
      </w:r>
      <w:bookmarkStart w:id="36" w:name="_Caption9531"/>
      <w:bookmarkStart w:id="37" w:name="_Caption0235"/>
      <w:bookmarkStart w:id="38" w:name="_Caption3152"/>
      <w:bookmarkStart w:id="39" w:name="_Caption0479"/>
      <w:bookmarkStart w:id="40" w:name="_Caption0570"/>
      <w:bookmarkStart w:id="41" w:name="_Caption3028"/>
      <w:bookmarkStart w:id="42" w:name="_Caption2535"/>
      <w:bookmarkStart w:id="43" w:name="_Caption1713"/>
      <w:bookmarkStart w:id="44" w:name="_Caption2077"/>
      <w:bookmarkStart w:id="45" w:name="_Caption0861"/>
      <w:bookmarkStart w:id="46" w:name="_Caption2465"/>
      <w:bookmarkStart w:id="47" w:name="_Caption0637"/>
      <w:bookmarkStart w:id="48" w:name="_Caption6554"/>
      <w:bookmarkStart w:id="49" w:name="_Caption4430"/>
      <w:bookmarkStart w:id="50" w:name="_Caption6017"/>
      <w:bookmarkStart w:id="51" w:name="_Caption5062"/>
      <w:bookmarkStart w:id="52" w:name="_Caption9504"/>
      <w:bookmarkStart w:id="53" w:name="_Caption0731"/>
      <w:bookmarkStart w:id="54" w:name="_Caption1378"/>
      <w:bookmarkStart w:id="55" w:name="_Caption3319"/>
      <w:bookmarkStart w:id="56" w:name="_Caption4070"/>
      <w:bookmarkStart w:id="57" w:name="_Caption6129"/>
      <w:bookmarkStart w:id="58" w:name="_Caption2104"/>
      <w:bookmarkStart w:id="59" w:name="_Caption3851"/>
      <w:bookmarkStart w:id="60" w:name="_Caption5596"/>
      <w:bookmarkStart w:id="61" w:name="_Caption0981"/>
      <w:bookmarkStart w:id="62" w:name="_Caption7223"/>
      <w:bookmarkStart w:id="63" w:name="_Caption2948"/>
      <w:bookmarkStart w:id="64" w:name="_Caption8090"/>
      <w:bookmarkStart w:id="65" w:name="_Caption7746"/>
      <w:bookmarkStart w:id="66" w:name="_Caption8366"/>
      <w:bookmarkStart w:id="67" w:name="_Caption4756"/>
      <w:bookmarkStart w:id="68" w:name="_Caption4636"/>
      <w:bookmarkStart w:id="69" w:name="_Caption3950"/>
      <w:bookmarkStart w:id="70" w:name="_Caption2908"/>
      <w:bookmarkStart w:id="71" w:name="_Caption5753"/>
      <w:bookmarkStart w:id="72" w:name="_Caption0018"/>
      <w:bookmarkStart w:id="73" w:name="_Caption7591"/>
      <w:bookmarkStart w:id="74" w:name="_Caption6620"/>
      <w:bookmarkStart w:id="75" w:name="_Toc19275559"/>
      <w:bookmarkStart w:id="76" w:name="_Toc19276169"/>
      <w:bookmarkStart w:id="77" w:name="_Toc19280168"/>
      <w:r w:rsidR="00C353B5">
        <w:rPr>
          <w:noProof/>
        </w:rPr>
        <w:t>3</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695C93">
        <w:fldChar w:fldCharType="end"/>
      </w:r>
      <w:r w:rsidRPr="00695C93">
        <w:tab/>
      </w:r>
      <w:r>
        <w:t>Quantitative assessment of expansion sectors</w:t>
      </w:r>
      <w:bookmarkEnd w:id="75"/>
      <w:bookmarkEnd w:id="76"/>
      <w:bookmarkEnd w:id="77"/>
    </w:p>
    <w:tbl>
      <w:tblPr>
        <w:tblW w:w="0" w:type="auto"/>
        <w:tblLayout w:type="fixed"/>
        <w:tblLook w:val="0000" w:firstRow="0" w:lastRow="0" w:firstColumn="0" w:lastColumn="0" w:noHBand="0" w:noVBand="0"/>
      </w:tblPr>
      <w:tblGrid>
        <w:gridCol w:w="1587"/>
        <w:gridCol w:w="1587"/>
        <w:gridCol w:w="1587"/>
        <w:gridCol w:w="1588"/>
        <w:gridCol w:w="1588"/>
      </w:tblGrid>
      <w:tr w:rsidR="00ED0E85" w14:paraId="398B9629" w14:textId="77777777" w:rsidTr="00ED0E85">
        <w:tc>
          <w:tcPr>
            <w:tcW w:w="1587" w:type="dxa"/>
            <w:shd w:val="clear" w:color="auto" w:fill="6F6652"/>
            <w:tcMar>
              <w:left w:w="57" w:type="dxa"/>
              <w:right w:w="57" w:type="dxa"/>
            </w:tcMar>
          </w:tcPr>
          <w:p w14:paraId="5467C9EE" w14:textId="77777777" w:rsidR="00ED0E85" w:rsidRDefault="00ED0E85" w:rsidP="00ED0E85">
            <w:pPr>
              <w:pStyle w:val="TableDataColumnHeading"/>
              <w:jc w:val="left"/>
              <w:rPr>
                <w:lang w:bidi="fa-IR"/>
              </w:rPr>
            </w:pPr>
          </w:p>
        </w:tc>
        <w:tc>
          <w:tcPr>
            <w:tcW w:w="1587" w:type="dxa"/>
            <w:shd w:val="clear" w:color="auto" w:fill="6F6652"/>
            <w:tcMar>
              <w:left w:w="57" w:type="dxa"/>
              <w:right w:w="57" w:type="dxa"/>
            </w:tcMar>
          </w:tcPr>
          <w:p w14:paraId="2CBA84F5" w14:textId="77777777" w:rsidR="00ED0E85" w:rsidRDefault="00ED0E85" w:rsidP="00ED0E85">
            <w:pPr>
              <w:pStyle w:val="TableDataColumnHeading"/>
              <w:rPr>
                <w:lang w:bidi="fa-IR"/>
              </w:rPr>
            </w:pPr>
            <w:r>
              <w:rPr>
                <w:lang w:bidi="fa-IR"/>
              </w:rPr>
              <w:t>Number of buildings covered</w:t>
            </w:r>
          </w:p>
        </w:tc>
        <w:tc>
          <w:tcPr>
            <w:tcW w:w="1587" w:type="dxa"/>
            <w:shd w:val="clear" w:color="auto" w:fill="6F6652"/>
            <w:tcMar>
              <w:left w:w="57" w:type="dxa"/>
              <w:right w:w="57" w:type="dxa"/>
            </w:tcMar>
          </w:tcPr>
          <w:p w14:paraId="0A8B6826" w14:textId="77777777" w:rsidR="00ED0E85" w:rsidRDefault="00ED0E85" w:rsidP="00ED0E85">
            <w:pPr>
              <w:pStyle w:val="TableDataColumnHeading"/>
              <w:rPr>
                <w:lang w:bidi="fa-IR"/>
              </w:rPr>
            </w:pPr>
            <w:r>
              <w:rPr>
                <w:lang w:bidi="fa-IR"/>
              </w:rPr>
              <w:t>Amount of space covered</w:t>
            </w:r>
          </w:p>
        </w:tc>
        <w:tc>
          <w:tcPr>
            <w:tcW w:w="1588" w:type="dxa"/>
            <w:shd w:val="clear" w:color="auto" w:fill="6F6652"/>
            <w:tcMar>
              <w:left w:w="57" w:type="dxa"/>
              <w:right w:w="57" w:type="dxa"/>
            </w:tcMar>
          </w:tcPr>
          <w:p w14:paraId="212735AD" w14:textId="77777777" w:rsidR="00ED0E85" w:rsidRDefault="00ED0E85" w:rsidP="00ED0E85">
            <w:pPr>
              <w:pStyle w:val="TableDataColumnHeading"/>
              <w:rPr>
                <w:lang w:bidi="fa-IR"/>
              </w:rPr>
            </w:pPr>
            <w:r>
              <w:rPr>
                <w:lang w:bidi="fa-IR"/>
              </w:rPr>
              <w:t>Additional energy covered</w:t>
            </w:r>
          </w:p>
        </w:tc>
        <w:tc>
          <w:tcPr>
            <w:tcW w:w="1588" w:type="dxa"/>
            <w:shd w:val="clear" w:color="auto" w:fill="6F6652"/>
            <w:tcMar>
              <w:left w:w="57" w:type="dxa"/>
              <w:right w:w="57" w:type="dxa"/>
            </w:tcMar>
          </w:tcPr>
          <w:p w14:paraId="7842E657" w14:textId="77777777" w:rsidR="00ED0E85" w:rsidRDefault="00ED0E85" w:rsidP="00ED0E85">
            <w:pPr>
              <w:pStyle w:val="TableDataColumnHeading"/>
              <w:rPr>
                <w:lang w:bidi="fa-IR"/>
              </w:rPr>
            </w:pPr>
            <w:r>
              <w:rPr>
                <w:lang w:bidi="fa-IR"/>
              </w:rPr>
              <w:t>Estimated net benefits</w:t>
            </w:r>
          </w:p>
        </w:tc>
      </w:tr>
      <w:tr w:rsidR="00ED0E85" w14:paraId="3CFB8AB6" w14:textId="77777777" w:rsidTr="00ED0E85">
        <w:tc>
          <w:tcPr>
            <w:tcW w:w="1587" w:type="dxa"/>
            <w:tcBorders>
              <w:bottom w:val="single" w:sz="8" w:space="0" w:color="FFFFFF" w:themeColor="background1"/>
            </w:tcBorders>
            <w:shd w:val="clear" w:color="auto" w:fill="auto"/>
            <w:tcMar>
              <w:left w:w="57" w:type="dxa"/>
              <w:right w:w="57" w:type="dxa"/>
            </w:tcMar>
          </w:tcPr>
          <w:p w14:paraId="3B0C74CB" w14:textId="77777777" w:rsidR="00ED0E85" w:rsidRDefault="00ED0E85" w:rsidP="00ED0E85">
            <w:pPr>
              <w:pStyle w:val="TableUnit"/>
              <w:jc w:val="left"/>
              <w:rPr>
                <w:lang w:bidi="fa-IR"/>
              </w:rPr>
            </w:pPr>
          </w:p>
        </w:tc>
        <w:tc>
          <w:tcPr>
            <w:tcW w:w="1587" w:type="dxa"/>
            <w:tcBorders>
              <w:bottom w:val="single" w:sz="8" w:space="0" w:color="FFFFFF" w:themeColor="background1"/>
            </w:tcBorders>
            <w:shd w:val="clear" w:color="auto" w:fill="auto"/>
            <w:tcMar>
              <w:left w:w="57" w:type="dxa"/>
              <w:right w:w="57" w:type="dxa"/>
            </w:tcMar>
          </w:tcPr>
          <w:p w14:paraId="67E957AD" w14:textId="77777777" w:rsidR="00ED0E85" w:rsidRDefault="00ED0E85" w:rsidP="00ED0E85">
            <w:pPr>
              <w:pStyle w:val="TableUnit"/>
              <w:rPr>
                <w:lang w:bidi="fa-IR"/>
              </w:rPr>
            </w:pPr>
            <w:r>
              <w:rPr>
                <w:lang w:bidi="fa-IR"/>
              </w:rPr>
              <w:t>No.</w:t>
            </w:r>
          </w:p>
        </w:tc>
        <w:tc>
          <w:tcPr>
            <w:tcW w:w="1587" w:type="dxa"/>
            <w:tcBorders>
              <w:bottom w:val="single" w:sz="8" w:space="0" w:color="FFFFFF" w:themeColor="background1"/>
            </w:tcBorders>
            <w:shd w:val="clear" w:color="auto" w:fill="auto"/>
            <w:tcMar>
              <w:left w:w="57" w:type="dxa"/>
              <w:right w:w="57" w:type="dxa"/>
            </w:tcMar>
          </w:tcPr>
          <w:p w14:paraId="7DD57012" w14:textId="77777777" w:rsidR="00ED0E85" w:rsidRDefault="00ED0E85" w:rsidP="00ED0E85">
            <w:pPr>
              <w:pStyle w:val="TableUnit"/>
              <w:rPr>
                <w:lang w:bidi="fa-IR"/>
              </w:rPr>
            </w:pPr>
            <w:r>
              <w:rPr>
                <w:lang w:bidi="fa-IR"/>
              </w:rPr>
              <w:t>No.</w:t>
            </w:r>
          </w:p>
        </w:tc>
        <w:tc>
          <w:tcPr>
            <w:tcW w:w="1588" w:type="dxa"/>
            <w:tcBorders>
              <w:bottom w:val="single" w:sz="8" w:space="0" w:color="FFFFFF" w:themeColor="background1"/>
            </w:tcBorders>
            <w:shd w:val="clear" w:color="auto" w:fill="auto"/>
            <w:tcMar>
              <w:left w:w="57" w:type="dxa"/>
              <w:right w:w="57" w:type="dxa"/>
            </w:tcMar>
          </w:tcPr>
          <w:p w14:paraId="003955C8" w14:textId="77777777" w:rsidR="00ED0E85" w:rsidRDefault="00ED0E85" w:rsidP="00ED0E85">
            <w:pPr>
              <w:pStyle w:val="TableUnit"/>
              <w:rPr>
                <w:lang w:bidi="fa-IR"/>
              </w:rPr>
            </w:pPr>
            <w:r>
              <w:rPr>
                <w:lang w:bidi="fa-IR"/>
              </w:rPr>
              <w:t>PJ/year</w:t>
            </w:r>
          </w:p>
        </w:tc>
        <w:tc>
          <w:tcPr>
            <w:tcW w:w="1588" w:type="dxa"/>
            <w:tcBorders>
              <w:bottom w:val="single" w:sz="8" w:space="0" w:color="FFFFFF" w:themeColor="background1"/>
            </w:tcBorders>
            <w:shd w:val="clear" w:color="auto" w:fill="auto"/>
            <w:tcMar>
              <w:left w:w="57" w:type="dxa"/>
              <w:right w:w="57" w:type="dxa"/>
            </w:tcMar>
          </w:tcPr>
          <w:p w14:paraId="329C9B38" w14:textId="77777777" w:rsidR="00ED0E85" w:rsidRDefault="00ED0E85" w:rsidP="00ED0E85">
            <w:pPr>
              <w:pStyle w:val="TableUnit"/>
              <w:rPr>
                <w:lang w:bidi="fa-IR"/>
              </w:rPr>
            </w:pPr>
            <w:r>
              <w:rPr>
                <w:lang w:bidi="fa-IR"/>
              </w:rPr>
              <w:t>$m, pv</w:t>
            </w:r>
          </w:p>
        </w:tc>
      </w:tr>
      <w:tr w:rsidR="00ED0E85" w:rsidRPr="00EB55CE" w14:paraId="2DD0D4AB" w14:textId="77777777" w:rsidTr="00ED0E85">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054867" w14:textId="77777777" w:rsidR="00ED0E85" w:rsidRPr="00EB55CE" w:rsidRDefault="00ED0E85" w:rsidP="00ED0E85">
            <w:pPr>
              <w:pStyle w:val="TableDataEntries"/>
              <w:jc w:val="left"/>
              <w:rPr>
                <w:lang w:bidi="fa-IR"/>
              </w:rPr>
            </w:pPr>
            <w:r w:rsidRPr="00EB55CE">
              <w:rPr>
                <w:lang w:bidi="fa-IR"/>
              </w:rPr>
              <w:t>Office tenancies</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B75A8D" w14:textId="77777777" w:rsidR="00ED0E85" w:rsidRPr="00EB55CE" w:rsidRDefault="00ED0E85" w:rsidP="00ED0E85">
            <w:pPr>
              <w:pStyle w:val="TableDataEntries"/>
              <w:rPr>
                <w:lang w:bidi="fa-IR"/>
              </w:rPr>
            </w:pPr>
            <w:r w:rsidRPr="00EB55CE">
              <w:rPr>
                <w:lang w:bidi="fa-IR"/>
              </w:rPr>
              <w:t>3000</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19C9D5" w14:textId="77777777" w:rsidR="00ED0E85" w:rsidRPr="00EB55CE" w:rsidRDefault="00ED0E85" w:rsidP="00ED0E85">
            <w:pPr>
              <w:pStyle w:val="TableDataEntries"/>
              <w:rPr>
                <w:lang w:bidi="fa-IR"/>
              </w:rPr>
            </w:pPr>
            <w:r w:rsidRPr="00EB55CE">
              <w:rPr>
                <w:lang w:bidi="fa-IR"/>
              </w:rPr>
              <w:t>20 million m</w:t>
            </w:r>
            <w:r w:rsidRPr="00EB55CE">
              <w:rPr>
                <w:vertAlign w:val="superscript"/>
                <w:lang w:bidi="fa-IR"/>
              </w:rPr>
              <w:t>2</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60DEE5" w14:textId="77777777" w:rsidR="00ED0E85" w:rsidRPr="00EB55CE" w:rsidRDefault="00ED0E85" w:rsidP="00ED0E85">
            <w:pPr>
              <w:pStyle w:val="TableDataEntries"/>
              <w:rPr>
                <w:lang w:bidi="fa-IR"/>
              </w:rPr>
            </w:pPr>
            <w:r w:rsidRPr="00EB55CE">
              <w:rPr>
                <w:lang w:bidi="fa-IR"/>
              </w:rPr>
              <w:t>8</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53F453" w14:textId="77777777" w:rsidR="00ED0E85" w:rsidRPr="00EB55CE" w:rsidRDefault="00ED0E85" w:rsidP="00ED0E85">
            <w:pPr>
              <w:pStyle w:val="TableDataEntries"/>
              <w:rPr>
                <w:lang w:bidi="fa-IR"/>
              </w:rPr>
            </w:pPr>
            <w:r w:rsidRPr="00EB55CE">
              <w:rPr>
                <w:lang w:bidi="fa-IR"/>
              </w:rPr>
              <w:t>61</w:t>
            </w:r>
          </w:p>
        </w:tc>
      </w:tr>
      <w:tr w:rsidR="00ED0E85" w:rsidRPr="00EB55CE" w14:paraId="4EB5C5A0" w14:textId="77777777" w:rsidTr="00ED0E85">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7B66A8" w14:textId="77777777" w:rsidR="00ED0E85" w:rsidRPr="00EB55CE" w:rsidRDefault="00ED0E85" w:rsidP="00ED0E85">
            <w:pPr>
              <w:pStyle w:val="TableDataEntries"/>
              <w:jc w:val="left"/>
              <w:rPr>
                <w:lang w:bidi="fa-IR"/>
              </w:rPr>
            </w:pPr>
            <w:r w:rsidRPr="00EB55CE">
              <w:rPr>
                <w:lang w:bidi="fa-IR"/>
              </w:rPr>
              <w:t>Shopping centres</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1E2042" w14:textId="77777777" w:rsidR="00ED0E85" w:rsidRPr="00EB55CE" w:rsidRDefault="00ED0E85" w:rsidP="00ED0E85">
            <w:pPr>
              <w:pStyle w:val="TableDataEntries"/>
              <w:rPr>
                <w:lang w:bidi="fa-IR"/>
              </w:rPr>
            </w:pPr>
            <w:r w:rsidRPr="00EB55CE">
              <w:rPr>
                <w:lang w:bidi="fa-IR"/>
              </w:rPr>
              <w:t>427</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C86D07" w14:textId="77777777" w:rsidR="00ED0E85" w:rsidRPr="00EB55CE" w:rsidRDefault="00ED0E85" w:rsidP="00ED0E85">
            <w:pPr>
              <w:pStyle w:val="TableDataEntries"/>
              <w:rPr>
                <w:lang w:bidi="fa-IR"/>
              </w:rPr>
            </w:pPr>
            <w:r w:rsidRPr="00EB55CE">
              <w:rPr>
                <w:lang w:bidi="fa-IR"/>
              </w:rPr>
              <w:t>16 million m</w:t>
            </w:r>
            <w:r w:rsidRPr="00EB55CE">
              <w:rPr>
                <w:vertAlign w:val="superscript"/>
                <w:lang w:bidi="fa-IR"/>
              </w:rPr>
              <w:t>2</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0B727E" w14:textId="77777777" w:rsidR="00ED0E85" w:rsidRPr="00EB55CE" w:rsidRDefault="00ED0E85" w:rsidP="00ED0E85">
            <w:pPr>
              <w:pStyle w:val="TableDataEntries"/>
              <w:rPr>
                <w:lang w:bidi="fa-IR"/>
              </w:rPr>
            </w:pPr>
            <w:r w:rsidRPr="00EB55CE">
              <w:rPr>
                <w:lang w:bidi="fa-IR"/>
              </w:rPr>
              <w:t>3</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343A84" w14:textId="77777777" w:rsidR="00ED0E85" w:rsidRPr="00EB55CE" w:rsidRDefault="00ED0E85" w:rsidP="00ED0E85">
            <w:pPr>
              <w:pStyle w:val="TableDataEntries"/>
              <w:rPr>
                <w:lang w:bidi="fa-IR"/>
              </w:rPr>
            </w:pPr>
            <w:r w:rsidRPr="00EB55CE">
              <w:rPr>
                <w:lang w:bidi="fa-IR"/>
              </w:rPr>
              <w:t>-17</w:t>
            </w:r>
          </w:p>
        </w:tc>
      </w:tr>
      <w:tr w:rsidR="00ED0E85" w:rsidRPr="00EB55CE" w14:paraId="17682BD5" w14:textId="77777777" w:rsidTr="00ED0E85">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6B65A4" w14:textId="77777777" w:rsidR="00ED0E85" w:rsidRPr="00EB55CE" w:rsidRDefault="00ED0E85" w:rsidP="00ED0E85">
            <w:pPr>
              <w:pStyle w:val="TableDataEntries"/>
              <w:jc w:val="left"/>
              <w:rPr>
                <w:lang w:bidi="fa-IR"/>
              </w:rPr>
            </w:pPr>
            <w:r w:rsidRPr="00EB55CE">
              <w:rPr>
                <w:lang w:bidi="fa-IR"/>
              </w:rPr>
              <w:t>Hotels</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27083C" w14:textId="77777777" w:rsidR="00ED0E85" w:rsidRPr="00EB55CE" w:rsidRDefault="00ED0E85" w:rsidP="00ED0E85">
            <w:pPr>
              <w:pStyle w:val="TableDataEntries"/>
              <w:rPr>
                <w:lang w:bidi="fa-IR"/>
              </w:rPr>
            </w:pPr>
            <w:r w:rsidRPr="00EB55CE">
              <w:rPr>
                <w:lang w:bidi="fa-IR"/>
              </w:rPr>
              <w:t>640</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73E6D3" w14:textId="77777777" w:rsidR="00ED0E85" w:rsidRPr="00EB55CE" w:rsidRDefault="00ED0E85" w:rsidP="00ED0E85">
            <w:pPr>
              <w:pStyle w:val="TableDataEntries"/>
              <w:rPr>
                <w:lang w:bidi="fa-IR"/>
              </w:rPr>
            </w:pPr>
            <w:r w:rsidRPr="00EB55CE">
              <w:rPr>
                <w:lang w:bidi="fa-IR"/>
              </w:rPr>
              <w:t>86 000 rooms</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6AFE41" w14:textId="77777777" w:rsidR="00ED0E85" w:rsidRPr="00EB55CE" w:rsidRDefault="00ED0E85" w:rsidP="00ED0E85">
            <w:pPr>
              <w:pStyle w:val="TableDataEntries"/>
              <w:rPr>
                <w:lang w:bidi="fa-IR"/>
              </w:rPr>
            </w:pPr>
            <w:r w:rsidRPr="00EB55CE">
              <w:rPr>
                <w:lang w:bidi="fa-IR"/>
              </w:rPr>
              <w:t>6</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A8AFAC" w14:textId="77777777" w:rsidR="00ED0E85" w:rsidRPr="00EB55CE" w:rsidRDefault="00ED0E85" w:rsidP="00ED0E85">
            <w:pPr>
              <w:pStyle w:val="TableDataEntries"/>
              <w:rPr>
                <w:lang w:bidi="fa-IR"/>
              </w:rPr>
            </w:pPr>
            <w:r w:rsidRPr="00EB55CE">
              <w:rPr>
                <w:lang w:bidi="fa-IR"/>
              </w:rPr>
              <w:t>26</w:t>
            </w:r>
          </w:p>
        </w:tc>
      </w:tr>
      <w:tr w:rsidR="00ED0E85" w14:paraId="58B76C0E" w14:textId="77777777" w:rsidTr="00ED0E85">
        <w:tc>
          <w:tcPr>
            <w:tcW w:w="1587" w:type="dxa"/>
            <w:tcBorders>
              <w:top w:val="single" w:sz="8" w:space="0" w:color="FFFFFF" w:themeColor="background1"/>
              <w:bottom w:val="single" w:sz="6" w:space="0" w:color="6F6652"/>
            </w:tcBorders>
            <w:shd w:val="clear" w:color="auto" w:fill="E9E8E5" w:themeFill="background2"/>
            <w:tcMar>
              <w:left w:w="57" w:type="dxa"/>
              <w:right w:w="57" w:type="dxa"/>
            </w:tcMar>
          </w:tcPr>
          <w:p w14:paraId="126655C3" w14:textId="77777777" w:rsidR="00ED0E85" w:rsidRPr="00EB55CE" w:rsidRDefault="00ED0E85" w:rsidP="00ED0E85">
            <w:pPr>
              <w:pStyle w:val="TableDataEntries"/>
              <w:jc w:val="left"/>
              <w:rPr>
                <w:rStyle w:val="NoteLabel"/>
              </w:rPr>
            </w:pPr>
            <w:r w:rsidRPr="00EB55CE">
              <w:rPr>
                <w:lang w:bidi="fa-IR"/>
              </w:rPr>
              <w:t xml:space="preserve">Data centres </w:t>
            </w:r>
            <w:r w:rsidRPr="00EB55CE">
              <w:rPr>
                <w:rStyle w:val="NoteLabel"/>
              </w:rPr>
              <w:t>a</w:t>
            </w:r>
          </w:p>
        </w:tc>
        <w:tc>
          <w:tcPr>
            <w:tcW w:w="1587" w:type="dxa"/>
            <w:tcBorders>
              <w:top w:val="single" w:sz="8" w:space="0" w:color="FFFFFF" w:themeColor="background1"/>
              <w:bottom w:val="single" w:sz="6" w:space="0" w:color="6F6652"/>
            </w:tcBorders>
            <w:shd w:val="clear" w:color="auto" w:fill="E9E8E5" w:themeFill="background2"/>
            <w:tcMar>
              <w:left w:w="57" w:type="dxa"/>
              <w:right w:w="57" w:type="dxa"/>
            </w:tcMar>
          </w:tcPr>
          <w:p w14:paraId="7AF4C2F9" w14:textId="77777777" w:rsidR="00ED0E85" w:rsidRPr="00EB55CE" w:rsidRDefault="00ED0E85" w:rsidP="00ED0E85">
            <w:pPr>
              <w:pStyle w:val="TableDataEntries"/>
              <w:rPr>
                <w:lang w:bidi="fa-IR"/>
              </w:rPr>
            </w:pPr>
            <w:r w:rsidRPr="00EB55CE">
              <w:rPr>
                <w:lang w:bidi="fa-IR"/>
              </w:rPr>
              <w:t>252</w:t>
            </w:r>
          </w:p>
        </w:tc>
        <w:tc>
          <w:tcPr>
            <w:tcW w:w="1587" w:type="dxa"/>
            <w:tcBorders>
              <w:top w:val="single" w:sz="8" w:space="0" w:color="FFFFFF" w:themeColor="background1"/>
              <w:bottom w:val="single" w:sz="6" w:space="0" w:color="6F6652"/>
            </w:tcBorders>
            <w:shd w:val="clear" w:color="auto" w:fill="E9E8E5" w:themeFill="background2"/>
            <w:tcMar>
              <w:left w:w="57" w:type="dxa"/>
              <w:right w:w="57" w:type="dxa"/>
            </w:tcMar>
          </w:tcPr>
          <w:p w14:paraId="1AE8BFF2" w14:textId="77777777" w:rsidR="00ED0E85" w:rsidRPr="00EB55CE" w:rsidRDefault="00ED0E85" w:rsidP="00ED0E85">
            <w:pPr>
              <w:pStyle w:val="TableDataEntries"/>
              <w:rPr>
                <w:lang w:bidi="fa-IR"/>
              </w:rPr>
            </w:pPr>
            <w:r w:rsidRPr="00EB55CE">
              <w:rPr>
                <w:lang w:bidi="fa-IR"/>
              </w:rPr>
              <w:t>n.a.</w:t>
            </w:r>
          </w:p>
        </w:tc>
        <w:tc>
          <w:tcPr>
            <w:tcW w:w="1588" w:type="dxa"/>
            <w:tcBorders>
              <w:top w:val="single" w:sz="8" w:space="0" w:color="FFFFFF" w:themeColor="background1"/>
              <w:bottom w:val="single" w:sz="6" w:space="0" w:color="6F6652"/>
            </w:tcBorders>
            <w:shd w:val="clear" w:color="auto" w:fill="E9E8E5" w:themeFill="background2"/>
            <w:tcMar>
              <w:left w:w="57" w:type="dxa"/>
              <w:right w:w="57" w:type="dxa"/>
            </w:tcMar>
          </w:tcPr>
          <w:p w14:paraId="6E18798F" w14:textId="77777777" w:rsidR="00ED0E85" w:rsidRPr="00EB55CE" w:rsidRDefault="00ED0E85" w:rsidP="00ED0E85">
            <w:pPr>
              <w:pStyle w:val="TableDataEntries"/>
              <w:rPr>
                <w:lang w:bidi="fa-IR"/>
              </w:rPr>
            </w:pPr>
            <w:r w:rsidRPr="00EB55CE">
              <w:rPr>
                <w:lang w:bidi="fa-IR"/>
              </w:rPr>
              <w:t>6</w:t>
            </w:r>
          </w:p>
        </w:tc>
        <w:tc>
          <w:tcPr>
            <w:tcW w:w="1588" w:type="dxa"/>
            <w:tcBorders>
              <w:top w:val="single" w:sz="8" w:space="0" w:color="FFFFFF" w:themeColor="background1"/>
              <w:bottom w:val="single" w:sz="6" w:space="0" w:color="6F6652"/>
            </w:tcBorders>
            <w:shd w:val="clear" w:color="auto" w:fill="E9E8E5" w:themeFill="background2"/>
            <w:tcMar>
              <w:left w:w="57" w:type="dxa"/>
              <w:right w:w="57" w:type="dxa"/>
            </w:tcMar>
          </w:tcPr>
          <w:p w14:paraId="3BFC4A33" w14:textId="77777777" w:rsidR="00ED0E85" w:rsidRPr="00EB55CE" w:rsidRDefault="00ED0E85" w:rsidP="00ED0E85">
            <w:pPr>
              <w:pStyle w:val="TableDataEntries"/>
              <w:rPr>
                <w:lang w:bidi="fa-IR"/>
              </w:rPr>
            </w:pPr>
            <w:r w:rsidRPr="00EB55CE">
              <w:rPr>
                <w:lang w:bidi="fa-IR"/>
              </w:rPr>
              <w:t>n.a.</w:t>
            </w:r>
          </w:p>
        </w:tc>
      </w:tr>
    </w:tbl>
    <w:p w14:paraId="0FB933A6" w14:textId="77777777" w:rsidR="00ED0E85" w:rsidRDefault="00ED0E85" w:rsidP="00ED0E85">
      <w:pPr>
        <w:pStyle w:val="Note"/>
        <w:rPr>
          <w:lang w:bidi="fa-IR"/>
        </w:rPr>
      </w:pPr>
      <w:r w:rsidRPr="00D10002">
        <w:rPr>
          <w:rStyle w:val="NoteLabel"/>
        </w:rPr>
        <w:t>a</w:t>
      </w:r>
      <w:r>
        <w:rPr>
          <w:lang w:bidi="fa-IR"/>
        </w:rPr>
        <w:t xml:space="preserve"> Includes only colocation data centres. There is no information on private data centres available.</w:t>
      </w:r>
    </w:p>
    <w:p w14:paraId="4EFF239F" w14:textId="77777777" w:rsidR="00ED0E85" w:rsidRDefault="00ED0E85" w:rsidP="00ED0E85">
      <w:pPr>
        <w:pStyle w:val="Source"/>
        <w:rPr>
          <w:lang w:bidi="fa-IR"/>
        </w:rPr>
      </w:pPr>
      <w:r>
        <w:rPr>
          <w:i/>
          <w:lang w:bidi="fa-IR"/>
        </w:rPr>
        <w:t xml:space="preserve">Note: </w:t>
      </w:r>
      <w:r>
        <w:rPr>
          <w:lang w:bidi="fa-IR"/>
        </w:rPr>
        <w:t>The estimated net cost for shopping centres reflects the compliance costs associated with the scheme only. The energy covered for shopping centres is only for shopping centres not rated in 2018.</w:t>
      </w:r>
      <w:r>
        <w:rPr>
          <w:i/>
          <w:lang w:bidi="fa-IR"/>
        </w:rPr>
        <w:br/>
      </w:r>
      <w:r w:rsidRPr="00271421">
        <w:rPr>
          <w:i/>
          <w:lang w:bidi="fa-IR"/>
        </w:rPr>
        <w:t>Source:</w:t>
      </w:r>
      <w:r>
        <w:rPr>
          <w:lang w:bidi="fa-IR"/>
        </w:rPr>
        <w:t xml:space="preserve"> The CIE.</w:t>
      </w:r>
    </w:p>
    <w:p w14:paraId="2D066D12" w14:textId="77777777" w:rsidR="00ED0E85" w:rsidRDefault="00ED0E85" w:rsidP="00ED0E85">
      <w:pPr>
        <w:pStyle w:val="Heading3"/>
        <w:numPr>
          <w:ilvl w:val="2"/>
          <w:numId w:val="5"/>
        </w:numPr>
      </w:pPr>
      <w:r>
        <w:t>Offices</w:t>
      </w:r>
    </w:p>
    <w:p w14:paraId="6A930B00" w14:textId="77777777" w:rsidR="00ED0E85" w:rsidRDefault="00ED0E85" w:rsidP="00ED0E85">
      <w:pPr>
        <w:pStyle w:val="BodyText"/>
      </w:pPr>
      <w:r>
        <w:t xml:space="preserve">The existing CBD program is focused on the base building energy use, which excludes the energy use from tenants (such as lighting and computing). </w:t>
      </w:r>
    </w:p>
    <w:p w14:paraId="2619F96F" w14:textId="77777777" w:rsidR="00ED0E85" w:rsidRDefault="00ED0E85" w:rsidP="00ED0E85">
      <w:pPr>
        <w:pStyle w:val="BodyText"/>
      </w:pPr>
      <w:r>
        <w:t>We find that if compliance costs can be minimised through co</w:t>
      </w:r>
      <w:r>
        <w:noBreakHyphen/>
        <w:t>assessments and a requirement for ratings every second year (rather than every year), expanding mandatory disclosure requirements to office tenancies could deliver a net benefit to the community. We estimate that these benefits could be around $61 million in net present value terms (using a discount rate of 7 per cent) over ten years.</w:t>
      </w:r>
    </w:p>
    <w:p w14:paraId="4D82E985" w14:textId="77777777" w:rsidR="00ED0E85" w:rsidRDefault="00ED0E85" w:rsidP="00ED0E85">
      <w:pPr>
        <w:pStyle w:val="BodyText"/>
      </w:pPr>
      <w:r>
        <w:t>However, this finding is contingent on a streamlined system being established. This would require:</w:t>
      </w:r>
    </w:p>
    <w:p w14:paraId="3245771F" w14:textId="77777777" w:rsidR="00ED0E85" w:rsidRDefault="00ED0E85" w:rsidP="00ED0E85">
      <w:pPr>
        <w:pStyle w:val="ListBullet"/>
      </w:pPr>
      <w:r>
        <w:t>aligning the requirement for an office tenancy rating to the base building rating (this would necessitate a shift to periodic ratings where buildings are required to obtain a rating every year or every second year, rather than on sale or lease).</w:t>
      </w:r>
    </w:p>
    <w:p w14:paraId="2DF7B801" w14:textId="77777777" w:rsidR="00ED0E85" w:rsidRDefault="00ED0E85" w:rsidP="00ED0E85">
      <w:pPr>
        <w:pStyle w:val="ListBullet"/>
      </w:pPr>
      <w:r>
        <w:t>building owners/managers (or the assessor acting on their behalf) having direct access to tenant metering data to complete the rating through the co-assess tool. In some states, we understand this would require some legislative changes.</w:t>
      </w:r>
    </w:p>
    <w:p w14:paraId="135ACCBE" w14:textId="77777777" w:rsidR="00ED0E85" w:rsidRDefault="00ED0E85" w:rsidP="00ED0E85">
      <w:pPr>
        <w:pStyle w:val="BodyText"/>
      </w:pPr>
      <w:r>
        <w:t>If such a system cannot be developed, expanding mandatory disclosure requirements to office tenancies is likely to impose a significant net cost on the community.</w:t>
      </w:r>
    </w:p>
    <w:p w14:paraId="1D6D485A" w14:textId="77777777" w:rsidR="00ED0E85" w:rsidRDefault="00ED0E85" w:rsidP="00ED0E85">
      <w:pPr>
        <w:pStyle w:val="Heading3"/>
        <w:numPr>
          <w:ilvl w:val="2"/>
          <w:numId w:val="5"/>
        </w:numPr>
      </w:pPr>
      <w:r>
        <w:t>Shopping centres</w:t>
      </w:r>
    </w:p>
    <w:p w14:paraId="047D686F" w14:textId="77777777" w:rsidR="00ED0E85" w:rsidRPr="005D67D7" w:rsidRDefault="00ED0E85" w:rsidP="00ED0E85">
      <w:pPr>
        <w:pStyle w:val="BodyText"/>
      </w:pPr>
      <w:r>
        <w:t>We do not recommend expanding mandatory disclosure requirements to shopping centres. We estimate that mandatory disclosure could impose a net cost of around $17 million in net present value terms (using a discount rate of 7 per cent) over ten years.</w:t>
      </w:r>
    </w:p>
    <w:p w14:paraId="5A1C2597" w14:textId="77777777" w:rsidR="00ED0E85" w:rsidRDefault="00ED0E85" w:rsidP="00ED0E85">
      <w:pPr>
        <w:pStyle w:val="BodyText"/>
      </w:pPr>
      <w:r>
        <w:t xml:space="preserve">Shopping centres have improved their energy efficiency, over the time period and set of centres for which this can be measured. These changes have occurred for shopping centres that undertake annual NABERS energy ratings, for those that occasionally use NABERS energy ratings and, where information is available, for those that do not use NABERS energy ratings. </w:t>
      </w:r>
    </w:p>
    <w:p w14:paraId="04DB05B3" w14:textId="77777777" w:rsidR="00ED0E85" w:rsidRDefault="00ED0E85" w:rsidP="00ED0E85">
      <w:pPr>
        <w:pStyle w:val="BodyText"/>
      </w:pPr>
      <w:r>
        <w:t>A large share of shopping centres (almost half of the centres above 15 000 m</w:t>
      </w:r>
      <w:r w:rsidRPr="00F12928">
        <w:rPr>
          <w:vertAlign w:val="superscript"/>
        </w:rPr>
        <w:t>2</w:t>
      </w:r>
      <w:r>
        <w:t xml:space="preserve">) use NABERS energy ratings voluntarily. NABERS energy has proven to be a useful tool for these businesses to monitor, compare and communicate the changes in their energy performance. Others monitor their energy consumption and environmental performance using other tools. </w:t>
      </w:r>
    </w:p>
    <w:p w14:paraId="61765075" w14:textId="77777777" w:rsidR="00ED0E85" w:rsidRDefault="00ED0E85" w:rsidP="00ED0E85">
      <w:pPr>
        <w:pStyle w:val="BodyText"/>
      </w:pPr>
      <w:r>
        <w:t xml:space="preserve">Our draft finding is that NABERS energy ratings continue to be promoted as a voluntary tool for shopping centres. </w:t>
      </w:r>
    </w:p>
    <w:p w14:paraId="12F98DB2" w14:textId="77777777" w:rsidR="00ED0E85" w:rsidRDefault="00ED0E85" w:rsidP="00ED0E85">
      <w:pPr>
        <w:pStyle w:val="ListBullet"/>
      </w:pPr>
      <w:r>
        <w:t>Mandatory disclosure could be beneficial if shopping centre owners or operators are unaware of their comparative energy performance. The evidence does not support this for the majority of shopping centres. Whether or not they are using and disclosing NABERS energy ratings, shopping centres are monitoring and improving their energy efficiency.</w:t>
      </w:r>
    </w:p>
    <w:p w14:paraId="0ABD9C71" w14:textId="77777777" w:rsidR="00ED0E85" w:rsidRDefault="00ED0E85" w:rsidP="00ED0E85">
      <w:pPr>
        <w:pStyle w:val="ListBullet"/>
      </w:pPr>
      <w:r>
        <w:t>Mandatory disclosure could be beneficial if there was demand from tenants in shopping centres. Tenant groups have indicated that they receive information on costs, including energy costs. Energy efficiency disclosure of the shopping centre is not information that they would use.</w:t>
      </w:r>
    </w:p>
    <w:p w14:paraId="27274610" w14:textId="77777777" w:rsidR="00ED0E85" w:rsidRDefault="00ED0E85" w:rsidP="00ED0E85">
      <w:pPr>
        <w:pStyle w:val="ListBullet"/>
      </w:pPr>
      <w:r>
        <w:t>Mandatory disclosure could be beneficial if there was demand from customers going to shopping centres. Consultations have not supported the view that customers would make use of comparative energy efficiency information.</w:t>
      </w:r>
    </w:p>
    <w:p w14:paraId="28B79155" w14:textId="77777777" w:rsidR="00ED0E85" w:rsidRDefault="00ED0E85" w:rsidP="00ED0E85">
      <w:pPr>
        <w:pStyle w:val="BodyText"/>
      </w:pPr>
      <w:r>
        <w:t>If there are specific concerns about smaller shopping centre owners not being aware of their energy performance, then these owners could be targeted through programs for energy audits and NABERS energy ratings, building on NABERS recent expansion of the tool into smaller shopping centres.</w:t>
      </w:r>
    </w:p>
    <w:p w14:paraId="254F223A" w14:textId="77777777" w:rsidR="00ED0E85" w:rsidRDefault="00ED0E85" w:rsidP="00ED0E85">
      <w:pPr>
        <w:pStyle w:val="Heading3"/>
        <w:numPr>
          <w:ilvl w:val="2"/>
          <w:numId w:val="5"/>
        </w:numPr>
      </w:pPr>
      <w:r>
        <w:t>Hotels</w:t>
      </w:r>
    </w:p>
    <w:p w14:paraId="67E0D552" w14:textId="77777777" w:rsidR="00ED0E85" w:rsidRPr="005D67D7" w:rsidRDefault="00ED0E85" w:rsidP="00ED0E85">
      <w:pPr>
        <w:pStyle w:val="BodyText"/>
      </w:pPr>
      <w:r>
        <w:t>We find that if the NABERS Energy tool for hotels is reviewed to ensure that the industry has confidence that it provides fair assessments across hotels, expanding mandatory disclosure could deliver a net benefit to the community of $26 million in net present value terms (using a discount rate of 7 per cent) over ten years.</w:t>
      </w:r>
    </w:p>
    <w:p w14:paraId="3764AB38" w14:textId="77777777" w:rsidR="00ED0E85" w:rsidRDefault="00ED0E85" w:rsidP="00ED0E85">
      <w:pPr>
        <w:pStyle w:val="BodyText"/>
      </w:pPr>
      <w:r>
        <w:t>Hotel (accommodation) energy performance data is less widely available than for other sectors. While many hotels have adopted sustainability tools to communicate their sustainability actions to customers, these do not often provide energy efficiency information on an individual hotel or even aggregate company basis. Uptake of NABERS energy in hotels has been very low and falling</w:t>
      </w:r>
      <w:r>
        <w:rPr>
          <w:rStyle w:val="FootnoteReference"/>
        </w:rPr>
        <w:footnoteReference w:id="2"/>
      </w:r>
      <w:r>
        <w:t xml:space="preserve"> — it appears that hotels adopted NABERS energy ratings because of an expectation that this would become mandatory, but have not found enough value from the tool to continue rating in the absence of mandatory disclosure. There is also a widespread view across the industry that NABERS energy does not provide a good benchmark for hotels. </w:t>
      </w:r>
    </w:p>
    <w:p w14:paraId="2C09438F" w14:textId="77777777" w:rsidR="00ED0E85" w:rsidRDefault="00ED0E85" w:rsidP="00ED0E85">
      <w:pPr>
        <w:pStyle w:val="BodyText"/>
      </w:pPr>
      <w:r>
        <w:t>The evidence that is available for hotels indicates that they are generally improving their energy performance. This evidence base includes hotels rated using NABERS energy and public reporting by hotels in relation to sustainability. However, the sample sizes for this are small and may not represent what is happening to hotels in general. Consultations with hotel engineers, including members of the Australian Institute of Hotel Engineers, suggests that they do face pressure to reduce energy and to reduce energy costs, such as through targeted reductions year-on-year.</w:t>
      </w:r>
    </w:p>
    <w:p w14:paraId="7A7191F9" w14:textId="77777777" w:rsidR="00ED0E85" w:rsidRDefault="00ED0E85" w:rsidP="00ED0E85">
      <w:pPr>
        <w:pStyle w:val="BodyText"/>
      </w:pPr>
      <w:r>
        <w:t>Evidence from energy efficiency advisers, which is based on similar or larger samples to the data available, suggests that hotels are less advanced in considering how to reduce their energy use than other commercial building sectors. This is gradually changing because of increasing energy prices. Based on NABERS energy use data, a zero star NABERS energy rated star hotel will have a cost of $6000 per room per year, compared to a 3 star energy rated hotel of less than $2000 per room.</w:t>
      </w:r>
      <w:r>
        <w:rPr>
          <w:rStyle w:val="FootnoteReference"/>
        </w:rPr>
        <w:footnoteReference w:id="3"/>
      </w:r>
    </w:p>
    <w:p w14:paraId="71F9F32B" w14:textId="77777777" w:rsidR="00ED0E85" w:rsidRDefault="00ED0E85" w:rsidP="00ED0E85">
      <w:pPr>
        <w:pStyle w:val="BodyText"/>
      </w:pPr>
      <w:r>
        <w:t>Our draft findings for hotels are that:</w:t>
      </w:r>
    </w:p>
    <w:p w14:paraId="1CF2A040" w14:textId="77777777" w:rsidR="00ED0E85" w:rsidRDefault="00ED0E85" w:rsidP="00ED0E85">
      <w:pPr>
        <w:pStyle w:val="ListBullet"/>
      </w:pPr>
      <w:r>
        <w:t>NABERS energy does not currently have sufficient support from the industry to be mandated now. It should be reviewed and if necessary redone if it were to be made mandatory. Industry has indicated a willingness to provide data for this to occur</w:t>
      </w:r>
    </w:p>
    <w:p w14:paraId="22FA72D2" w14:textId="77777777" w:rsidR="00ED0E85" w:rsidRDefault="00ED0E85" w:rsidP="00ED0E85">
      <w:pPr>
        <w:pStyle w:val="ListBullet"/>
      </w:pPr>
      <w:r>
        <w:t>There is no other energy efficiency tool that could be disclosed instead of NABERS energy — we consider that a mandatory disclosure arrangement would have to use a single tool to be useful, and it would not be advisable to make a tool mandatory that was not controlled by an Australian government</w:t>
      </w:r>
    </w:p>
    <w:p w14:paraId="7D13A546" w14:textId="77777777" w:rsidR="00ED0E85" w:rsidRDefault="00ED0E85" w:rsidP="00ED0E85">
      <w:pPr>
        <w:pStyle w:val="ListBullet"/>
      </w:pPr>
      <w:r>
        <w:t>A mandatory disclosure program for hotels would drive energy efficiency improvements because it would be used in procurement by government and larger corporates (these sectors are likely to be sufficiently important to drive energy efficiency improvements in many hotels)</w:t>
      </w:r>
    </w:p>
    <w:p w14:paraId="75B8571A" w14:textId="77777777" w:rsidR="00ED0E85" w:rsidRDefault="00ED0E85" w:rsidP="00ED0E85">
      <w:pPr>
        <w:pStyle w:val="ListBullet"/>
      </w:pPr>
      <w:r>
        <w:t>The hotel industry considers procurement related to a NABERS energy rating to be a risk, in that they will be required to invest in expensive upgrades to improve their energy performance</w:t>
      </w:r>
    </w:p>
    <w:p w14:paraId="3BF27735" w14:textId="77777777" w:rsidR="00ED0E85" w:rsidRDefault="00ED0E85" w:rsidP="00ED0E85">
      <w:pPr>
        <w:pStyle w:val="ListBullet2"/>
      </w:pPr>
      <w:r>
        <w:t>this will vary considerably across hotels, with hotel consultations indicating particular risk for older hotels to be able to achieve cost effective energy efficiency improvements</w:t>
      </w:r>
    </w:p>
    <w:p w14:paraId="5FD40258" w14:textId="77777777" w:rsidR="00ED0E85" w:rsidRDefault="00ED0E85" w:rsidP="00ED0E85">
      <w:pPr>
        <w:pStyle w:val="ListBullet2"/>
      </w:pPr>
      <w:r>
        <w:t>current payback periods indicated by hotel groups for energy efficiency upgrades are low (4-5 years), which suggests that many hotels will find energy efficiency upgrades that can pay for themselves over a 10-year period</w:t>
      </w:r>
    </w:p>
    <w:p w14:paraId="636ADEDB" w14:textId="77777777" w:rsidR="00ED0E85" w:rsidRDefault="00ED0E85" w:rsidP="00ED0E85">
      <w:pPr>
        <w:pStyle w:val="ListBullet"/>
      </w:pPr>
      <w:r>
        <w:t>Mandatory disclosure of energy performance for hotels would have a net benefit of $26 million. This particularly reflects benefits from reduced GHG emissions. Hotels achieve only a small return themselves through lower energy bills, which just offsets the compliance costs of a mandatory disclosure scheme and costs of energy efficiency upgrades.</w:t>
      </w:r>
    </w:p>
    <w:p w14:paraId="15F45F30" w14:textId="77777777" w:rsidR="00ED0E85" w:rsidRDefault="00ED0E85" w:rsidP="00ED0E85">
      <w:pPr>
        <w:pStyle w:val="Heading3"/>
        <w:numPr>
          <w:ilvl w:val="2"/>
          <w:numId w:val="5"/>
        </w:numPr>
      </w:pPr>
      <w:r>
        <w:t>Data centres</w:t>
      </w:r>
    </w:p>
    <w:p w14:paraId="5AF46FEE" w14:textId="77777777" w:rsidR="00ED0E85" w:rsidRDefault="00ED0E85" w:rsidP="00ED0E85">
      <w:pPr>
        <w:pStyle w:val="BodyText"/>
      </w:pPr>
      <w:r>
        <w:t>There is currently insufficient evidence to support the expansion of the CBD Program to cover data centres.</w:t>
      </w:r>
    </w:p>
    <w:p w14:paraId="6E76DFD7" w14:textId="77777777" w:rsidR="00ED0E85" w:rsidRDefault="00ED0E85" w:rsidP="00ED0E85">
      <w:pPr>
        <w:pStyle w:val="ListBullet"/>
      </w:pPr>
      <w:r>
        <w:t>Data centres are harder to define than other types of commercial buildings and the market is constantly evolving.</w:t>
      </w:r>
    </w:p>
    <w:p w14:paraId="617627E6" w14:textId="77777777" w:rsidR="00ED0E85" w:rsidRDefault="00ED0E85" w:rsidP="00ED0E85">
      <w:pPr>
        <w:pStyle w:val="ListBullet"/>
      </w:pPr>
      <w:r>
        <w:t>For colocation data centres, the available (albeit limited) evidence suggests that mandatory disclosure is unlikely to drive significant improvements in energy efficiency for existing data centres.</w:t>
      </w:r>
    </w:p>
    <w:p w14:paraId="0CE598DF" w14:textId="77777777" w:rsidR="00ED0E85" w:rsidRDefault="00ED0E85" w:rsidP="00ED0E85">
      <w:pPr>
        <w:pStyle w:val="ListBullet2"/>
      </w:pPr>
      <w:r>
        <w:t>Energy is a much more significant proportion of costs than for other commercial buildings and colocation data centres must closely manage energy costs to compete effectively in the market. As such, there is much less likely to be poorly performing colocation data centres (the benefits of mandatory disclosure for office buildings was driven to a significant extent by large improvements in buildings that were performing poorly when they entered the NABERS system).</w:t>
      </w:r>
    </w:p>
    <w:p w14:paraId="5F264F38" w14:textId="77777777" w:rsidR="00ED0E85" w:rsidRDefault="00ED0E85" w:rsidP="00ED0E85">
      <w:pPr>
        <w:pStyle w:val="ListBullet2"/>
      </w:pPr>
      <w:r>
        <w:t>There is little evidence of a systematic improvement in energy performance over time among the small number of data centres that voluntarily rate.</w:t>
      </w:r>
    </w:p>
    <w:p w14:paraId="5BB9F7A0" w14:textId="77777777" w:rsidR="00ED0E85" w:rsidRDefault="00ED0E85" w:rsidP="00ED0E85">
      <w:pPr>
        <w:pStyle w:val="ListBullet2"/>
      </w:pPr>
      <w:r>
        <w:t>There are significant barriers to improving the energy efficiency of existing data centres through end of life replacement of cooling systems.</w:t>
      </w:r>
    </w:p>
    <w:p w14:paraId="085D9EA1" w14:textId="77777777" w:rsidR="00ED0E85" w:rsidRDefault="00ED0E85" w:rsidP="00ED0E85">
      <w:pPr>
        <w:pStyle w:val="ListBullet"/>
      </w:pPr>
      <w:r>
        <w:t>Less is known about the performance of private data centres. Some stakeholders suggested that many of these data centres perform poorly (particularly government</w:t>
      </w:r>
      <w:r>
        <w:noBreakHyphen/>
        <w:t>owned data centres).</w:t>
      </w:r>
    </w:p>
    <w:p w14:paraId="0A9B3060" w14:textId="77777777" w:rsidR="00ED0E85" w:rsidRDefault="00ED0E85" w:rsidP="00ED0E85">
      <w:pPr>
        <w:pStyle w:val="Heading2"/>
        <w:numPr>
          <w:ilvl w:val="1"/>
          <w:numId w:val="5"/>
        </w:numPr>
        <w:rPr>
          <w:lang w:eastAsia="en-US" w:bidi="fa-IR"/>
        </w:rPr>
      </w:pPr>
      <w:bookmarkStart w:id="78" w:name="_Toc19275487"/>
      <w:bookmarkStart w:id="79" w:name="_Toc19276097"/>
      <w:bookmarkStart w:id="80" w:name="_Toc19280096"/>
      <w:r>
        <w:rPr>
          <w:lang w:eastAsia="en-US" w:bidi="fa-IR"/>
        </w:rPr>
        <w:t>Recommendations</w:t>
      </w:r>
      <w:bookmarkEnd w:id="78"/>
      <w:bookmarkEnd w:id="79"/>
      <w:bookmarkEnd w:id="80"/>
    </w:p>
    <w:p w14:paraId="7E9B9AF4" w14:textId="77777777" w:rsidR="00ED0E85" w:rsidRPr="00E2757A" w:rsidRDefault="00ED0E85" w:rsidP="00ED0E85">
      <w:pPr>
        <w:pStyle w:val="RecommendationNumber"/>
        <w:rPr>
          <w:lang w:bidi="fa-IR"/>
        </w:rPr>
      </w:pPr>
      <w:r>
        <w:rPr>
          <w:lang w:bidi="fa-IR"/>
        </w:rPr>
        <w:t>The CBD Program continues for office buildings.</w:t>
      </w:r>
    </w:p>
    <w:p w14:paraId="329478CE" w14:textId="77777777" w:rsidR="00ED0E85" w:rsidRDefault="00ED0E85" w:rsidP="00ED0E85">
      <w:pPr>
        <w:pStyle w:val="RecommendationNumber"/>
        <w:rPr>
          <w:lang w:bidi="fa-IR"/>
        </w:rPr>
      </w:pPr>
      <w:r>
        <w:rPr>
          <w:lang w:bidi="fa-IR"/>
        </w:rPr>
        <w:t>The impact the CBD Program is having in offices can be increased, through funding programs aimed at low</w:t>
      </w:r>
      <w:r>
        <w:rPr>
          <w:lang w:bidi="fa-IR"/>
        </w:rPr>
        <w:noBreakHyphen/>
        <w:t>NABERS energy star</w:t>
      </w:r>
      <w:r>
        <w:rPr>
          <w:lang w:bidi="fa-IR"/>
        </w:rPr>
        <w:noBreakHyphen/>
        <w:t>rated buildings. Some offices have not improved their performance and remain at low levels of energy efficiency. A Commonwealth funding program that is delivered by councils could be targeted at these buildings.</w:t>
      </w:r>
    </w:p>
    <w:p w14:paraId="04EB3B8D" w14:textId="77777777" w:rsidR="00ED0E85" w:rsidRDefault="00ED0E85" w:rsidP="00ED0E85">
      <w:pPr>
        <w:pStyle w:val="RecommendationNumber"/>
      </w:pPr>
      <w:r>
        <w:t>The CBD Program should be extended to office tenancies, replacing the current TLA requirements.</w:t>
      </w:r>
    </w:p>
    <w:p w14:paraId="4F5832FD" w14:textId="77777777" w:rsidR="00ED0E85" w:rsidRDefault="00ED0E85" w:rsidP="00ED0E85">
      <w:pPr>
        <w:pStyle w:val="RecommendationNumber2"/>
      </w:pPr>
      <w:r>
        <w:t>This recommendation is subject to developing a system that minimises compliance costs through the use of the NABERS Co-assess tool (which we understand may require legislative changes in some states). This would necessitate moving to a periodic rating system and we recommend that a BEEC be required every two years (rather than on sale and lease).</w:t>
      </w:r>
    </w:p>
    <w:p w14:paraId="05A8F88B" w14:textId="77777777" w:rsidR="00ED0E85" w:rsidRDefault="00ED0E85" w:rsidP="00ED0E85">
      <w:pPr>
        <w:pStyle w:val="RecommendationNumber2"/>
      </w:pPr>
      <w:r>
        <w:t>Disclosure of tenancy ratings using the co</w:t>
      </w:r>
      <w:r>
        <w:noBreakHyphen/>
        <w:t>assess tool could be trialled in a state where existing legislation would allow this to occur.</w:t>
      </w:r>
    </w:p>
    <w:p w14:paraId="3E539DCD" w14:textId="77777777" w:rsidR="00ED0E85" w:rsidRDefault="00ED0E85" w:rsidP="00ED0E85">
      <w:pPr>
        <w:pStyle w:val="RecommendationNumber2"/>
      </w:pPr>
      <w:r>
        <w:t>If the CBD Program is not extended to office tenancies, there is no compelling case to change current disclosure requirements for base buildings.</w:t>
      </w:r>
    </w:p>
    <w:p w14:paraId="28D988E2" w14:textId="77777777" w:rsidR="00ED0E85" w:rsidRDefault="00ED0E85" w:rsidP="00ED0E85">
      <w:pPr>
        <w:pStyle w:val="RecommendationNumber"/>
        <w:rPr>
          <w:lang w:bidi="fa-IR"/>
        </w:rPr>
      </w:pPr>
      <w:r>
        <w:rPr>
          <w:lang w:bidi="fa-IR"/>
        </w:rPr>
        <w:t>Disclosure of energy performance should not be mandated for shopping centres</w:t>
      </w:r>
    </w:p>
    <w:p w14:paraId="3C64FD8D" w14:textId="77777777" w:rsidR="00ED0E85" w:rsidRDefault="00ED0E85" w:rsidP="00ED0E85">
      <w:pPr>
        <w:pStyle w:val="RecommendationNumber"/>
        <w:rPr>
          <w:lang w:bidi="fa-IR"/>
        </w:rPr>
      </w:pPr>
      <w:r>
        <w:rPr>
          <w:lang w:bidi="fa-IR"/>
        </w:rPr>
        <w:t>Mandatory disclosure of energy performance should be expanded to hotels, subject to satisfactory completion of the following steps:</w:t>
      </w:r>
    </w:p>
    <w:p w14:paraId="095FCD96" w14:textId="77777777" w:rsidR="00ED0E85" w:rsidRDefault="00ED0E85" w:rsidP="00ED0E85">
      <w:pPr>
        <w:pStyle w:val="RecommendationNumber2"/>
      </w:pPr>
      <w:r>
        <w:t>The benchmarks in the NABERS energy tool for hotels should be reviewed to ensure they provide fair comparison across hotels. This should involve industry representation (as is standard NABERS practice) and would be expected to take around one year. If issues are found with the benchmarks, these should be re</w:t>
      </w:r>
      <w:r>
        <w:noBreakHyphen/>
        <w:t>issued. This should be complemented with NABERS engagement with the hotel industry to build trust in the outcomes of the tool. NABERS could also consider what could be done to reduce potential confusion with quality star for hotels.</w:t>
      </w:r>
    </w:p>
    <w:p w14:paraId="3B5EB248" w14:textId="77777777" w:rsidR="00ED0E85" w:rsidRDefault="00ED0E85" w:rsidP="00ED0E85">
      <w:pPr>
        <w:pStyle w:val="RecommendationNumber2"/>
      </w:pPr>
      <w:r>
        <w:t>Following this, a period of two years should be allowed for undisclosed ratings to be done by hotels prior to mandatory disclosure being put in place.</w:t>
      </w:r>
    </w:p>
    <w:p w14:paraId="3AEA563D" w14:textId="77777777" w:rsidR="00ED0E85" w:rsidRDefault="00ED0E85" w:rsidP="00ED0E85">
      <w:pPr>
        <w:pStyle w:val="RecommendationNumber2"/>
      </w:pPr>
      <w:r>
        <w:t xml:space="preserve">Mandatory disclosure should apply firstly to hotels with more than 100 rooms. This would cover approximately 600 hotels covering ~86 000 rooms. Subject to the review below, this could then be reduced (such as by expanding to all hotels with more than 50 rooms). This does not apply to motels and resorts, which are not rated by NABERS. It is not clear if the ABS defined ‘Private hotels’ would be covered – this is hotels without a public bar. Our expectation is that these are not appropriately benchmarked in NABERS as they were not part of the sample for initial benchmarking </w:t>
      </w:r>
    </w:p>
    <w:p w14:paraId="4AFB3315" w14:textId="77777777" w:rsidR="00ED0E85" w:rsidRDefault="00ED0E85" w:rsidP="00ED0E85">
      <w:pPr>
        <w:pStyle w:val="RecommendationNumber2"/>
      </w:pPr>
      <w:r>
        <w:t>Hotel ratings should be required every two years. Disclosure should be in the hotel foyer and on the hotel’s website</w:t>
      </w:r>
    </w:p>
    <w:p w14:paraId="21E38D10" w14:textId="77777777" w:rsidR="00ED0E85" w:rsidRDefault="00ED0E85" w:rsidP="00ED0E85">
      <w:pPr>
        <w:pStyle w:val="RecommendationNumber2"/>
      </w:pPr>
      <w:r>
        <w:t>The Australian Government should consider funding support for obtaining the first NABERS energy ratings. The costs of obtaining the first rating would amount to ~$4 million</w:t>
      </w:r>
    </w:p>
    <w:p w14:paraId="31A76FE3" w14:textId="77777777" w:rsidR="00ED0E85" w:rsidRPr="00CB1ADC" w:rsidRDefault="00ED0E85" w:rsidP="00ED0E85">
      <w:pPr>
        <w:pStyle w:val="RecommendationNumber2"/>
      </w:pPr>
      <w:r>
        <w:t>Four years after mandatory disclosure is put in place, its impact on hotel energy efficiency should be reviewed.</w:t>
      </w:r>
    </w:p>
    <w:p w14:paraId="7F7C1F78" w14:textId="77777777" w:rsidR="00ED0E85" w:rsidRDefault="00ED0E85" w:rsidP="00ED0E85">
      <w:pPr>
        <w:pStyle w:val="RecommendationNumber"/>
        <w:rPr>
          <w:rStyle w:val="DraftingNote"/>
          <w:rFonts w:ascii="Franklin Gothic Book" w:hAnsi="Franklin Gothic Book"/>
          <w:b w:val="0"/>
          <w:color w:val="auto"/>
          <w:u w:val="none"/>
        </w:rPr>
      </w:pPr>
      <w:r w:rsidRPr="001758AF">
        <w:rPr>
          <w:rStyle w:val="DraftingNote"/>
          <w:rFonts w:ascii="Franklin Gothic Book" w:hAnsi="Franklin Gothic Book"/>
          <w:b w:val="0"/>
          <w:color w:val="auto"/>
          <w:u w:val="none"/>
        </w:rPr>
        <w:t xml:space="preserve">The CBD Program should not be expanded to data centres at the present time. </w:t>
      </w:r>
    </w:p>
    <w:p w14:paraId="57D02DC9" w14:textId="77777777" w:rsidR="00ED0E85" w:rsidRDefault="00ED0E85" w:rsidP="00ED0E85">
      <w:pPr>
        <w:pStyle w:val="RecommendationNumber2"/>
      </w:pPr>
      <w:r w:rsidRPr="00877C07">
        <w:rPr>
          <w:rStyle w:val="DraftingNote"/>
          <w:rFonts w:ascii="Franklin Gothic Book" w:hAnsi="Franklin Gothic Book"/>
          <w:b w:val="0"/>
          <w:color w:val="auto"/>
          <w:u w:val="none"/>
        </w:rPr>
        <w:t xml:space="preserve">Nevertheless, the Commonwealth and state governments </w:t>
      </w:r>
      <w:r>
        <w:rPr>
          <w:rStyle w:val="DraftingNote"/>
          <w:rFonts w:ascii="Franklin Gothic Book" w:hAnsi="Franklin Gothic Book"/>
          <w:b w:val="0"/>
          <w:color w:val="auto"/>
          <w:u w:val="none"/>
        </w:rPr>
        <w:t xml:space="preserve">should </w:t>
      </w:r>
      <w:r w:rsidRPr="00877C07">
        <w:rPr>
          <w:rStyle w:val="DraftingNote"/>
          <w:rFonts w:ascii="Franklin Gothic Book" w:hAnsi="Franklin Gothic Book"/>
          <w:b w:val="0"/>
          <w:color w:val="auto"/>
          <w:u w:val="none"/>
        </w:rPr>
        <w:t xml:space="preserve">commit to obtaining NABERS ratings on their own data centres. This process should be used to gather information on: </w:t>
      </w:r>
      <w:r>
        <w:t>the practical challenges associated with rating existing data centres; identifying whether the process of obtaining a NABERS rating identifies any cost-effective options for improving the energy efficiency of existing data centres; and the cost of improving the energy efficiency of existing data centres.</w:t>
      </w:r>
    </w:p>
    <w:p w14:paraId="68796723" w14:textId="77777777" w:rsidR="00ED0E85" w:rsidRDefault="00ED0E85" w:rsidP="00ED0E85">
      <w:pPr>
        <w:pStyle w:val="RecommendationNumber2"/>
      </w:pPr>
      <w:r>
        <w:t>Based on these findings, the government could re</w:t>
      </w:r>
      <w:r>
        <w:noBreakHyphen/>
        <w:t>consider expanding mandatory disclosure requirements to data centres.</w:t>
      </w:r>
    </w:p>
    <w:p w14:paraId="147691DE" w14:textId="77777777" w:rsidR="00ED0E85" w:rsidRDefault="00ED0E85" w:rsidP="00ED0E85">
      <w:pPr>
        <w:pStyle w:val="RecommendationNumber"/>
        <w:rPr>
          <w:lang w:bidi="fa-IR"/>
        </w:rPr>
      </w:pPr>
      <w:r>
        <w:rPr>
          <w:lang w:bidi="fa-IR"/>
        </w:rPr>
        <w:t>Disclosure of energy performance for apartment buildings should be investigated in detail, following agreement from states and territories to undertake such an investigation.</w:t>
      </w:r>
    </w:p>
    <w:p w14:paraId="23C6B78F" w14:textId="77777777" w:rsidR="00ED0E85" w:rsidRDefault="00ED0E85" w:rsidP="00ED0E85">
      <w:pPr>
        <w:pStyle w:val="RecommendationNumber"/>
      </w:pPr>
      <w:r>
        <w:t>State and territory government should agree to a detailed examination of mandatory disclosure of NABERS ratings for apartment buildings, including consideration of an appropriate legal framework.</w:t>
      </w:r>
    </w:p>
    <w:p w14:paraId="197CAE7C" w14:textId="77777777" w:rsidR="00ED0E85" w:rsidRPr="00331C68" w:rsidRDefault="00ED0E85" w:rsidP="00ED0E85">
      <w:pPr>
        <w:pStyle w:val="RecommendationNumber"/>
      </w:pPr>
      <w:r>
        <w:t>As recovering the costs incurred by DEE in administering CBD Program (including compliance and enforcement costs) through user charges would be consistent with the Australian Government Cost Recovery Guidelines, DEE should the develop a compliant cost recovery framework.</w:t>
      </w:r>
    </w:p>
    <w:p w14:paraId="5F3E941A" w14:textId="77777777" w:rsidR="00ED0E85" w:rsidRDefault="00ED0E85" w:rsidP="00ED0E85">
      <w:pPr>
        <w:pStyle w:val="Heading2"/>
        <w:numPr>
          <w:ilvl w:val="1"/>
          <w:numId w:val="5"/>
        </w:numPr>
        <w:rPr>
          <w:lang w:eastAsia="en-US" w:bidi="fa-IR"/>
        </w:rPr>
      </w:pPr>
      <w:bookmarkStart w:id="81" w:name="_Toc19275488"/>
      <w:bookmarkStart w:id="82" w:name="_Toc19276098"/>
      <w:bookmarkStart w:id="83" w:name="_Toc19280097"/>
      <w:r>
        <w:rPr>
          <w:lang w:eastAsia="en-US" w:bidi="fa-IR"/>
        </w:rPr>
        <w:t>Feedback on our draft recommendations</w:t>
      </w:r>
      <w:bookmarkEnd w:id="81"/>
      <w:bookmarkEnd w:id="82"/>
      <w:bookmarkEnd w:id="83"/>
    </w:p>
    <w:p w14:paraId="7EC4871A" w14:textId="77777777" w:rsidR="00ED0E85" w:rsidRDefault="00ED0E85" w:rsidP="00ED0E85">
      <w:pPr>
        <w:pStyle w:val="BodyText"/>
        <w:rPr>
          <w:lang w:eastAsia="en-US" w:bidi="fa-IR"/>
        </w:rPr>
      </w:pPr>
      <w:r>
        <w:rPr>
          <w:lang w:eastAsia="en-US" w:bidi="fa-IR"/>
        </w:rPr>
        <w:t>We welcome feedback on all our draft recommendations and findings, particularly from those who would be users of information, such as building owners and operators, tenants and customers, and their representative groups. Feedback can be provided:</w:t>
      </w:r>
    </w:p>
    <w:p w14:paraId="547FF298" w14:textId="77777777" w:rsidR="00ED0E85" w:rsidRDefault="00ED0E85" w:rsidP="00ED0E85">
      <w:pPr>
        <w:pStyle w:val="ListBullet"/>
        <w:rPr>
          <w:lang w:eastAsia="en-US" w:bidi="fa-IR"/>
        </w:rPr>
      </w:pPr>
      <w:r>
        <w:rPr>
          <w:lang w:eastAsia="en-US" w:bidi="fa-IR"/>
        </w:rPr>
        <w:t>in person at stakeholder forums to be held:</w:t>
      </w:r>
    </w:p>
    <w:p w14:paraId="4B8A9EB0" w14:textId="77777777" w:rsidR="00ED0E85" w:rsidRDefault="00ED0E85" w:rsidP="00ED0E85">
      <w:pPr>
        <w:pStyle w:val="ListBullet2"/>
        <w:rPr>
          <w:lang w:eastAsia="en-US" w:bidi="fa-IR"/>
        </w:rPr>
      </w:pPr>
      <w:r>
        <w:rPr>
          <w:lang w:eastAsia="en-US" w:bidi="fa-IR"/>
        </w:rPr>
        <w:t>in Melbourne on 22 October 2019; and</w:t>
      </w:r>
    </w:p>
    <w:p w14:paraId="1FF6AE3D" w14:textId="77777777" w:rsidR="00ED0E85" w:rsidRDefault="00ED0E85" w:rsidP="00ED0E85">
      <w:pPr>
        <w:pStyle w:val="ListBullet2"/>
        <w:rPr>
          <w:lang w:eastAsia="en-US" w:bidi="fa-IR"/>
        </w:rPr>
      </w:pPr>
      <w:r>
        <w:rPr>
          <w:lang w:eastAsia="en-US" w:bidi="fa-IR"/>
        </w:rPr>
        <w:t>in Sydney on 28 and 29 October 2019</w:t>
      </w:r>
    </w:p>
    <w:p w14:paraId="55872E01" w14:textId="77777777" w:rsidR="00ED0E85" w:rsidRDefault="00ED0E85" w:rsidP="00ED0E85">
      <w:pPr>
        <w:pStyle w:val="ListBullet"/>
        <w:rPr>
          <w:lang w:eastAsia="en-US" w:bidi="fa-IR"/>
        </w:rPr>
      </w:pPr>
      <w:r>
        <w:rPr>
          <w:lang w:eastAsia="en-US" w:bidi="fa-IR"/>
        </w:rPr>
        <w:t>by contacting Phil Manners or Hayden Fisher on 02 9250 0800, pmanners@TheCIE.com.au/hfisher@TheCIE.com.au</w:t>
      </w:r>
    </w:p>
    <w:p w14:paraId="3DFCC005" w14:textId="77777777" w:rsidR="00ED0E85" w:rsidRDefault="00ED0E85" w:rsidP="00ED0E85">
      <w:pPr>
        <w:pStyle w:val="ListBullet"/>
        <w:rPr>
          <w:lang w:eastAsia="en-US" w:bidi="fa-IR"/>
        </w:rPr>
      </w:pPr>
      <w:r>
        <w:rPr>
          <w:lang w:eastAsia="en-US" w:bidi="fa-IR"/>
        </w:rPr>
        <w:t>through written submission to the above email addresses.</w:t>
      </w:r>
    </w:p>
    <w:p w14:paraId="245F499F" w14:textId="77777777" w:rsidR="00ED0E85" w:rsidRPr="003822C2" w:rsidRDefault="00ED0E85" w:rsidP="00ED0E85">
      <w:pPr>
        <w:pStyle w:val="BodyText"/>
        <w:rPr>
          <w:lang w:bidi="fa-IR"/>
        </w:rPr>
      </w:pPr>
    </w:p>
    <w:p w14:paraId="76982F60" w14:textId="77777777" w:rsidR="00ED0E85" w:rsidRDefault="00ED0E85" w:rsidP="00ED0E85">
      <w:pPr>
        <w:pStyle w:val="BodyText"/>
        <w:rPr>
          <w:lang w:bidi="fa-IR"/>
        </w:rPr>
      </w:pPr>
    </w:p>
    <w:p w14:paraId="475E752E" w14:textId="77777777" w:rsidR="00ED0E85" w:rsidRPr="00F51AF6" w:rsidRDefault="00ED0E85" w:rsidP="001F5383">
      <w:pPr>
        <w:pStyle w:val="Heading1"/>
        <w:numPr>
          <w:ilvl w:val="0"/>
          <w:numId w:val="18"/>
        </w:numPr>
      </w:pPr>
      <w:bookmarkStart w:id="84" w:name="_Toc19275489"/>
      <w:bookmarkStart w:id="85" w:name="_Toc19276099"/>
      <w:bookmarkStart w:id="86" w:name="_Toc19280098"/>
      <w:r>
        <w:t>Background and introduction</w:t>
      </w:r>
      <w:bookmarkEnd w:id="84"/>
      <w:bookmarkEnd w:id="85"/>
      <w:bookmarkEnd w:id="86"/>
    </w:p>
    <w:p w14:paraId="0DC23091" w14:textId="77777777" w:rsidR="00ED0E85" w:rsidRDefault="00ED0E85" w:rsidP="00ED0E85">
      <w:pPr>
        <w:pStyle w:val="Heading2"/>
        <w:numPr>
          <w:ilvl w:val="1"/>
          <w:numId w:val="5"/>
        </w:numPr>
        <w:rPr>
          <w:lang w:bidi="fa-IR"/>
        </w:rPr>
      </w:pPr>
      <w:bookmarkStart w:id="87" w:name="_Toc19275490"/>
      <w:bookmarkStart w:id="88" w:name="_Toc19276100"/>
      <w:bookmarkStart w:id="89" w:name="_Toc19280099"/>
      <w:r>
        <w:rPr>
          <w:lang w:bidi="fa-IR"/>
        </w:rPr>
        <w:t>Policy context</w:t>
      </w:r>
      <w:bookmarkEnd w:id="87"/>
      <w:bookmarkEnd w:id="88"/>
      <w:bookmarkEnd w:id="89"/>
    </w:p>
    <w:p w14:paraId="6DCDEFC2" w14:textId="7BE3D6BF" w:rsidR="00ED0E85" w:rsidRDefault="00ED0E85" w:rsidP="00ED0E85">
      <w:pPr>
        <w:pStyle w:val="BodyText"/>
        <w:rPr>
          <w:lang w:bidi="fa-IR"/>
        </w:rPr>
      </w:pPr>
      <w:r>
        <w:rPr>
          <w:lang w:bidi="fa-IR"/>
        </w:rPr>
        <w:t>Energy efficiency can be a low</w:t>
      </w:r>
      <w:r>
        <w:rPr>
          <w:lang w:bidi="fa-IR"/>
        </w:rPr>
        <w:noBreakHyphen/>
        <w:t>cost approach to reducing greenhouse gas (GHG) emissions and meeting Australia’s targets under the Paris Climate Agreement (see box </w:t>
      </w:r>
      <w:r>
        <w:rPr>
          <w:lang w:bidi="fa-IR"/>
        </w:rPr>
        <w:fldChar w:fldCharType="begin"/>
      </w:r>
      <w:r>
        <w:rPr>
          <w:lang w:bidi="fa-IR"/>
        </w:rPr>
        <w:instrText xml:space="preserve"> REF _Caption1993 </w:instrText>
      </w:r>
      <w:r>
        <w:rPr>
          <w:lang w:bidi="fa-IR"/>
        </w:rPr>
        <w:fldChar w:fldCharType="separate"/>
      </w:r>
      <w:r w:rsidR="00AD3561">
        <w:rPr>
          <w:noProof/>
        </w:rPr>
        <w:t>1</w:t>
      </w:r>
      <w:r w:rsidR="00AD3561" w:rsidRPr="00E05C8C">
        <w:rPr>
          <w:noProof/>
        </w:rPr>
        <w:t>.</w:t>
      </w:r>
      <w:r w:rsidR="00AD3561">
        <w:rPr>
          <w:noProof/>
        </w:rPr>
        <w:t>1</w:t>
      </w:r>
      <w:r>
        <w:rPr>
          <w:lang w:bidi="fa-IR"/>
        </w:rPr>
        <w:fldChar w:fldCharType="end"/>
      </w:r>
      <w:r>
        <w:rPr>
          <w:lang w:bidi="fa-IR"/>
        </w:rPr>
        <w:t>). In some cases, energy efficiency improvements can provide a ‘win</w:t>
      </w:r>
      <w:r>
        <w:rPr>
          <w:lang w:bidi="fa-IR"/>
        </w:rPr>
        <w:noBreakHyphen/>
        <w:t>win’ outcome by providing net private benefits (i.e. bill savings that exceed implementation costs) to energy users, as well as reducing GHG emissions.</w:t>
      </w:r>
    </w:p>
    <w:p w14:paraId="1073D174" w14:textId="77777777" w:rsidR="00ED0E85" w:rsidRDefault="00ED0E85" w:rsidP="00ED0E85">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Pr>
      <w:tblGrid>
        <w:gridCol w:w="7938"/>
      </w:tblGrid>
      <w:tr w:rsidR="00ED0E85" w:rsidRPr="00E05C8C" w14:paraId="45F689E2" w14:textId="77777777" w:rsidTr="00ED0E85">
        <w:trPr>
          <w:cantSplit/>
        </w:trPr>
        <w:tc>
          <w:tcPr>
            <w:tcW w:w="7938" w:type="dxa"/>
            <w:tcBorders>
              <w:top w:val="nil"/>
              <w:left w:val="nil"/>
              <w:bottom w:val="nil"/>
              <w:right w:val="nil"/>
            </w:tcBorders>
            <w:shd w:val="clear" w:color="auto" w:fill="C6BFAB" w:themeFill="accent3"/>
          </w:tcPr>
          <w:p w14:paraId="4636F8E0" w14:textId="1D558038" w:rsidR="00ED0E85" w:rsidRPr="00E05C8C" w:rsidRDefault="00ED0E85" w:rsidP="001F5383">
            <w:pPr>
              <w:pStyle w:val="Caption"/>
              <w:numPr>
                <w:ilvl w:val="0"/>
                <w:numId w:val="13"/>
              </w:numPr>
              <w:spacing w:before="120" w:after="100"/>
            </w:pPr>
            <w:r w:rsidRPr="00E05C8C">
              <w:fldChar w:fldCharType="begin"/>
            </w:r>
            <w:r w:rsidRPr="00E05C8C">
              <w:instrText xml:space="preserve"> IF 1 = 1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1</w:instrText>
            </w:r>
            <w:r>
              <w:rPr>
                <w:noProof/>
              </w:rPr>
              <w:fldChar w:fldCharType="end"/>
            </w:r>
            <w:r w:rsidRPr="00E05C8C">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1</w:instrText>
            </w:r>
            <w:r>
              <w:rPr>
                <w:noProof/>
              </w:rPr>
              <w:fldChar w:fldCharType="end"/>
            </w:r>
            <w:r w:rsidRPr="00E05C8C">
              <w:instrText xml:space="preserve">." </w:instrText>
            </w:r>
            <w:r w:rsidRPr="00E05C8C">
              <w:fldChar w:fldCharType="separate"/>
            </w:r>
            <w:r w:rsidR="00AD3561">
              <w:rPr>
                <w:noProof/>
              </w:rPr>
              <w:instrText>1</w:instrText>
            </w:r>
            <w:r w:rsidR="00AD3561" w:rsidRPr="00E05C8C">
              <w:rPr>
                <w:noProof/>
              </w:rPr>
              <w:instrText>.</w:instrText>
            </w:r>
            <w:r w:rsidRPr="00E05C8C">
              <w:fldChar w:fldCharType="end"/>
            </w:r>
            <w:r w:rsidRPr="00E05C8C">
              <w:instrText>" "</w:instrText>
            </w:r>
            <w:r w:rsidR="00C353B5">
              <w:fldChar w:fldCharType="begin"/>
            </w:r>
            <w:r w:rsidR="00C353B5">
              <w:instrText xml:space="preserve"> STYLEREF "Heading 6" \l \n </w:instrText>
            </w:r>
            <w:r w:rsidR="00C353B5">
              <w:fldChar w:fldCharType="separate"/>
            </w:r>
            <w:r w:rsidRPr="00E05C8C">
              <w:instrText>B</w:instrText>
            </w:r>
            <w:r w:rsidR="00C353B5">
              <w:fldChar w:fldCharType="end"/>
            </w:r>
            <w:r w:rsidRPr="00E05C8C">
              <w:instrText xml:space="preserve">." </w:instrText>
            </w:r>
            <w:r w:rsidRPr="00E05C8C">
              <w:fldChar w:fldCharType="separate"/>
            </w:r>
            <w:r w:rsidR="00C353B5">
              <w:rPr>
                <w:noProof/>
              </w:rPr>
              <w:instrText>1</w:instrText>
            </w:r>
            <w:r w:rsidR="00C353B5"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1</w:instrText>
            </w:r>
            <w:r>
              <w:rPr>
                <w:noProof/>
              </w:rPr>
              <w:fldChar w:fldCharType="end"/>
            </w:r>
            <w:r w:rsidRPr="00E05C8C">
              <w:instrText xml:space="preserve"> = 0 "" "1" </w:instrText>
            </w:r>
            <w:r w:rsidRPr="00E05C8C">
              <w:fldChar w:fldCharType="separate"/>
            </w:r>
            <w:r w:rsidR="00C353B5" w:rsidRPr="00E05C8C">
              <w:rPr>
                <w:noProof/>
              </w:rPr>
              <w:instrText>1</w:instrText>
            </w:r>
            <w:r w:rsidRPr="00E05C8C">
              <w:fldChar w:fldCharType="end"/>
            </w:r>
            <w:r w:rsidRPr="00E05C8C">
              <w:instrText xml:space="preserve">" "6" </w:instrText>
            </w:r>
            <w:r w:rsidRPr="00E05C8C">
              <w:fldChar w:fldCharType="separate"/>
            </w:r>
            <w:r w:rsidR="00C353B5" w:rsidRPr="00E05C8C">
              <w:rPr>
                <w:noProof/>
              </w:rPr>
              <w:instrText>1</w:instrText>
            </w:r>
            <w:r w:rsidRPr="00E05C8C">
              <w:fldChar w:fldCharType="end"/>
            </w:r>
            <w:r w:rsidRPr="00E05C8C">
              <w:instrText xml:space="preserve"> </w:instrText>
            </w:r>
            <w:r w:rsidRPr="00E05C8C">
              <w:fldChar w:fldCharType="separate"/>
            </w:r>
            <w:r w:rsidR="00AD3561">
              <w:rPr>
                <w:noProof/>
              </w:rPr>
              <w:instrText>1</w:instrText>
            </w:r>
            <w:r w:rsidRPr="00E05C8C">
              <w:fldChar w:fldCharType="end"/>
            </w:r>
            <w:r w:rsidRPr="00E05C8C">
              <w:instrText xml:space="preserve">" "" </w:instrText>
            </w:r>
            <w:r w:rsidRPr="00E05C8C">
              <w:fldChar w:fldCharType="separate"/>
            </w:r>
            <w:bookmarkStart w:id="90" w:name="_Caption8196"/>
            <w:bookmarkStart w:id="91" w:name="_Caption6355"/>
            <w:bookmarkStart w:id="92" w:name="_Caption1534"/>
            <w:bookmarkStart w:id="93" w:name="_Caption2795"/>
            <w:bookmarkStart w:id="94" w:name="_Caption1730"/>
            <w:bookmarkStart w:id="95" w:name="_Caption0491"/>
            <w:bookmarkStart w:id="96" w:name="_Caption1169"/>
            <w:bookmarkStart w:id="97" w:name="_Caption6008"/>
            <w:bookmarkStart w:id="98" w:name="_Caption6972"/>
            <w:bookmarkStart w:id="99" w:name="_Caption1499"/>
            <w:bookmarkStart w:id="100" w:name="_Caption4524"/>
            <w:bookmarkStart w:id="101" w:name="_Caption0258"/>
            <w:bookmarkStart w:id="102" w:name="_Caption4098"/>
            <w:bookmarkStart w:id="103" w:name="_Caption7547"/>
            <w:bookmarkStart w:id="104" w:name="_Caption4215"/>
            <w:bookmarkStart w:id="105" w:name="_Caption5614"/>
            <w:bookmarkStart w:id="106" w:name="_Caption1793"/>
            <w:bookmarkStart w:id="107" w:name="_Caption7656"/>
            <w:bookmarkStart w:id="108" w:name="_Caption7410"/>
            <w:bookmarkStart w:id="109" w:name="_Caption2350"/>
            <w:bookmarkStart w:id="110" w:name="_Caption3923"/>
            <w:bookmarkStart w:id="111" w:name="_Caption5723"/>
            <w:bookmarkStart w:id="112" w:name="_Caption3982"/>
            <w:bookmarkStart w:id="113" w:name="_Caption7230"/>
            <w:bookmarkStart w:id="114" w:name="_Caption2132"/>
            <w:bookmarkStart w:id="115" w:name="_Caption5130"/>
            <w:bookmarkStart w:id="116" w:name="_Caption1396"/>
            <w:bookmarkStart w:id="117" w:name="_Caption6111"/>
            <w:bookmarkStart w:id="118" w:name="_Caption4016"/>
            <w:bookmarkStart w:id="119" w:name="_Caption2822"/>
            <w:bookmarkStart w:id="120" w:name="_Caption7791"/>
            <w:bookmarkStart w:id="121" w:name="_Caption9657"/>
            <w:bookmarkStart w:id="122" w:name="_Caption7623"/>
            <w:bookmarkStart w:id="123" w:name="_Caption5612"/>
            <w:bookmarkStart w:id="124" w:name="_Caption2998"/>
            <w:bookmarkStart w:id="125" w:name="_Caption1943"/>
            <w:bookmarkStart w:id="126" w:name="_Caption0329"/>
            <w:bookmarkStart w:id="127" w:name="_Caption6480"/>
            <w:bookmarkStart w:id="128" w:name="_Caption1891"/>
            <w:bookmarkStart w:id="129" w:name="_Caption8982"/>
            <w:bookmarkStart w:id="130" w:name="_Caption6241"/>
            <w:bookmarkStart w:id="131" w:name="_Caption0976"/>
            <w:bookmarkStart w:id="132" w:name="_Caption1993"/>
            <w:bookmarkStart w:id="133" w:name="_Caption0911"/>
            <w:bookmarkStart w:id="134" w:name="_Caption6960"/>
            <w:bookmarkStart w:id="135" w:name="_Caption0784"/>
            <w:bookmarkStart w:id="136" w:name="_Caption8346"/>
            <w:bookmarkStart w:id="137" w:name="_Caption7820"/>
            <w:bookmarkStart w:id="138" w:name="_Caption8730"/>
            <w:bookmarkStart w:id="139" w:name="_Caption7677"/>
            <w:bookmarkStart w:id="140" w:name="_Caption2644"/>
            <w:bookmarkStart w:id="141" w:name="_Caption2527"/>
            <w:bookmarkStart w:id="142" w:name="_Caption4379"/>
            <w:bookmarkStart w:id="143" w:name="_Caption5301"/>
            <w:bookmarkStart w:id="144" w:name="_Caption5609"/>
            <w:bookmarkStart w:id="145" w:name="_Caption1167"/>
            <w:bookmarkStart w:id="146" w:name="_Caption3829"/>
            <w:bookmarkStart w:id="147" w:name="_Caption7123"/>
            <w:bookmarkStart w:id="148" w:name="_Caption9939"/>
            <w:bookmarkStart w:id="149" w:name="_Caption4418"/>
            <w:bookmarkStart w:id="150" w:name="_Caption2373"/>
            <w:bookmarkStart w:id="151" w:name="_Caption9095"/>
            <w:bookmarkStart w:id="152" w:name="_Caption7710"/>
            <w:bookmarkStart w:id="153" w:name="_Caption8904"/>
            <w:bookmarkStart w:id="154" w:name="_Caption9681"/>
            <w:bookmarkStart w:id="155" w:name="_Caption3107"/>
            <w:bookmarkStart w:id="156" w:name="_Caption8246"/>
            <w:bookmarkStart w:id="157" w:name="_Caption6703"/>
            <w:bookmarkStart w:id="158" w:name="_Caption7639"/>
            <w:bookmarkStart w:id="159" w:name="_Caption1130"/>
            <w:bookmarkStart w:id="160" w:name="_Caption6491"/>
            <w:bookmarkStart w:id="161" w:name="_Caption0516"/>
            <w:bookmarkStart w:id="162" w:name="_Caption6782"/>
            <w:bookmarkStart w:id="163" w:name="_Caption7363"/>
            <w:bookmarkStart w:id="164" w:name="_Caption2491"/>
            <w:bookmarkStart w:id="165" w:name="_Caption4404"/>
            <w:bookmarkStart w:id="166" w:name="_Caption5297"/>
            <w:bookmarkStart w:id="167" w:name="_Caption5870"/>
            <w:bookmarkStart w:id="168" w:name="_Caption2860"/>
            <w:bookmarkStart w:id="169" w:name="_Caption0204"/>
            <w:bookmarkStart w:id="170" w:name="_Caption7273"/>
            <w:bookmarkStart w:id="171" w:name="_Caption9438"/>
            <w:bookmarkStart w:id="172" w:name="_Caption5845"/>
            <w:bookmarkStart w:id="173" w:name="_Caption8150"/>
            <w:bookmarkStart w:id="174" w:name="_Caption7437"/>
            <w:bookmarkStart w:id="175" w:name="_Caption6014"/>
            <w:bookmarkStart w:id="176" w:name="_Caption1887"/>
            <w:bookmarkStart w:id="177" w:name="_Caption8561"/>
            <w:bookmarkStart w:id="178" w:name="_Caption2308"/>
            <w:bookmarkStart w:id="179" w:name="_Caption9867"/>
            <w:bookmarkStart w:id="180" w:name="_Caption0927"/>
            <w:bookmarkStart w:id="181" w:name="_Caption0930"/>
            <w:bookmarkStart w:id="182" w:name="_Caption4230"/>
            <w:bookmarkStart w:id="183" w:name="_Caption5023"/>
            <w:bookmarkStart w:id="184" w:name="_Caption8300"/>
            <w:bookmarkStart w:id="185" w:name="_Caption5227"/>
            <w:bookmarkStart w:id="186" w:name="_Caption4256"/>
            <w:bookmarkStart w:id="187" w:name="_Caption8223"/>
            <w:bookmarkStart w:id="188" w:name="_Caption5252"/>
            <w:bookmarkStart w:id="189" w:name="_Caption5682"/>
            <w:bookmarkStart w:id="190" w:name="_Caption8072"/>
            <w:bookmarkStart w:id="191" w:name="_Caption9851"/>
            <w:bookmarkStart w:id="192" w:name="_Caption6910"/>
            <w:bookmarkStart w:id="193" w:name="_Caption5949"/>
            <w:bookmarkStart w:id="194" w:name="_Caption5031"/>
            <w:bookmarkStart w:id="195" w:name="_Caption7098"/>
            <w:bookmarkStart w:id="196" w:name="_Caption9038"/>
            <w:bookmarkStart w:id="197" w:name="_Caption9966"/>
            <w:bookmarkStart w:id="198" w:name="_Caption3665"/>
            <w:bookmarkStart w:id="199" w:name="_Caption2707"/>
            <w:bookmarkStart w:id="200" w:name="_Toc530942260"/>
            <w:bookmarkStart w:id="201" w:name="_Toc19275560"/>
            <w:bookmarkStart w:id="202" w:name="_Toc19276170"/>
            <w:bookmarkStart w:id="203" w:name="_Toc19280169"/>
            <w:r w:rsidR="00C353B5">
              <w:rPr>
                <w:noProof/>
              </w:rPr>
              <w:t>1</w:t>
            </w:r>
            <w:r w:rsidR="00C353B5" w:rsidRPr="00E05C8C">
              <w:rPr>
                <w:noProof/>
              </w:rPr>
              <w:t>.</w:t>
            </w:r>
            <w:r w:rsidR="00C353B5">
              <w:rPr>
                <w:noProof/>
              </w:rPr>
              <w:t>1</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E05C8C">
              <w:fldChar w:fldCharType="end"/>
            </w:r>
            <w:r w:rsidRPr="00E05C8C">
              <w:tab/>
            </w:r>
            <w:r>
              <w:t>The Paris Climate Agreement</w:t>
            </w:r>
            <w:bookmarkEnd w:id="200"/>
            <w:bookmarkEnd w:id="201"/>
            <w:bookmarkEnd w:id="202"/>
            <w:bookmarkEnd w:id="203"/>
          </w:p>
        </w:tc>
      </w:tr>
      <w:tr w:rsidR="00ED0E85" w14:paraId="2A5DA5B9" w14:textId="77777777" w:rsidTr="00ED0E85">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9E8E5" w:themeFill="background2"/>
          </w:tcPr>
          <w:p w14:paraId="1E147B25" w14:textId="77777777" w:rsidR="00ED0E85" w:rsidRDefault="00ED0E85" w:rsidP="00ED0E85">
            <w:pPr>
              <w:pStyle w:val="BodyText"/>
            </w:pPr>
            <w:r>
              <w:t>The Paris Climate Agreement has been ratified by 168 of 197 Parties to the United Nations Framework Convention on Climate Change (UNFCCC), including Australia.</w:t>
            </w:r>
            <w:r>
              <w:rPr>
                <w:rStyle w:val="FootnoteReference"/>
              </w:rPr>
              <w:footnoteReference w:id="4"/>
            </w:r>
            <w:r>
              <w:t xml:space="preserve"> It aims to limit global warming to less than 2 degrees Celsius and pursue efforts to limit the rise to 1.5 degrees Celsius.</w:t>
            </w:r>
          </w:p>
          <w:p w14:paraId="12C4FE54" w14:textId="77777777" w:rsidR="00ED0E85" w:rsidRPr="00BF2F67" w:rsidRDefault="00ED0E85" w:rsidP="00ED0E85">
            <w:pPr>
              <w:pStyle w:val="BodyText"/>
            </w:pPr>
            <w:r>
              <w:t>The Paris Agreement requires all Parties to put forward their best efforts through ‘nationally determined contributions’. Australia has committed to implementing an economy-wide target to reduce greenhouse gas emissions by 26 to 28 per cent below the 2005 level by 2030.</w:t>
            </w:r>
            <w:r>
              <w:rPr>
                <w:rStyle w:val="FootnoteReference"/>
              </w:rPr>
              <w:footnoteReference w:id="5"/>
            </w:r>
          </w:p>
        </w:tc>
      </w:tr>
      <w:tr w:rsidR="00ED0E85" w14:paraId="7CDF1598" w14:textId="77777777" w:rsidTr="00ED0E85">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tcBorders>
              <w:bottom w:val="single" w:sz="6" w:space="0" w:color="9B917E" w:themeColor="accent4"/>
            </w:tcBorders>
            <w:shd w:val="clear" w:color="auto" w:fill="E9E8E5" w:themeFill="background2"/>
          </w:tcPr>
          <w:p w14:paraId="65AB6F70" w14:textId="77777777" w:rsidR="00ED0E85" w:rsidRDefault="00ED0E85" w:rsidP="00ED0E85"/>
        </w:tc>
      </w:tr>
      <w:tr w:rsidR="00ED0E85" w14:paraId="2C9A083A" w14:textId="77777777" w:rsidTr="00ED0E85">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98"/>
        </w:trPr>
        <w:tc>
          <w:tcPr>
            <w:tcW w:w="7938" w:type="dxa"/>
            <w:tcBorders>
              <w:top w:val="single" w:sz="6" w:space="0" w:color="9B917E" w:themeColor="accent4"/>
            </w:tcBorders>
            <w:shd w:val="clear" w:color="6F6652" w:fill="auto"/>
          </w:tcPr>
          <w:p w14:paraId="154C565E" w14:textId="77777777" w:rsidR="00ED0E85" w:rsidRDefault="00ED0E85" w:rsidP="00ED0E85"/>
        </w:tc>
      </w:tr>
    </w:tbl>
    <w:p w14:paraId="2C3A55C4" w14:textId="77777777" w:rsidR="00ED0E85" w:rsidRDefault="00ED0E85" w:rsidP="00ED0E85">
      <w:pPr>
        <w:pStyle w:val="BodyText"/>
      </w:pPr>
      <w:r>
        <w:t>The potential benefits of improving energy efficiency is reflected in various policy papers and plans including the following.</w:t>
      </w:r>
    </w:p>
    <w:p w14:paraId="54F8F8A0" w14:textId="77777777" w:rsidR="00ED0E85" w:rsidRDefault="00ED0E85" w:rsidP="001F5383">
      <w:pPr>
        <w:pStyle w:val="ListBullet"/>
        <w:numPr>
          <w:ilvl w:val="0"/>
          <w:numId w:val="17"/>
        </w:numPr>
      </w:pPr>
      <w:r>
        <w:t xml:space="preserve">The Commonwealth Government’s </w:t>
      </w:r>
      <w:r w:rsidRPr="00702D02">
        <w:rPr>
          <w:i/>
        </w:rPr>
        <w:t>Energy White Paper</w:t>
      </w:r>
      <w:r>
        <w:t xml:space="preserve"> — this was released in April 2015, and sets out an energy policy framework for Australia. Increasing energy productivity to promote growth was one of the </w:t>
      </w:r>
      <w:r w:rsidRPr="00702D02">
        <w:t>White Paper’s</w:t>
      </w:r>
      <w:r>
        <w:t xml:space="preserve"> three key themes.</w:t>
      </w:r>
    </w:p>
    <w:p w14:paraId="6E66E358" w14:textId="77777777" w:rsidR="00ED0E85" w:rsidRDefault="00ED0E85" w:rsidP="001F5383">
      <w:pPr>
        <w:pStyle w:val="ListBullet"/>
        <w:numPr>
          <w:ilvl w:val="0"/>
          <w:numId w:val="17"/>
        </w:numPr>
      </w:pPr>
      <w:r>
        <w:t xml:space="preserve">The National Energy Productivity Plan (NEPP) — as an integral part of the </w:t>
      </w:r>
      <w:r>
        <w:rPr>
          <w:i/>
        </w:rPr>
        <w:t>Energy White Paper</w:t>
      </w:r>
      <w:r>
        <w:t xml:space="preserve">, the Council of Australian Governments (COAG) Energy Council has developed the </w:t>
      </w:r>
      <w:r w:rsidRPr="004E2360">
        <w:rPr>
          <w:i/>
        </w:rPr>
        <w:t>National Energy Productivity Plan 2015 – 2030</w:t>
      </w:r>
      <w:r>
        <w:t>, released in December 2015. The Work Plan for NEPP developed 34 measures to achieve a target of improving Australia’s energy productivity by 40 per cent between 2015 and 2030 to:</w:t>
      </w:r>
    </w:p>
    <w:p w14:paraId="7C2CA345" w14:textId="77777777" w:rsidR="00ED0E85" w:rsidRDefault="00ED0E85" w:rsidP="00ED0E85">
      <w:pPr>
        <w:pStyle w:val="ListBullet2"/>
        <w:ind w:left="567" w:hanging="283"/>
      </w:pPr>
      <w:r>
        <w:t>boost competitiveness and growth</w:t>
      </w:r>
    </w:p>
    <w:p w14:paraId="57809B74" w14:textId="77777777" w:rsidR="00ED0E85" w:rsidRDefault="00ED0E85" w:rsidP="00ED0E85">
      <w:pPr>
        <w:pStyle w:val="ListBullet2"/>
        <w:ind w:left="567" w:hanging="283"/>
      </w:pPr>
      <w:r>
        <w:t>help families and businesses manage energy costs</w:t>
      </w:r>
    </w:p>
    <w:p w14:paraId="7BD8A80C" w14:textId="77777777" w:rsidR="00ED0E85" w:rsidRDefault="00ED0E85" w:rsidP="00ED0E85">
      <w:pPr>
        <w:pStyle w:val="ListBullet2"/>
        <w:ind w:left="567" w:hanging="283"/>
      </w:pPr>
      <w:r>
        <w:t>reduce greenhouse gas emissions.</w:t>
      </w:r>
      <w:r>
        <w:rPr>
          <w:rStyle w:val="FootnoteReference"/>
        </w:rPr>
        <w:footnoteReference w:id="6"/>
      </w:r>
    </w:p>
    <w:p w14:paraId="41B3DEAD" w14:textId="77777777" w:rsidR="00ED0E85" w:rsidRDefault="00ED0E85" w:rsidP="00ED0E85">
      <w:pPr>
        <w:pStyle w:val="Heading2"/>
        <w:numPr>
          <w:ilvl w:val="1"/>
          <w:numId w:val="5"/>
        </w:numPr>
        <w:rPr>
          <w:lang w:bidi="fa-IR"/>
        </w:rPr>
      </w:pPr>
      <w:bookmarkStart w:id="204" w:name="_Toc536623105"/>
      <w:bookmarkStart w:id="205" w:name="_Toc171572"/>
      <w:bookmarkStart w:id="206" w:name="_Toc2781948"/>
      <w:bookmarkStart w:id="207" w:name="_Toc19275491"/>
      <w:bookmarkStart w:id="208" w:name="_Toc19276101"/>
      <w:bookmarkStart w:id="209" w:name="_Toc19280100"/>
      <w:r>
        <w:rPr>
          <w:lang w:bidi="fa-IR"/>
        </w:rPr>
        <w:t>Overview of the CBD Program</w:t>
      </w:r>
      <w:bookmarkEnd w:id="204"/>
      <w:bookmarkEnd w:id="205"/>
      <w:bookmarkEnd w:id="206"/>
      <w:bookmarkEnd w:id="207"/>
      <w:bookmarkEnd w:id="208"/>
      <w:bookmarkEnd w:id="209"/>
    </w:p>
    <w:p w14:paraId="2C7278AD" w14:textId="77777777" w:rsidR="00ED0E85" w:rsidRDefault="00ED0E85" w:rsidP="00ED0E85">
      <w:pPr>
        <w:pStyle w:val="BodyText"/>
        <w:spacing w:before="80"/>
        <w:rPr>
          <w:lang w:bidi="fa-IR"/>
        </w:rPr>
      </w:pPr>
      <w:r w:rsidRPr="006A46AB">
        <w:rPr>
          <w:lang w:bidi="fa-IR"/>
        </w:rPr>
        <w:t>The Commercial Building Disclosure (CBD) Program requires information on the energy efficiency of a building to be made publicly</w:t>
      </w:r>
      <w:r w:rsidRPr="00836406">
        <w:rPr>
          <w:lang w:bidi="fa-IR"/>
        </w:rPr>
        <w:t xml:space="preserve"> available</w:t>
      </w:r>
      <w:r w:rsidRPr="00062340">
        <w:rPr>
          <w:lang w:bidi="fa-IR"/>
        </w:rPr>
        <w:t>. This means that it can be ac</w:t>
      </w:r>
      <w:r w:rsidRPr="00D72830">
        <w:rPr>
          <w:lang w:bidi="fa-IR"/>
        </w:rPr>
        <w:t>cessed to inform commercial decisions by prospective tenants and purchasers of a property.</w:t>
      </w:r>
      <w:r>
        <w:rPr>
          <w:lang w:bidi="fa-IR"/>
        </w:rPr>
        <w:t xml:space="preserve"> </w:t>
      </w:r>
      <w:r w:rsidRPr="00D22483">
        <w:rPr>
          <w:lang w:bidi="fa-IR"/>
        </w:rPr>
        <w:t xml:space="preserve">It applies to commercial office </w:t>
      </w:r>
      <w:r>
        <w:rPr>
          <w:lang w:bidi="fa-IR"/>
        </w:rPr>
        <w:t>space</w:t>
      </w:r>
      <w:r w:rsidRPr="00D22483">
        <w:rPr>
          <w:lang w:bidi="fa-IR"/>
        </w:rPr>
        <w:t xml:space="preserve"> </w:t>
      </w:r>
      <w:r>
        <w:rPr>
          <w:lang w:bidi="fa-IR"/>
        </w:rPr>
        <w:t>where more than 1000 m</w:t>
      </w:r>
      <w:r w:rsidRPr="009253DC">
        <w:rPr>
          <w:vertAlign w:val="superscript"/>
          <w:lang w:bidi="fa-IR"/>
        </w:rPr>
        <w:t>2</w:t>
      </w:r>
      <w:r>
        <w:rPr>
          <w:lang w:bidi="fa-IR"/>
        </w:rPr>
        <w:t xml:space="preserve">  is offered for lease or sale simultaneously, except:</w:t>
      </w:r>
    </w:p>
    <w:p w14:paraId="3E8C58EB" w14:textId="77777777" w:rsidR="00ED0E85" w:rsidRPr="00F65303" w:rsidRDefault="00ED0E85" w:rsidP="00ED0E85">
      <w:pPr>
        <w:pStyle w:val="ListBullet"/>
        <w:spacing w:before="50"/>
        <w:ind w:right="-427"/>
        <w:rPr>
          <w:spacing w:val="-3"/>
        </w:rPr>
      </w:pPr>
      <w:r w:rsidRPr="00F65303">
        <w:rPr>
          <w:spacing w:val="-3"/>
        </w:rPr>
        <w:t>new buildings where a certificate of occupancy (or equivalent) has either not yet been issued or was issued less than two years earlier</w:t>
      </w:r>
    </w:p>
    <w:p w14:paraId="293C0192" w14:textId="77777777" w:rsidR="00ED0E85" w:rsidRPr="00F65303" w:rsidRDefault="00ED0E85" w:rsidP="00ED0E85">
      <w:pPr>
        <w:pStyle w:val="ListBullet"/>
        <w:spacing w:before="50"/>
        <w:ind w:right="-427"/>
        <w:rPr>
          <w:spacing w:val="-3"/>
        </w:rPr>
      </w:pPr>
      <w:r w:rsidRPr="00F65303">
        <w:rPr>
          <w:spacing w:val="-3"/>
        </w:rPr>
        <w:t xml:space="preserve">buildings </w:t>
      </w:r>
      <w:r>
        <w:rPr>
          <w:spacing w:val="-3"/>
        </w:rPr>
        <w:t>that</w:t>
      </w:r>
      <w:r w:rsidRPr="00F65303">
        <w:rPr>
          <w:spacing w:val="-3"/>
        </w:rPr>
        <w:t xml:space="preserve"> have completed a major refurbishment for which a certificate of occupancy (or equivalent) was issued less than two years earlier</w:t>
      </w:r>
    </w:p>
    <w:p w14:paraId="7E14FB7A" w14:textId="77777777" w:rsidR="00ED0E85" w:rsidRPr="00F65303" w:rsidRDefault="00ED0E85" w:rsidP="00ED0E85">
      <w:pPr>
        <w:pStyle w:val="ListBullet"/>
        <w:spacing w:before="50"/>
        <w:ind w:right="-427"/>
        <w:rPr>
          <w:spacing w:val="-3"/>
        </w:rPr>
      </w:pPr>
      <w:r w:rsidRPr="00F65303">
        <w:rPr>
          <w:spacing w:val="-3"/>
        </w:rPr>
        <w:t>strata</w:t>
      </w:r>
      <w:r w:rsidRPr="00F65303">
        <w:rPr>
          <w:spacing w:val="-3"/>
        </w:rPr>
        <w:noBreakHyphen/>
        <w:t>titled buildings</w:t>
      </w:r>
    </w:p>
    <w:p w14:paraId="0600756E" w14:textId="77777777" w:rsidR="00ED0E85" w:rsidRPr="00F65303" w:rsidRDefault="00ED0E85" w:rsidP="00ED0E85">
      <w:pPr>
        <w:pStyle w:val="ListBullet"/>
        <w:spacing w:before="50"/>
        <w:ind w:right="-710"/>
        <w:rPr>
          <w:spacing w:val="-3"/>
        </w:rPr>
      </w:pPr>
      <w:r w:rsidRPr="00F65303">
        <w:rPr>
          <w:spacing w:val="-3"/>
        </w:rPr>
        <w:t>mixed use buildings where total office space comprises less than 75 per cent by net lettable area</w:t>
      </w:r>
    </w:p>
    <w:p w14:paraId="5AA5A50C" w14:textId="77777777" w:rsidR="00ED0E85" w:rsidRPr="00F65303" w:rsidRDefault="00ED0E85" w:rsidP="00ED0E85">
      <w:pPr>
        <w:pStyle w:val="ListBullet"/>
        <w:spacing w:before="50"/>
        <w:ind w:right="-427"/>
        <w:rPr>
          <w:spacing w:val="-3"/>
        </w:rPr>
      </w:pPr>
      <w:r w:rsidRPr="00F65303">
        <w:rPr>
          <w:spacing w:val="-3"/>
        </w:rPr>
        <w:t>spaces used for police or security operations; or where a rating cannot be assigned and an exemption has been granted.</w:t>
      </w:r>
    </w:p>
    <w:p w14:paraId="1FB99E05" w14:textId="77777777" w:rsidR="00ED0E85" w:rsidRPr="00D22483" w:rsidRDefault="00ED0E85" w:rsidP="00ED0E85">
      <w:pPr>
        <w:pStyle w:val="Heading3"/>
        <w:numPr>
          <w:ilvl w:val="2"/>
          <w:numId w:val="5"/>
        </w:numPr>
        <w:spacing w:before="360"/>
        <w:rPr>
          <w:lang w:bidi="fa-IR"/>
        </w:rPr>
      </w:pPr>
      <w:r w:rsidRPr="00D22483">
        <w:rPr>
          <w:lang w:bidi="fa-IR"/>
        </w:rPr>
        <w:t xml:space="preserve">How the CBD </w:t>
      </w:r>
      <w:r>
        <w:rPr>
          <w:lang w:bidi="fa-IR"/>
        </w:rPr>
        <w:t>P</w:t>
      </w:r>
      <w:r w:rsidRPr="00D22483">
        <w:rPr>
          <w:lang w:bidi="fa-IR"/>
        </w:rPr>
        <w:t>rogram works</w:t>
      </w:r>
    </w:p>
    <w:p w14:paraId="2EEFE56F" w14:textId="77777777" w:rsidR="00ED0E85" w:rsidRDefault="00ED0E85" w:rsidP="00ED0E85">
      <w:pPr>
        <w:pStyle w:val="BodyText"/>
        <w:spacing w:before="80"/>
        <w:rPr>
          <w:lang w:bidi="fa-IR"/>
        </w:rPr>
      </w:pPr>
      <w:r>
        <w:rPr>
          <w:lang w:bidi="fa-IR"/>
        </w:rPr>
        <w:t>The Commercial Building Disclosure (CBD) Program is a key national</w:t>
      </w:r>
      <w:r>
        <w:rPr>
          <w:lang w:bidi="fa-IR"/>
        </w:rPr>
        <w:noBreakHyphen/>
        <w:t xml:space="preserve">level policy to encourage energy efficiency improvements in existing buildings. </w:t>
      </w:r>
    </w:p>
    <w:p w14:paraId="44418EF8" w14:textId="77777777" w:rsidR="00ED0E85" w:rsidRDefault="00ED0E85" w:rsidP="00ED0E85">
      <w:pPr>
        <w:pStyle w:val="ListBullet"/>
        <w:rPr>
          <w:lang w:bidi="fa-IR"/>
        </w:rPr>
      </w:pPr>
      <w:r>
        <w:rPr>
          <w:lang w:bidi="fa-IR"/>
        </w:rPr>
        <w:t>Under the CBD Program,</w:t>
      </w:r>
      <w:r w:rsidRPr="00D22483">
        <w:rPr>
          <w:lang w:bidi="fa-IR"/>
        </w:rPr>
        <w:t xml:space="preserve"> </w:t>
      </w:r>
      <w:r>
        <w:rPr>
          <w:lang w:bidi="fa-IR"/>
        </w:rPr>
        <w:t>all office space greater than 1000 m</w:t>
      </w:r>
      <w:r w:rsidRPr="00677556">
        <w:rPr>
          <w:vertAlign w:val="superscript"/>
          <w:lang w:bidi="fa-IR"/>
        </w:rPr>
        <w:t>2</w:t>
      </w:r>
      <w:r>
        <w:rPr>
          <w:lang w:bidi="fa-IR"/>
        </w:rPr>
        <w:t xml:space="preserve"> must obtain </w:t>
      </w:r>
      <w:r w:rsidRPr="00D22483">
        <w:rPr>
          <w:lang w:bidi="fa-IR"/>
        </w:rPr>
        <w:t>a Building Energy Efficiency Certificate (BEEC)</w:t>
      </w:r>
      <w:r>
        <w:rPr>
          <w:lang w:bidi="fa-IR"/>
        </w:rPr>
        <w:t xml:space="preserve"> upon sale or lease</w:t>
      </w:r>
      <w:r w:rsidRPr="00D22483">
        <w:rPr>
          <w:lang w:bidi="fa-IR"/>
        </w:rPr>
        <w:t>.</w:t>
      </w:r>
    </w:p>
    <w:p w14:paraId="22168A0D" w14:textId="77777777" w:rsidR="00ED0E85" w:rsidRPr="00D22483" w:rsidRDefault="00ED0E85" w:rsidP="00ED0E85">
      <w:pPr>
        <w:pStyle w:val="ListBullet"/>
        <w:rPr>
          <w:lang w:bidi="fa-IR"/>
        </w:rPr>
      </w:pPr>
      <w:r w:rsidRPr="00D22483">
        <w:rPr>
          <w:lang w:bidi="fa-IR"/>
        </w:rPr>
        <w:t xml:space="preserve">A BEEC </w:t>
      </w:r>
      <w:r>
        <w:rPr>
          <w:lang w:bidi="fa-IR"/>
        </w:rPr>
        <w:t>includes</w:t>
      </w:r>
      <w:r w:rsidRPr="00D22483">
        <w:rPr>
          <w:lang w:bidi="fa-IR"/>
        </w:rPr>
        <w:t>:</w:t>
      </w:r>
    </w:p>
    <w:p w14:paraId="55BAD2EA" w14:textId="77777777" w:rsidR="00ED0E85" w:rsidRPr="00D22483" w:rsidRDefault="00ED0E85" w:rsidP="00ED0E85">
      <w:pPr>
        <w:pStyle w:val="ListBullet2"/>
        <w:rPr>
          <w:lang w:bidi="fa-IR"/>
        </w:rPr>
      </w:pPr>
      <w:r w:rsidRPr="00D22483">
        <w:rPr>
          <w:lang w:bidi="fa-IR"/>
        </w:rPr>
        <w:t xml:space="preserve">a </w:t>
      </w:r>
      <w:r>
        <w:rPr>
          <w:lang w:bidi="fa-IR"/>
        </w:rPr>
        <w:t>NABERS</w:t>
      </w:r>
      <w:r w:rsidRPr="00D22483">
        <w:rPr>
          <w:lang w:bidi="fa-IR"/>
        </w:rPr>
        <w:t xml:space="preserve"> star rating </w:t>
      </w:r>
      <w:r>
        <w:rPr>
          <w:lang w:bidi="fa-IR"/>
        </w:rPr>
        <w:t>that</w:t>
      </w:r>
      <w:r w:rsidRPr="00D22483">
        <w:rPr>
          <w:lang w:bidi="fa-IR"/>
        </w:rPr>
        <w:t xml:space="preserve"> provides information on energy use, GHG emissions and a benchmark of how energy use compares to similar buildings in similar climatic locations</w:t>
      </w:r>
    </w:p>
    <w:p w14:paraId="7B3A2BB4" w14:textId="77777777" w:rsidR="00ED0E85" w:rsidRDefault="00ED0E85" w:rsidP="00ED0E85">
      <w:pPr>
        <w:pStyle w:val="ListBullet2"/>
        <w:rPr>
          <w:lang w:bidi="fa-IR"/>
        </w:rPr>
      </w:pPr>
      <w:r w:rsidRPr="00D22483">
        <w:rPr>
          <w:lang w:bidi="fa-IR"/>
        </w:rPr>
        <w:t>the lighting efficiency of the tenanted area through a Te</w:t>
      </w:r>
      <w:r>
        <w:rPr>
          <w:lang w:bidi="fa-IR"/>
        </w:rPr>
        <w:t>nancy</w:t>
      </w:r>
      <w:r w:rsidRPr="00D22483">
        <w:rPr>
          <w:lang w:bidi="fa-IR"/>
        </w:rPr>
        <w:t xml:space="preserve"> Lighting Assessment (TLA). This provides a measure of the energy required to light each of the areas of a building</w:t>
      </w:r>
      <w:r>
        <w:rPr>
          <w:lang w:bidi="fa-IR"/>
        </w:rPr>
        <w:t>.</w:t>
      </w:r>
    </w:p>
    <w:p w14:paraId="01AB8A49" w14:textId="77777777" w:rsidR="00ED0E85" w:rsidRPr="00D22483" w:rsidRDefault="00ED0E85" w:rsidP="00ED0E85">
      <w:pPr>
        <w:pStyle w:val="ListBullet"/>
        <w:spacing w:before="50"/>
        <w:rPr>
          <w:lang w:bidi="fa-IR"/>
        </w:rPr>
      </w:pPr>
      <w:r>
        <w:rPr>
          <w:lang w:bidi="fa-IR"/>
        </w:rPr>
        <w:t>The NABERS rating must be disclosed in all advertising material.</w:t>
      </w:r>
    </w:p>
    <w:p w14:paraId="2CE4C998" w14:textId="77777777" w:rsidR="00ED0E85" w:rsidRDefault="00ED0E85" w:rsidP="00ED0E85">
      <w:pPr>
        <w:pStyle w:val="BodyText"/>
        <w:spacing w:before="50"/>
        <w:rPr>
          <w:lang w:bidi="fa-IR"/>
        </w:rPr>
      </w:pPr>
      <w:r w:rsidRPr="00D22483">
        <w:rPr>
          <w:lang w:bidi="fa-IR"/>
        </w:rPr>
        <w:t>A BEEC is prepared by a CBD</w:t>
      </w:r>
      <w:r>
        <w:rPr>
          <w:lang w:bidi="fa-IR"/>
        </w:rPr>
        <w:noBreakHyphen/>
      </w:r>
      <w:r w:rsidRPr="00D22483">
        <w:rPr>
          <w:lang w:bidi="fa-IR"/>
        </w:rPr>
        <w:t xml:space="preserve">accredited assessor. There are currently </w:t>
      </w:r>
      <w:r>
        <w:rPr>
          <w:lang w:bidi="fa-IR"/>
        </w:rPr>
        <w:t>176</w:t>
      </w:r>
      <w:r w:rsidRPr="00D22483">
        <w:rPr>
          <w:lang w:bidi="fa-IR"/>
        </w:rPr>
        <w:t xml:space="preserve"> accredited assessors around Australia.</w:t>
      </w:r>
      <w:r>
        <w:rPr>
          <w:lang w:bidi="fa-IR"/>
        </w:rPr>
        <w:t xml:space="preserve"> In larger jurisdictions there are many assessors. However, in smaller jurisdictions such as Northern Territory and Tasmania there are only 1</w:t>
      </w:r>
      <w:r>
        <w:rPr>
          <w:lang w:bidi="fa-IR"/>
        </w:rPr>
        <w:noBreakHyphen/>
        <w:t xml:space="preserve">2 accredited assessors. There are currently 437 accredited NABERS assessors, who can prepare a NABERS rating (which forms part of the BEEC). </w:t>
      </w:r>
    </w:p>
    <w:p w14:paraId="6016931A" w14:textId="215236AF" w:rsidR="00ED0E85" w:rsidRPr="00505510" w:rsidRDefault="00ED0E85" w:rsidP="00ED0E85">
      <w:pPr>
        <w:pStyle w:val="BodyText"/>
        <w:rPr>
          <w:lang w:bidi="fa-IR"/>
        </w:rPr>
      </w:pPr>
      <w:r w:rsidRPr="00720E94">
        <w:rPr>
          <w:lang w:bidi="fa-IR"/>
        </w:rPr>
        <w:t xml:space="preserve">An overview of the CBD </w:t>
      </w:r>
      <w:r>
        <w:rPr>
          <w:lang w:bidi="fa-IR"/>
        </w:rPr>
        <w:t>Program</w:t>
      </w:r>
      <w:r w:rsidRPr="00720E94">
        <w:rPr>
          <w:lang w:bidi="fa-IR"/>
        </w:rPr>
        <w:t xml:space="preserve"> and its evolution over time is shown i</w:t>
      </w:r>
      <w:r>
        <w:rPr>
          <w:lang w:bidi="fa-IR"/>
        </w:rPr>
        <w:t xml:space="preserve">n chart </w:t>
      </w:r>
      <w:r>
        <w:rPr>
          <w:lang w:bidi="fa-IR"/>
        </w:rPr>
        <w:fldChar w:fldCharType="begin"/>
      </w:r>
      <w:r>
        <w:rPr>
          <w:lang w:bidi="fa-IR"/>
        </w:rPr>
        <w:instrText xml:space="preserve"> REF _Caption7048 </w:instrText>
      </w:r>
      <w:r>
        <w:rPr>
          <w:lang w:bidi="fa-IR"/>
        </w:rPr>
        <w:fldChar w:fldCharType="separate"/>
      </w:r>
      <w:r w:rsidR="00AD3561">
        <w:rPr>
          <w:noProof/>
        </w:rPr>
        <w:t>1</w:t>
      </w:r>
      <w:r w:rsidR="00AD3561" w:rsidRPr="00695C93">
        <w:rPr>
          <w:noProof/>
        </w:rPr>
        <w:t>.</w:t>
      </w:r>
      <w:r w:rsidR="00AD3561">
        <w:rPr>
          <w:noProof/>
        </w:rPr>
        <w:t>3</w:t>
      </w:r>
      <w:r>
        <w:rPr>
          <w:lang w:bidi="fa-IR"/>
        </w:rPr>
        <w:fldChar w:fldCharType="end"/>
      </w:r>
      <w:r>
        <w:rPr>
          <w:lang w:bidi="fa-IR"/>
        </w:rPr>
        <w:t xml:space="preserve">. </w:t>
      </w:r>
      <w:r w:rsidRPr="00505510">
        <w:rPr>
          <w:lang w:bidi="fa-IR"/>
        </w:rPr>
        <w:t>Effectively, the CBD Program focuses on overcoming information asymmetries, where sellers/lessors do not disclose a building’s energy performance to potential buyers/lessees.</w:t>
      </w:r>
      <w:r>
        <w:rPr>
          <w:lang w:bidi="fa-IR"/>
        </w:rPr>
        <w:t xml:space="preserve"> A number of significant changes were made to the CBD Program following a previous review in 2015 by ACIL Allen Consulting.</w:t>
      </w:r>
      <w:r>
        <w:rPr>
          <w:rStyle w:val="FootnoteReference"/>
          <w:lang w:bidi="fa-IR"/>
        </w:rPr>
        <w:footnoteReference w:id="7"/>
      </w:r>
    </w:p>
    <w:p w14:paraId="5D1636D8" w14:textId="77777777" w:rsidR="00ED0E85" w:rsidRDefault="00ED0E85" w:rsidP="00ED0E85">
      <w:pPr>
        <w:pStyle w:val="BodyText"/>
        <w:rPr>
          <w:lang w:bidi="fa-IR"/>
        </w:rPr>
      </w:pPr>
      <w:r>
        <w:rPr>
          <w:lang w:bidi="fa-IR"/>
        </w:rPr>
        <w:t>The CBD Program was intended as a complement to mandatory minimum standards set out in the National Construction Code (NCC). Whereas the NCC applies only to new buildings (and buildings undergoing major refurbishment), the CBD Program aims to encourage improved energy performance of existing buildings.</w:t>
      </w:r>
    </w:p>
    <w:p w14:paraId="3842D39C" w14:textId="77777777" w:rsidR="00ED0E85" w:rsidRDefault="00ED0E85" w:rsidP="00ED0E85">
      <w:pPr>
        <w:pStyle w:val="Heading3"/>
        <w:numPr>
          <w:ilvl w:val="2"/>
          <w:numId w:val="5"/>
        </w:numPr>
        <w:rPr>
          <w:lang w:bidi="fa-IR"/>
        </w:rPr>
      </w:pPr>
      <w:r>
        <w:rPr>
          <w:lang w:bidi="fa-IR"/>
        </w:rPr>
        <w:t>Coverage of the CBD Program</w:t>
      </w:r>
    </w:p>
    <w:p w14:paraId="76BCEB06" w14:textId="3C08512D" w:rsidR="00ED0E85" w:rsidRPr="00DA291C" w:rsidRDefault="00ED0E85" w:rsidP="00ED0E85">
      <w:pPr>
        <w:pStyle w:val="BodyText"/>
      </w:pPr>
      <w:r>
        <w:t>Buildings that have been subject to mandatory disclosure cover 20 million square metres of floor space, and 11 PJ of energy use per year as of 2016</w:t>
      </w:r>
      <w:r>
        <w:noBreakHyphen/>
        <w:t>17 (table </w:t>
      </w:r>
      <w:r w:rsidR="004550CB">
        <w:rPr>
          <w:noProof/>
        </w:rPr>
        <w:fldChar w:fldCharType="begin"/>
      </w:r>
      <w:r w:rsidR="004550CB">
        <w:rPr>
          <w:noProof/>
        </w:rPr>
        <w:instrText xml:space="preserve"> REF _Caption6332 </w:instrText>
      </w:r>
      <w:r w:rsidR="004550CB">
        <w:rPr>
          <w:noProof/>
        </w:rPr>
        <w:fldChar w:fldCharType="separate"/>
      </w:r>
      <w:r w:rsidR="00AD3561">
        <w:rPr>
          <w:noProof/>
        </w:rPr>
        <w:t>1</w:t>
      </w:r>
      <w:r w:rsidR="00AD3561" w:rsidRPr="00695C93">
        <w:rPr>
          <w:noProof/>
        </w:rPr>
        <w:t>.</w:t>
      </w:r>
      <w:r w:rsidR="00AD3561">
        <w:rPr>
          <w:noProof/>
        </w:rPr>
        <w:t>2</w:t>
      </w:r>
      <w:r w:rsidR="004550CB">
        <w:rPr>
          <w:noProof/>
        </w:rPr>
        <w:fldChar w:fldCharType="end"/>
      </w:r>
      <w:r>
        <w:t>). This is equivalent to</w:t>
      </w:r>
      <w:r w:rsidRPr="00DA291C">
        <w:t xml:space="preserve"> </w:t>
      </w:r>
      <w:r>
        <w:t>~one</w:t>
      </w:r>
      <w:r>
        <w:noBreakHyphen/>
        <w:t xml:space="preserve">third of estimated energy use from stand-alone offices, 7 per cent of estimated non-residential building energy use (which includes education, public buildings, hospitals, retail and hotels) and 0.6 per cent of Australia’s electricity and gas consumption. The program does not cover the energy use of offices outside of the base building (in most cases), does not cover very small buildings (less than 1000 </w:t>
      </w:r>
      <w:r>
        <w:rPr>
          <w:lang w:bidi="fa-IR"/>
        </w:rPr>
        <w:t>m</w:t>
      </w:r>
      <w:r w:rsidRPr="0051635B">
        <w:rPr>
          <w:vertAlign w:val="superscript"/>
          <w:lang w:bidi="fa-IR"/>
        </w:rPr>
        <w:t>2</w:t>
      </w:r>
      <w:r>
        <w:t>) and has a range of other exemptions.</w:t>
      </w:r>
    </w:p>
    <w:p w14:paraId="48913FD6" w14:textId="749E5D2B" w:rsidR="00ED0E85" w:rsidRDefault="00ED0E85" w:rsidP="00ED0E85">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1</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1</w:instrText>
      </w:r>
      <w:r>
        <w:rPr>
          <w:noProof/>
        </w:rPr>
        <w:fldChar w:fldCharType="end"/>
      </w:r>
      <w:r w:rsidRPr="00695C93">
        <w:instrText xml:space="preserve">." </w:instrText>
      </w:r>
      <w:r w:rsidRPr="00695C93">
        <w:fldChar w:fldCharType="separate"/>
      </w:r>
      <w:r w:rsidR="00AD3561">
        <w:rPr>
          <w:noProof/>
        </w:rPr>
        <w:instrText>1</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1</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1</w:instrText>
      </w:r>
      <w:r>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2</w:instrText>
      </w:r>
      <w:r w:rsidRPr="00695C93">
        <w:fldChar w:fldCharType="end"/>
      </w:r>
      <w:r w:rsidRPr="00695C93">
        <w:instrText xml:space="preserve">" "" </w:instrText>
      </w:r>
      <w:r w:rsidRPr="00695C93">
        <w:fldChar w:fldCharType="separate"/>
      </w:r>
      <w:bookmarkStart w:id="210" w:name="_Caption0734"/>
      <w:bookmarkStart w:id="211" w:name="_Caption6985"/>
      <w:bookmarkStart w:id="212" w:name="_Caption1066"/>
      <w:bookmarkStart w:id="213" w:name="_Caption6332"/>
      <w:bookmarkStart w:id="214" w:name="_Caption0036"/>
      <w:bookmarkStart w:id="215" w:name="_Caption4204"/>
      <w:bookmarkStart w:id="216" w:name="_Caption2893"/>
      <w:bookmarkStart w:id="217" w:name="_Caption3275"/>
      <w:bookmarkStart w:id="218" w:name="_Caption0589"/>
      <w:bookmarkStart w:id="219" w:name="_Caption9297"/>
      <w:bookmarkStart w:id="220" w:name="_Caption5805"/>
      <w:bookmarkStart w:id="221" w:name="_Caption8332"/>
      <w:bookmarkStart w:id="222" w:name="_Caption1387"/>
      <w:bookmarkStart w:id="223" w:name="_Caption0751"/>
      <w:bookmarkStart w:id="224" w:name="_Caption9235"/>
      <w:bookmarkStart w:id="225" w:name="_Caption1382"/>
      <w:bookmarkStart w:id="226" w:name="_Caption4209"/>
      <w:bookmarkStart w:id="227" w:name="_Caption5534"/>
      <w:bookmarkStart w:id="228" w:name="_Caption9694"/>
      <w:bookmarkStart w:id="229" w:name="_Caption4247"/>
      <w:bookmarkStart w:id="230" w:name="_Caption4449"/>
      <w:bookmarkStart w:id="231" w:name="_Caption4121"/>
      <w:bookmarkStart w:id="232" w:name="_Caption0697"/>
      <w:bookmarkStart w:id="233" w:name="_Caption2037"/>
      <w:bookmarkStart w:id="234" w:name="_Caption3520"/>
      <w:bookmarkStart w:id="235" w:name="_Caption3852"/>
      <w:bookmarkStart w:id="236" w:name="_Caption4667"/>
      <w:bookmarkStart w:id="237" w:name="_Caption8207"/>
      <w:bookmarkStart w:id="238" w:name="_Caption0704"/>
      <w:bookmarkStart w:id="239" w:name="_Caption6369"/>
      <w:bookmarkStart w:id="240" w:name="_Caption8752"/>
      <w:bookmarkStart w:id="241" w:name="_Caption1230"/>
      <w:bookmarkStart w:id="242" w:name="_Caption9092"/>
      <w:bookmarkStart w:id="243" w:name="_Caption5822"/>
      <w:bookmarkStart w:id="244" w:name="_Caption7897"/>
      <w:bookmarkStart w:id="245" w:name="_Caption1703"/>
      <w:bookmarkStart w:id="246" w:name="_Caption3865"/>
      <w:bookmarkStart w:id="247" w:name="_Caption5121"/>
      <w:bookmarkStart w:id="248" w:name="_Caption5843"/>
      <w:bookmarkStart w:id="249" w:name="_Caption8823"/>
      <w:bookmarkStart w:id="250" w:name="_Caption5265"/>
      <w:bookmarkStart w:id="251" w:name="_Caption9392"/>
      <w:bookmarkStart w:id="252" w:name="_Caption8837"/>
      <w:bookmarkStart w:id="253" w:name="_Caption1427"/>
      <w:bookmarkStart w:id="254" w:name="_Caption3804"/>
      <w:bookmarkStart w:id="255" w:name="_Caption1082"/>
      <w:bookmarkStart w:id="256" w:name="_Caption1384"/>
      <w:bookmarkStart w:id="257" w:name="_Caption9257"/>
      <w:bookmarkStart w:id="258" w:name="_Caption5196"/>
      <w:bookmarkStart w:id="259" w:name="_Caption3681"/>
      <w:bookmarkStart w:id="260" w:name="_Caption7318"/>
      <w:bookmarkStart w:id="261" w:name="_Caption9740"/>
      <w:bookmarkStart w:id="262" w:name="_Caption4083"/>
      <w:bookmarkStart w:id="263" w:name="_Caption0928"/>
      <w:bookmarkStart w:id="264" w:name="_Caption5707"/>
      <w:bookmarkStart w:id="265" w:name="_Caption1543"/>
      <w:bookmarkStart w:id="266" w:name="_Caption4586"/>
      <w:bookmarkStart w:id="267" w:name="_Caption2578"/>
      <w:bookmarkStart w:id="268" w:name="_Caption1323"/>
      <w:bookmarkStart w:id="269" w:name="_Caption7982"/>
      <w:bookmarkStart w:id="270" w:name="_Caption4488"/>
      <w:bookmarkStart w:id="271" w:name="_Caption8644"/>
      <w:bookmarkStart w:id="272" w:name="_Caption3769"/>
      <w:bookmarkStart w:id="273" w:name="_Caption6204"/>
      <w:bookmarkStart w:id="274" w:name="_Caption0737"/>
      <w:bookmarkStart w:id="275" w:name="_Caption8589"/>
      <w:bookmarkStart w:id="276" w:name="_Caption0916"/>
      <w:bookmarkStart w:id="277" w:name="_Caption7519"/>
      <w:bookmarkStart w:id="278" w:name="_Caption2114"/>
      <w:bookmarkStart w:id="279" w:name="_Caption3884"/>
      <w:bookmarkStart w:id="280" w:name="_Caption2436"/>
      <w:bookmarkStart w:id="281" w:name="_Caption5423"/>
      <w:bookmarkStart w:id="282" w:name="_Caption3971"/>
      <w:bookmarkStart w:id="283" w:name="_Caption8602"/>
      <w:bookmarkStart w:id="284" w:name="_Caption8263"/>
      <w:bookmarkStart w:id="285" w:name="_Caption8803"/>
      <w:bookmarkStart w:id="286" w:name="_Caption0503"/>
      <w:bookmarkStart w:id="287" w:name="_Caption6975"/>
      <w:bookmarkStart w:id="288" w:name="_Caption4902"/>
      <w:bookmarkStart w:id="289" w:name="_Caption8257"/>
      <w:bookmarkStart w:id="290" w:name="_Caption4245"/>
      <w:bookmarkStart w:id="291" w:name="_Caption4196"/>
      <w:bookmarkStart w:id="292" w:name="_Caption9446"/>
      <w:bookmarkStart w:id="293" w:name="_Caption6944"/>
      <w:bookmarkStart w:id="294" w:name="_Caption0997"/>
      <w:bookmarkStart w:id="295" w:name="_Caption6948"/>
      <w:bookmarkStart w:id="296" w:name="_Caption9003"/>
      <w:bookmarkStart w:id="297" w:name="_Caption7855"/>
      <w:bookmarkStart w:id="298" w:name="_Caption1039"/>
      <w:bookmarkStart w:id="299" w:name="_Caption1822"/>
      <w:bookmarkStart w:id="300" w:name="_Caption3162"/>
      <w:bookmarkStart w:id="301" w:name="_Caption1000"/>
      <w:bookmarkStart w:id="302" w:name="_Caption8721"/>
      <w:bookmarkStart w:id="303" w:name="_Caption1597"/>
      <w:bookmarkStart w:id="304" w:name="_Caption9098"/>
      <w:bookmarkStart w:id="305" w:name="_Caption1211"/>
      <w:bookmarkStart w:id="306" w:name="_Caption3077"/>
      <w:bookmarkStart w:id="307" w:name="_Caption2380"/>
      <w:bookmarkStart w:id="308" w:name="_Caption9207"/>
      <w:bookmarkStart w:id="309" w:name="_Caption3305"/>
      <w:bookmarkStart w:id="310" w:name="_Caption0304"/>
      <w:bookmarkStart w:id="311" w:name="_Caption3090"/>
      <w:bookmarkStart w:id="312" w:name="_Caption9485"/>
      <w:bookmarkStart w:id="313" w:name="_Caption8007"/>
      <w:bookmarkStart w:id="314" w:name="_Caption0889"/>
      <w:bookmarkStart w:id="315" w:name="_Caption7154"/>
      <w:bookmarkStart w:id="316" w:name="_Caption3145"/>
      <w:bookmarkStart w:id="317" w:name="_Caption2671"/>
      <w:bookmarkStart w:id="318" w:name="_Caption1558"/>
      <w:bookmarkStart w:id="319" w:name="_Toc536623127"/>
      <w:bookmarkStart w:id="320" w:name="_Toc171545"/>
      <w:bookmarkStart w:id="321" w:name="_Toc2781963"/>
      <w:bookmarkStart w:id="322" w:name="_Toc19275561"/>
      <w:bookmarkStart w:id="323" w:name="_Toc19276171"/>
      <w:bookmarkStart w:id="324" w:name="_Toc19280170"/>
      <w:r w:rsidR="00C353B5">
        <w:rPr>
          <w:noProof/>
        </w:rPr>
        <w:t>1</w:t>
      </w:r>
      <w:r w:rsidR="00C353B5" w:rsidRPr="00695C93">
        <w:rPr>
          <w:noProof/>
        </w:rPr>
        <w:t>.</w:t>
      </w:r>
      <w:r w:rsidR="00C353B5">
        <w:rPr>
          <w:noProof/>
        </w:rPr>
        <w:t>2</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695C93">
        <w:fldChar w:fldCharType="end"/>
      </w:r>
      <w:r w:rsidRPr="00695C93">
        <w:tab/>
      </w:r>
      <w:r>
        <w:t>Energy use in commercial buildings</w:t>
      </w:r>
      <w:bookmarkEnd w:id="319"/>
      <w:bookmarkEnd w:id="320"/>
      <w:bookmarkEnd w:id="321"/>
      <w:bookmarkEnd w:id="322"/>
      <w:bookmarkEnd w:id="323"/>
      <w:bookmarkEnd w:id="324"/>
    </w:p>
    <w:tbl>
      <w:tblPr>
        <w:tblW w:w="0" w:type="auto"/>
        <w:tblLayout w:type="fixed"/>
        <w:tblLook w:val="0000" w:firstRow="0" w:lastRow="0" w:firstColumn="0" w:lastColumn="0" w:noHBand="0" w:noVBand="0"/>
      </w:tblPr>
      <w:tblGrid>
        <w:gridCol w:w="3686"/>
        <w:gridCol w:w="1417"/>
        <w:gridCol w:w="1417"/>
        <w:gridCol w:w="1417"/>
      </w:tblGrid>
      <w:tr w:rsidR="00ED0E85" w14:paraId="5E7AA906" w14:textId="77777777" w:rsidTr="00ED0E85">
        <w:trPr>
          <w:tblHeader/>
        </w:trPr>
        <w:tc>
          <w:tcPr>
            <w:tcW w:w="3686" w:type="dxa"/>
            <w:shd w:val="clear" w:color="auto" w:fill="6F6652"/>
            <w:tcMar>
              <w:left w:w="57" w:type="dxa"/>
              <w:right w:w="57" w:type="dxa"/>
            </w:tcMar>
          </w:tcPr>
          <w:p w14:paraId="074ADBEC" w14:textId="77777777" w:rsidR="00ED0E85" w:rsidRDefault="00ED0E85" w:rsidP="00ED0E85">
            <w:pPr>
              <w:pStyle w:val="TableDataColumnHeading"/>
              <w:jc w:val="left"/>
            </w:pPr>
          </w:p>
        </w:tc>
        <w:tc>
          <w:tcPr>
            <w:tcW w:w="1417" w:type="dxa"/>
            <w:shd w:val="clear" w:color="auto" w:fill="6F6652"/>
            <w:tcMar>
              <w:left w:w="57" w:type="dxa"/>
              <w:right w:w="57" w:type="dxa"/>
            </w:tcMar>
          </w:tcPr>
          <w:p w14:paraId="5DE3A4C7" w14:textId="77777777" w:rsidR="00ED0E85" w:rsidRDefault="00ED0E85" w:rsidP="00ED0E85">
            <w:pPr>
              <w:pStyle w:val="TableDataColumnHeading"/>
            </w:pPr>
            <w:r>
              <w:t>Area</w:t>
            </w:r>
          </w:p>
        </w:tc>
        <w:tc>
          <w:tcPr>
            <w:tcW w:w="1417" w:type="dxa"/>
            <w:shd w:val="clear" w:color="auto" w:fill="6F6652"/>
          </w:tcPr>
          <w:p w14:paraId="01356168" w14:textId="77777777" w:rsidR="00ED0E85" w:rsidRDefault="00ED0E85" w:rsidP="00ED0E85">
            <w:pPr>
              <w:pStyle w:val="TableDataColumnHeading"/>
            </w:pPr>
            <w:r>
              <w:t>Energy use</w:t>
            </w:r>
          </w:p>
        </w:tc>
        <w:tc>
          <w:tcPr>
            <w:tcW w:w="1417" w:type="dxa"/>
            <w:shd w:val="clear" w:color="auto" w:fill="6F6652"/>
            <w:tcMar>
              <w:left w:w="57" w:type="dxa"/>
              <w:right w:w="57" w:type="dxa"/>
            </w:tcMar>
          </w:tcPr>
          <w:p w14:paraId="77E6709A" w14:textId="77777777" w:rsidR="00ED0E85" w:rsidRDefault="00ED0E85" w:rsidP="00ED0E85">
            <w:pPr>
              <w:pStyle w:val="TableDataColumnHeading"/>
            </w:pPr>
            <w:r>
              <w:t>Share of Australia’s electricity and gas consumption</w:t>
            </w:r>
          </w:p>
        </w:tc>
      </w:tr>
      <w:tr w:rsidR="00ED0E85" w14:paraId="17AB3E40" w14:textId="77777777" w:rsidTr="00ED0E85">
        <w:trPr>
          <w:tblHeader/>
        </w:trPr>
        <w:tc>
          <w:tcPr>
            <w:tcW w:w="3686" w:type="dxa"/>
            <w:tcBorders>
              <w:bottom w:val="single" w:sz="8" w:space="0" w:color="FFFFFF" w:themeColor="background1"/>
            </w:tcBorders>
            <w:shd w:val="clear" w:color="auto" w:fill="auto"/>
            <w:tcMar>
              <w:left w:w="57" w:type="dxa"/>
              <w:right w:w="57" w:type="dxa"/>
            </w:tcMar>
          </w:tcPr>
          <w:p w14:paraId="22B331E9" w14:textId="77777777" w:rsidR="00ED0E85" w:rsidRDefault="00ED0E85" w:rsidP="00ED0E85">
            <w:pPr>
              <w:pStyle w:val="TableUnit"/>
              <w:jc w:val="left"/>
            </w:pPr>
          </w:p>
        </w:tc>
        <w:tc>
          <w:tcPr>
            <w:tcW w:w="1417" w:type="dxa"/>
            <w:tcBorders>
              <w:bottom w:val="single" w:sz="8" w:space="0" w:color="FFFFFF" w:themeColor="background1"/>
            </w:tcBorders>
            <w:shd w:val="clear" w:color="auto" w:fill="auto"/>
            <w:tcMar>
              <w:left w:w="57" w:type="dxa"/>
              <w:right w:w="57" w:type="dxa"/>
            </w:tcMar>
          </w:tcPr>
          <w:p w14:paraId="4F8E6C3E" w14:textId="77777777" w:rsidR="00ED0E85" w:rsidRDefault="00ED0E85" w:rsidP="00ED0E85">
            <w:pPr>
              <w:pStyle w:val="TableUnit"/>
            </w:pPr>
            <w:r>
              <w:t>Million m</w:t>
            </w:r>
            <w:r w:rsidRPr="009253DC">
              <w:rPr>
                <w:vertAlign w:val="superscript"/>
              </w:rPr>
              <w:t>2</w:t>
            </w:r>
          </w:p>
        </w:tc>
        <w:tc>
          <w:tcPr>
            <w:tcW w:w="1417" w:type="dxa"/>
            <w:tcBorders>
              <w:bottom w:val="single" w:sz="8" w:space="0" w:color="FFFFFF" w:themeColor="background1"/>
            </w:tcBorders>
            <w:shd w:val="clear" w:color="auto" w:fill="auto"/>
          </w:tcPr>
          <w:p w14:paraId="25DB73FF" w14:textId="77777777" w:rsidR="00ED0E85" w:rsidRDefault="00ED0E85" w:rsidP="00ED0E85">
            <w:pPr>
              <w:pStyle w:val="TableUnit"/>
            </w:pPr>
            <w:r>
              <w:t>PJ/year</w:t>
            </w:r>
          </w:p>
        </w:tc>
        <w:tc>
          <w:tcPr>
            <w:tcW w:w="1417" w:type="dxa"/>
            <w:tcBorders>
              <w:bottom w:val="single" w:sz="8" w:space="0" w:color="FFFFFF" w:themeColor="background1"/>
            </w:tcBorders>
            <w:shd w:val="clear" w:color="auto" w:fill="auto"/>
            <w:tcMar>
              <w:left w:w="57" w:type="dxa"/>
              <w:right w:w="57" w:type="dxa"/>
            </w:tcMar>
          </w:tcPr>
          <w:p w14:paraId="6EFDBF92" w14:textId="77777777" w:rsidR="00ED0E85" w:rsidRDefault="00ED0E85" w:rsidP="00ED0E85">
            <w:pPr>
              <w:pStyle w:val="TableUnit"/>
            </w:pPr>
            <w:r>
              <w:t>Per cent</w:t>
            </w:r>
          </w:p>
        </w:tc>
      </w:tr>
      <w:tr w:rsidR="00ED0E85" w14:paraId="13D79943" w14:textId="77777777" w:rsidTr="00ED0E85">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7FDA9E" w14:textId="77777777" w:rsidR="00ED0E85" w:rsidRDefault="00ED0E85" w:rsidP="00ED0E85">
            <w:pPr>
              <w:pStyle w:val="TableDataEntries"/>
              <w:jc w:val="left"/>
            </w:pPr>
            <w:r>
              <w:t>Australia energy consumption</w:t>
            </w:r>
            <w:r w:rsidRPr="00E4232C">
              <w:rPr>
                <w:rStyle w:val="NoteLabel"/>
              </w:rPr>
              <w:t xml:space="preserve"> a</w:t>
            </w:r>
          </w:p>
        </w:tc>
        <w:tc>
          <w:tcPr>
            <w:tcW w:w="14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6F2B02D" w14:textId="77777777" w:rsidR="00ED0E85" w:rsidRDefault="00ED0E85" w:rsidP="00ED0E85">
            <w:pPr>
              <w:pStyle w:val="TableDataEntries"/>
            </w:pPr>
            <w:r>
              <w:t>Na</w:t>
            </w:r>
          </w:p>
        </w:tc>
        <w:tc>
          <w:tcPr>
            <w:tcW w:w="1417" w:type="dxa"/>
            <w:tcBorders>
              <w:top w:val="single" w:sz="8" w:space="0" w:color="FFFFFF" w:themeColor="background1"/>
              <w:bottom w:val="single" w:sz="8" w:space="0" w:color="FFFFFF" w:themeColor="background1"/>
            </w:tcBorders>
            <w:shd w:val="clear" w:color="auto" w:fill="E9E8E5" w:themeFill="background2"/>
            <w:vAlign w:val="center"/>
          </w:tcPr>
          <w:p w14:paraId="275D5A7B" w14:textId="77777777" w:rsidR="00ED0E85" w:rsidRDefault="00ED0E85" w:rsidP="00ED0E85">
            <w:pPr>
              <w:pStyle w:val="TableDataEntries"/>
            </w:pPr>
            <w:r>
              <w:t>6 146</w:t>
            </w:r>
          </w:p>
        </w:tc>
        <w:tc>
          <w:tcPr>
            <w:tcW w:w="14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364FA00" w14:textId="77777777" w:rsidR="00ED0E85" w:rsidRDefault="00ED0E85" w:rsidP="00ED0E85">
            <w:pPr>
              <w:pStyle w:val="TableDataEntries"/>
            </w:pPr>
            <w:r>
              <w:t>Na</w:t>
            </w:r>
          </w:p>
        </w:tc>
      </w:tr>
      <w:tr w:rsidR="00ED0E85" w14:paraId="5E491E40" w14:textId="77777777" w:rsidTr="00ED0E85">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1F48D9" w14:textId="77777777" w:rsidR="00ED0E85" w:rsidRDefault="00ED0E85" w:rsidP="00ED0E85">
            <w:pPr>
              <w:pStyle w:val="TableDataEntries"/>
              <w:jc w:val="left"/>
            </w:pPr>
            <w:r>
              <w:t>Australia’s electricity and gas consumption</w:t>
            </w:r>
            <w:r w:rsidRPr="00E4232C">
              <w:rPr>
                <w:rStyle w:val="NoteLabel"/>
              </w:rPr>
              <w:t xml:space="preserve"> a</w:t>
            </w:r>
          </w:p>
        </w:tc>
        <w:tc>
          <w:tcPr>
            <w:tcW w:w="14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83A9ECC" w14:textId="77777777" w:rsidR="00ED0E85" w:rsidRDefault="00ED0E85" w:rsidP="00ED0E85">
            <w:pPr>
              <w:pStyle w:val="TableDataEntries"/>
            </w:pPr>
            <w:r>
              <w:t>Na</w:t>
            </w:r>
          </w:p>
        </w:tc>
        <w:tc>
          <w:tcPr>
            <w:tcW w:w="1417" w:type="dxa"/>
            <w:tcBorders>
              <w:top w:val="single" w:sz="8" w:space="0" w:color="FFFFFF" w:themeColor="background1"/>
              <w:bottom w:val="single" w:sz="8" w:space="0" w:color="FFFFFF" w:themeColor="background1"/>
            </w:tcBorders>
            <w:shd w:val="clear" w:color="auto" w:fill="E9E8E5" w:themeFill="background2"/>
            <w:vAlign w:val="center"/>
          </w:tcPr>
          <w:p w14:paraId="3BEADC84" w14:textId="77777777" w:rsidR="00ED0E85" w:rsidRDefault="00ED0E85" w:rsidP="00ED0E85">
            <w:pPr>
              <w:pStyle w:val="TableDataEntries"/>
            </w:pPr>
            <w:r>
              <w:t>1 887</w:t>
            </w:r>
          </w:p>
        </w:tc>
        <w:tc>
          <w:tcPr>
            <w:tcW w:w="14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C1A76B7" w14:textId="77777777" w:rsidR="00ED0E85" w:rsidRDefault="00ED0E85" w:rsidP="00ED0E85">
            <w:pPr>
              <w:pStyle w:val="TableDataEntries"/>
            </w:pPr>
            <w:r>
              <w:t xml:space="preserve"> 100.0</w:t>
            </w:r>
          </w:p>
        </w:tc>
      </w:tr>
      <w:tr w:rsidR="00ED0E85" w14:paraId="771FA17E" w14:textId="77777777" w:rsidTr="00ED0E85">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1A59F0" w14:textId="77777777" w:rsidR="00ED0E85" w:rsidRDefault="00ED0E85" w:rsidP="00ED0E85">
            <w:pPr>
              <w:pStyle w:val="TableDataEntries"/>
              <w:jc w:val="left"/>
            </w:pPr>
            <w:r>
              <w:t>Commercial services electricity &amp; gas consumption</w:t>
            </w:r>
            <w:r w:rsidRPr="00E4232C">
              <w:rPr>
                <w:rStyle w:val="NoteLabel"/>
              </w:rPr>
              <w:t xml:space="preserve"> a</w:t>
            </w:r>
          </w:p>
        </w:tc>
        <w:tc>
          <w:tcPr>
            <w:tcW w:w="14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BF91A1D" w14:textId="77777777" w:rsidR="00ED0E85" w:rsidRDefault="00ED0E85" w:rsidP="00ED0E85">
            <w:pPr>
              <w:pStyle w:val="TableDataEntries"/>
            </w:pPr>
            <w:r>
              <w:t>Na</w:t>
            </w:r>
          </w:p>
        </w:tc>
        <w:tc>
          <w:tcPr>
            <w:tcW w:w="1417" w:type="dxa"/>
            <w:tcBorders>
              <w:top w:val="single" w:sz="8" w:space="0" w:color="FFFFFF" w:themeColor="background1"/>
              <w:bottom w:val="single" w:sz="8" w:space="0" w:color="FFFFFF" w:themeColor="background1"/>
            </w:tcBorders>
            <w:shd w:val="clear" w:color="auto" w:fill="E9E8E5" w:themeFill="background2"/>
            <w:vAlign w:val="center"/>
          </w:tcPr>
          <w:p w14:paraId="0E6BA0C8" w14:textId="77777777" w:rsidR="00ED0E85" w:rsidRDefault="00ED0E85" w:rsidP="00ED0E85">
            <w:pPr>
              <w:pStyle w:val="TableDataEntries"/>
            </w:pPr>
            <w:r>
              <w:t xml:space="preserve"> 294</w:t>
            </w:r>
          </w:p>
        </w:tc>
        <w:tc>
          <w:tcPr>
            <w:tcW w:w="14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203CEC1" w14:textId="77777777" w:rsidR="00ED0E85" w:rsidRDefault="00ED0E85" w:rsidP="00ED0E85">
            <w:pPr>
              <w:pStyle w:val="TableDataEntries"/>
            </w:pPr>
            <w:r>
              <w:t xml:space="preserve"> 15.6</w:t>
            </w:r>
          </w:p>
        </w:tc>
      </w:tr>
      <w:tr w:rsidR="00ED0E85" w14:paraId="3D8DDCF9" w14:textId="77777777" w:rsidTr="00ED0E85">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8367BF" w14:textId="77777777" w:rsidR="00ED0E85" w:rsidRDefault="00ED0E85" w:rsidP="00ED0E85">
            <w:pPr>
              <w:pStyle w:val="TableDataEntries"/>
              <w:jc w:val="left"/>
            </w:pPr>
            <w:r>
              <w:t>Non-residential building energy use</w:t>
            </w:r>
            <w:r>
              <w:rPr>
                <w:rStyle w:val="NoteLabel"/>
              </w:rPr>
              <w:t xml:space="preserve"> b</w:t>
            </w:r>
          </w:p>
        </w:tc>
        <w:tc>
          <w:tcPr>
            <w:tcW w:w="14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32FBF5D" w14:textId="77777777" w:rsidR="00ED0E85" w:rsidRDefault="00ED0E85" w:rsidP="00ED0E85">
            <w:pPr>
              <w:pStyle w:val="TableDataEntries"/>
            </w:pPr>
            <w:r>
              <w:t>157</w:t>
            </w:r>
          </w:p>
        </w:tc>
        <w:tc>
          <w:tcPr>
            <w:tcW w:w="1417" w:type="dxa"/>
            <w:tcBorders>
              <w:top w:val="single" w:sz="8" w:space="0" w:color="FFFFFF" w:themeColor="background1"/>
              <w:bottom w:val="single" w:sz="8" w:space="0" w:color="FFFFFF" w:themeColor="background1"/>
            </w:tcBorders>
            <w:shd w:val="clear" w:color="auto" w:fill="E9E8E5" w:themeFill="background2"/>
            <w:vAlign w:val="center"/>
          </w:tcPr>
          <w:p w14:paraId="49CD165F" w14:textId="77777777" w:rsidR="00ED0E85" w:rsidRDefault="00ED0E85" w:rsidP="00ED0E85">
            <w:pPr>
              <w:pStyle w:val="TableDataEntries"/>
            </w:pPr>
            <w:r>
              <w:t xml:space="preserve"> 159</w:t>
            </w:r>
          </w:p>
        </w:tc>
        <w:tc>
          <w:tcPr>
            <w:tcW w:w="14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BE00E35" w14:textId="77777777" w:rsidR="00ED0E85" w:rsidRDefault="00ED0E85" w:rsidP="00ED0E85">
            <w:pPr>
              <w:pStyle w:val="TableDataEntries"/>
            </w:pPr>
            <w:r>
              <w:t xml:space="preserve"> 8.4</w:t>
            </w:r>
          </w:p>
        </w:tc>
      </w:tr>
      <w:tr w:rsidR="00ED0E85" w14:paraId="135A985F" w14:textId="77777777" w:rsidTr="00ED0E85">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630E82" w14:textId="77777777" w:rsidR="00ED0E85" w:rsidRDefault="00ED0E85" w:rsidP="00ED0E85">
            <w:pPr>
              <w:pStyle w:val="TableDataEntries"/>
              <w:jc w:val="left"/>
            </w:pPr>
            <w:r>
              <w:t>Stand-alone offices</w:t>
            </w:r>
            <w:r>
              <w:rPr>
                <w:rStyle w:val="NoteLabel"/>
              </w:rPr>
              <w:t xml:space="preserve"> b</w:t>
            </w:r>
          </w:p>
        </w:tc>
        <w:tc>
          <w:tcPr>
            <w:tcW w:w="14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13040BC" w14:textId="77777777" w:rsidR="00ED0E85" w:rsidRDefault="00ED0E85" w:rsidP="00ED0E85">
            <w:pPr>
              <w:pStyle w:val="TableDataEntries"/>
            </w:pPr>
            <w:r>
              <w:t>43</w:t>
            </w:r>
          </w:p>
        </w:tc>
        <w:tc>
          <w:tcPr>
            <w:tcW w:w="1417" w:type="dxa"/>
            <w:tcBorders>
              <w:top w:val="single" w:sz="8" w:space="0" w:color="FFFFFF" w:themeColor="background1"/>
              <w:bottom w:val="single" w:sz="8" w:space="0" w:color="FFFFFF" w:themeColor="background1"/>
            </w:tcBorders>
            <w:shd w:val="clear" w:color="auto" w:fill="E9E8E5" w:themeFill="background2"/>
            <w:vAlign w:val="center"/>
          </w:tcPr>
          <w:p w14:paraId="533025EA" w14:textId="77777777" w:rsidR="00ED0E85" w:rsidRDefault="00ED0E85" w:rsidP="00ED0E85">
            <w:pPr>
              <w:pStyle w:val="TableDataEntries"/>
            </w:pPr>
            <w:r>
              <w:t xml:space="preserve"> 37</w:t>
            </w:r>
          </w:p>
        </w:tc>
        <w:tc>
          <w:tcPr>
            <w:tcW w:w="14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92B75FE" w14:textId="77777777" w:rsidR="00ED0E85" w:rsidRDefault="00ED0E85" w:rsidP="00ED0E85">
            <w:pPr>
              <w:pStyle w:val="TableDataEntries"/>
            </w:pPr>
            <w:r>
              <w:t xml:space="preserve"> 2.0</w:t>
            </w:r>
          </w:p>
        </w:tc>
      </w:tr>
      <w:tr w:rsidR="00ED0E85" w14:paraId="3159FD95" w14:textId="77777777" w:rsidTr="00ED0E85">
        <w:tc>
          <w:tcPr>
            <w:tcW w:w="3686" w:type="dxa"/>
            <w:tcBorders>
              <w:top w:val="single" w:sz="8" w:space="0" w:color="FFFFFF" w:themeColor="background1"/>
              <w:bottom w:val="single" w:sz="6" w:space="0" w:color="6F6652"/>
            </w:tcBorders>
            <w:shd w:val="clear" w:color="auto" w:fill="E9E8E5" w:themeFill="background2"/>
            <w:tcMar>
              <w:left w:w="57" w:type="dxa"/>
              <w:right w:w="57" w:type="dxa"/>
            </w:tcMar>
          </w:tcPr>
          <w:p w14:paraId="15943B2C" w14:textId="77777777" w:rsidR="00ED0E85" w:rsidRDefault="00ED0E85" w:rsidP="00ED0E85">
            <w:pPr>
              <w:pStyle w:val="TableDataEntries"/>
              <w:jc w:val="left"/>
            </w:pPr>
            <w:r>
              <w:t>Buildings rated under CBD Program</w:t>
            </w:r>
            <w:r>
              <w:rPr>
                <w:rStyle w:val="NoteLabel"/>
              </w:rPr>
              <w:t xml:space="preserve"> c</w:t>
            </w:r>
          </w:p>
        </w:tc>
        <w:tc>
          <w:tcPr>
            <w:tcW w:w="1417" w:type="dxa"/>
            <w:tcBorders>
              <w:top w:val="single" w:sz="8" w:space="0" w:color="FFFFFF" w:themeColor="background1"/>
              <w:bottom w:val="single" w:sz="6" w:space="0" w:color="6F6652"/>
            </w:tcBorders>
            <w:shd w:val="clear" w:color="auto" w:fill="E9E8E5" w:themeFill="background2"/>
            <w:tcMar>
              <w:left w:w="57" w:type="dxa"/>
              <w:right w:w="57" w:type="dxa"/>
            </w:tcMar>
            <w:vAlign w:val="center"/>
          </w:tcPr>
          <w:p w14:paraId="72AEC579" w14:textId="77777777" w:rsidR="00ED0E85" w:rsidRDefault="00ED0E85" w:rsidP="00ED0E85">
            <w:pPr>
              <w:pStyle w:val="TableDataEntries"/>
            </w:pPr>
            <w:r>
              <w:t xml:space="preserve"> 20</w:t>
            </w:r>
          </w:p>
        </w:tc>
        <w:tc>
          <w:tcPr>
            <w:tcW w:w="1417" w:type="dxa"/>
            <w:tcBorders>
              <w:top w:val="single" w:sz="8" w:space="0" w:color="FFFFFF" w:themeColor="background1"/>
              <w:bottom w:val="single" w:sz="6" w:space="0" w:color="6F6652"/>
            </w:tcBorders>
            <w:shd w:val="clear" w:color="auto" w:fill="E9E8E5" w:themeFill="background2"/>
            <w:vAlign w:val="center"/>
          </w:tcPr>
          <w:p w14:paraId="35DA9F87" w14:textId="77777777" w:rsidR="00ED0E85" w:rsidRDefault="00ED0E85" w:rsidP="00ED0E85">
            <w:pPr>
              <w:pStyle w:val="TableDataEntries"/>
            </w:pPr>
            <w:r>
              <w:t>11</w:t>
            </w:r>
          </w:p>
        </w:tc>
        <w:tc>
          <w:tcPr>
            <w:tcW w:w="1417" w:type="dxa"/>
            <w:tcBorders>
              <w:top w:val="single" w:sz="8" w:space="0" w:color="FFFFFF" w:themeColor="background1"/>
              <w:bottom w:val="single" w:sz="6" w:space="0" w:color="6F6652"/>
            </w:tcBorders>
            <w:shd w:val="clear" w:color="auto" w:fill="E9E8E5" w:themeFill="background2"/>
            <w:tcMar>
              <w:left w:w="57" w:type="dxa"/>
              <w:right w:w="57" w:type="dxa"/>
            </w:tcMar>
            <w:vAlign w:val="center"/>
          </w:tcPr>
          <w:p w14:paraId="1F26DF87" w14:textId="77777777" w:rsidR="00ED0E85" w:rsidRDefault="00ED0E85" w:rsidP="00ED0E85">
            <w:pPr>
              <w:pStyle w:val="TableDataEntries"/>
            </w:pPr>
            <w:r>
              <w:t xml:space="preserve"> 0.6</w:t>
            </w:r>
          </w:p>
        </w:tc>
      </w:tr>
    </w:tbl>
    <w:p w14:paraId="6462182A" w14:textId="77777777" w:rsidR="00ED0E85" w:rsidRPr="0028740D" w:rsidRDefault="00ED0E85" w:rsidP="00ED0E85">
      <w:pPr>
        <w:pStyle w:val="Note"/>
      </w:pPr>
      <w:r w:rsidRPr="00E4232C">
        <w:rPr>
          <w:rStyle w:val="NoteLabel"/>
        </w:rPr>
        <w:t>a</w:t>
      </w:r>
      <w:r>
        <w:t xml:space="preserve"> 2016/17 from Australian Energy Update 2018, Department of the Environment and Energy. Electricity and gas consumption excludes gas consumed in producing electricity; </w:t>
      </w:r>
      <w:r>
        <w:rPr>
          <w:rStyle w:val="NoteLabel"/>
        </w:rPr>
        <w:t>b</w:t>
      </w:r>
      <w:r>
        <w:t xml:space="preserve"> Estimate for 2016/17 from pitt&amp;sherry 2012, </w:t>
      </w:r>
      <w:r>
        <w:rPr>
          <w:i/>
        </w:rPr>
        <w:t>Baseline energy consumption and greenhouse gas emissions in commercial buildings in Australia</w:t>
      </w:r>
      <w:r>
        <w:t xml:space="preserve">; </w:t>
      </w:r>
      <w:r>
        <w:rPr>
          <w:rStyle w:val="NoteLabel"/>
        </w:rPr>
        <w:t>c</w:t>
      </w:r>
      <w:r>
        <w:t xml:space="preserve"> Sum of annual energy use from latest BEEC for each building. Note that the timing of this measure is different for each building and for most buildings only includes base building energy.</w:t>
      </w:r>
    </w:p>
    <w:p w14:paraId="2245F7B3" w14:textId="77777777" w:rsidR="00ED0E85" w:rsidRDefault="00ED0E85" w:rsidP="00ED0E85">
      <w:pPr>
        <w:pStyle w:val="Note"/>
      </w:pPr>
      <w:r w:rsidRPr="005F3B73">
        <w:rPr>
          <w:i/>
        </w:rPr>
        <w:t>Note:</w:t>
      </w:r>
      <w:r w:rsidRPr="005F3B73">
        <w:t xml:space="preserve"> Commerci</w:t>
      </w:r>
      <w:r w:rsidRPr="00ED662F">
        <w:t xml:space="preserve">al </w:t>
      </w:r>
      <w:r w:rsidRPr="005F3B73">
        <w:t>services includes ANZSIC divisions:</w:t>
      </w:r>
      <w:r w:rsidRPr="00ED662F">
        <w:t xml:space="preserve"> Wholesale Trade (F); Retail Trade (G); Accommodation and Food Services (H); Information Media and Telecommunications (J); Financial and Insurance Services (K); Rental, Hiring and Real Estate Services (L); Professional, Scientific and Technical Services (M); Administrative and Support Services (N); Public Administration and Safety (O); Education and Training (P); Health Care and Social Assistance (Q); Arts and Recreation Services (R); and Other Services (S). </w:t>
      </w:r>
    </w:p>
    <w:p w14:paraId="713C4BD7" w14:textId="77777777" w:rsidR="00ED0E85" w:rsidRDefault="00ED0E85" w:rsidP="00ED0E85">
      <w:pPr>
        <w:pStyle w:val="Source"/>
      </w:pPr>
      <w:r>
        <w:rPr>
          <w:i/>
        </w:rPr>
        <w:t>Source</w:t>
      </w:r>
      <w:r w:rsidRPr="00E4232C">
        <w:rPr>
          <w:i/>
        </w:rPr>
        <w:t>:</w:t>
      </w:r>
      <w:r>
        <w:t xml:space="preserve"> CIE analysis of CBD dataset</w:t>
      </w:r>
      <w:r>
        <w:rPr>
          <w:i/>
        </w:rPr>
        <w:t>;</w:t>
      </w:r>
      <w:r w:rsidRPr="00227015">
        <w:t xml:space="preserve"> </w:t>
      </w:r>
      <w:r>
        <w:t>Australian Energy Update 2018, Department of the Environment and Energy.</w:t>
      </w:r>
    </w:p>
    <w:p w14:paraId="313671B0" w14:textId="77777777" w:rsidR="00ED0E85" w:rsidRDefault="00ED0E85" w:rsidP="00ED0E85">
      <w:pPr>
        <w:pStyle w:val="BodyText"/>
      </w:pPr>
      <w:r>
        <w:t xml:space="preserve"> </w:t>
      </w:r>
    </w:p>
    <w:p w14:paraId="10B44D13" w14:textId="77777777" w:rsidR="00ED0E85" w:rsidRDefault="00ED0E85" w:rsidP="00ED0E85">
      <w:pPr>
        <w:rPr>
          <w:lang w:bidi="fa-IR"/>
        </w:rPr>
        <w:sectPr w:rsidR="00ED0E85" w:rsidSect="00ED0E85">
          <w:headerReference w:type="even" r:id="rId26"/>
          <w:headerReference w:type="default" r:id="rId27"/>
          <w:footerReference w:type="even" r:id="rId28"/>
          <w:footerReference w:type="default" r:id="rId29"/>
          <w:type w:val="oddPage"/>
          <w:pgSz w:w="11906" w:h="16838" w:code="9"/>
          <w:pgMar w:top="2268" w:right="1701" w:bottom="1418" w:left="2268" w:header="680" w:footer="680" w:gutter="0"/>
          <w:pgNumType w:start="1"/>
          <w:cols w:space="708"/>
          <w:docGrid w:linePitch="360"/>
        </w:sectPr>
      </w:pPr>
    </w:p>
    <w:p w14:paraId="6FFD8719" w14:textId="0829F29E" w:rsidR="00ED0E85" w:rsidRPr="00695C93" w:rsidRDefault="00ED0E85" w:rsidP="00ED0E85">
      <w:pPr>
        <w:pStyle w:val="Caption"/>
        <w:spacing w:before="0"/>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1</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1</w:instrText>
      </w:r>
      <w:r>
        <w:rPr>
          <w:noProof/>
        </w:rPr>
        <w:fldChar w:fldCharType="end"/>
      </w:r>
      <w:r w:rsidRPr="00695C93">
        <w:instrText xml:space="preserve">." </w:instrText>
      </w:r>
      <w:r w:rsidRPr="00695C93">
        <w:fldChar w:fldCharType="separate"/>
      </w:r>
      <w:r w:rsidR="00AD3561">
        <w:rPr>
          <w:noProof/>
        </w:rPr>
        <w:instrText>1</w:instrText>
      </w:r>
      <w:r w:rsidR="00AD3561"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sidR="00C353B5">
        <w:rPr>
          <w:noProof/>
        </w:rPr>
        <w:instrText>1</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1</w:instrText>
      </w:r>
      <w:r>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3</w:instrText>
      </w:r>
      <w:r w:rsidRPr="00695C93">
        <w:fldChar w:fldCharType="end"/>
      </w:r>
      <w:r w:rsidRPr="00695C93">
        <w:instrText xml:space="preserve">" "" </w:instrText>
      </w:r>
      <w:r w:rsidRPr="00695C93">
        <w:fldChar w:fldCharType="separate"/>
      </w:r>
      <w:bookmarkStart w:id="325" w:name="_Caption3168"/>
      <w:bookmarkStart w:id="326" w:name="_Caption5905"/>
      <w:bookmarkStart w:id="327" w:name="_Caption9512"/>
      <w:bookmarkStart w:id="328" w:name="_Caption4313"/>
      <w:bookmarkStart w:id="329" w:name="_Caption9184"/>
      <w:bookmarkStart w:id="330" w:name="_Caption5465"/>
      <w:bookmarkStart w:id="331" w:name="_Caption7270"/>
      <w:bookmarkStart w:id="332" w:name="_Caption3864"/>
      <w:bookmarkStart w:id="333" w:name="_Caption3057"/>
      <w:bookmarkStart w:id="334" w:name="_Caption8737"/>
      <w:bookmarkStart w:id="335" w:name="_Caption2841"/>
      <w:bookmarkStart w:id="336" w:name="_Caption8973"/>
      <w:bookmarkStart w:id="337" w:name="_Caption1180"/>
      <w:bookmarkStart w:id="338" w:name="_Caption6158"/>
      <w:bookmarkStart w:id="339" w:name="_Caption8612"/>
      <w:bookmarkStart w:id="340" w:name="_Caption8312"/>
      <w:bookmarkStart w:id="341" w:name="_Caption2772"/>
      <w:bookmarkStart w:id="342" w:name="_Caption1276"/>
      <w:bookmarkStart w:id="343" w:name="_Caption9974"/>
      <w:bookmarkStart w:id="344" w:name="_Caption0275"/>
      <w:bookmarkStart w:id="345" w:name="_Caption9682"/>
      <w:bookmarkStart w:id="346" w:name="_Caption8927"/>
      <w:bookmarkStart w:id="347" w:name="_Caption0303"/>
      <w:bookmarkStart w:id="348" w:name="_Caption4961"/>
      <w:bookmarkStart w:id="349" w:name="_Caption7322"/>
      <w:bookmarkStart w:id="350" w:name="_Caption3785"/>
      <w:bookmarkStart w:id="351" w:name="_Caption0166"/>
      <w:bookmarkStart w:id="352" w:name="_Caption9087"/>
      <w:bookmarkStart w:id="353" w:name="_Caption0015"/>
      <w:bookmarkStart w:id="354" w:name="_Caption4940"/>
      <w:bookmarkStart w:id="355" w:name="_Caption6532"/>
      <w:bookmarkStart w:id="356" w:name="_Caption9166"/>
      <w:bookmarkStart w:id="357" w:name="_Caption1188"/>
      <w:bookmarkStart w:id="358" w:name="_Caption9281"/>
      <w:bookmarkStart w:id="359" w:name="_Caption6667"/>
      <w:bookmarkStart w:id="360" w:name="_Caption6201"/>
      <w:bookmarkStart w:id="361" w:name="_Caption1847"/>
      <w:bookmarkStart w:id="362" w:name="_Caption7953"/>
      <w:bookmarkStart w:id="363" w:name="_Caption5490"/>
      <w:bookmarkStart w:id="364" w:name="_Caption7266"/>
      <w:bookmarkStart w:id="365" w:name="_Caption3707"/>
      <w:bookmarkStart w:id="366" w:name="_Caption4689"/>
      <w:bookmarkStart w:id="367" w:name="_Caption1086"/>
      <w:bookmarkStart w:id="368" w:name="_Caption0005"/>
      <w:bookmarkStart w:id="369" w:name="_Caption8709"/>
      <w:bookmarkStart w:id="370" w:name="_Caption0409"/>
      <w:bookmarkStart w:id="371" w:name="_Caption7048"/>
      <w:bookmarkStart w:id="372" w:name="_Caption1110"/>
      <w:bookmarkStart w:id="373" w:name="_Caption9558"/>
      <w:bookmarkStart w:id="374" w:name="_Caption4894"/>
      <w:bookmarkStart w:id="375" w:name="_Caption0244"/>
      <w:bookmarkStart w:id="376" w:name="_Caption1374"/>
      <w:bookmarkStart w:id="377" w:name="_Caption8605"/>
      <w:bookmarkStart w:id="378" w:name="_Caption3942"/>
      <w:bookmarkStart w:id="379" w:name="_Caption1724"/>
      <w:bookmarkStart w:id="380" w:name="_Caption1802"/>
      <w:bookmarkStart w:id="381" w:name="_Caption6889"/>
      <w:bookmarkStart w:id="382" w:name="_Caption0781"/>
      <w:bookmarkStart w:id="383" w:name="_Caption8338"/>
      <w:bookmarkStart w:id="384" w:name="_Caption8093"/>
      <w:bookmarkStart w:id="385" w:name="_Caption3064"/>
      <w:bookmarkStart w:id="386" w:name="_Caption5607"/>
      <w:bookmarkStart w:id="387" w:name="_Caption7923"/>
      <w:bookmarkStart w:id="388" w:name="_Caption9501"/>
      <w:bookmarkStart w:id="389" w:name="_Caption2115"/>
      <w:bookmarkStart w:id="390" w:name="_Caption3443"/>
      <w:bookmarkStart w:id="391" w:name="_Caption7307"/>
      <w:bookmarkStart w:id="392" w:name="_Caption2339"/>
      <w:bookmarkStart w:id="393" w:name="_Caption6603"/>
      <w:bookmarkStart w:id="394" w:name="_Caption7774"/>
      <w:bookmarkStart w:id="395" w:name="_Caption9881"/>
      <w:bookmarkStart w:id="396" w:name="_Caption4518"/>
      <w:bookmarkStart w:id="397" w:name="_Caption9202"/>
      <w:bookmarkStart w:id="398" w:name="_Caption4292"/>
      <w:bookmarkStart w:id="399" w:name="_Caption1994"/>
      <w:bookmarkStart w:id="400" w:name="_Caption9130"/>
      <w:bookmarkStart w:id="401" w:name="_Caption1704"/>
      <w:bookmarkStart w:id="402" w:name="_Caption5668"/>
      <w:bookmarkStart w:id="403" w:name="_Caption5022"/>
      <w:bookmarkStart w:id="404" w:name="_Caption6691"/>
      <w:bookmarkStart w:id="405" w:name="_Caption9879"/>
      <w:bookmarkStart w:id="406" w:name="_Caption3811"/>
      <w:bookmarkStart w:id="407" w:name="_Caption3648"/>
      <w:bookmarkStart w:id="408" w:name="_Caption0068"/>
      <w:bookmarkStart w:id="409" w:name="_Caption0282"/>
      <w:bookmarkStart w:id="410" w:name="_Caption0020"/>
      <w:bookmarkStart w:id="411" w:name="_Caption7014"/>
      <w:bookmarkStart w:id="412" w:name="_Caption6283"/>
      <w:bookmarkStart w:id="413" w:name="_Caption3368"/>
      <w:bookmarkStart w:id="414" w:name="_Caption2244"/>
      <w:bookmarkStart w:id="415" w:name="_Caption3012"/>
      <w:bookmarkStart w:id="416" w:name="_Caption2558"/>
      <w:bookmarkStart w:id="417" w:name="_Caption2628"/>
      <w:bookmarkStart w:id="418" w:name="_Caption7827"/>
      <w:bookmarkStart w:id="419" w:name="_Caption7467"/>
      <w:bookmarkStart w:id="420" w:name="_Caption7256"/>
      <w:bookmarkStart w:id="421" w:name="_Caption2797"/>
      <w:bookmarkStart w:id="422" w:name="_Caption7449"/>
      <w:bookmarkStart w:id="423" w:name="_Caption2986"/>
      <w:bookmarkStart w:id="424" w:name="_Caption4020"/>
      <w:bookmarkStart w:id="425" w:name="_Caption4993"/>
      <w:bookmarkStart w:id="426" w:name="_Toc171543"/>
      <w:bookmarkStart w:id="427" w:name="_Toc2781961"/>
      <w:bookmarkStart w:id="428" w:name="_Toc19275562"/>
      <w:bookmarkStart w:id="429" w:name="_Toc19276172"/>
      <w:bookmarkStart w:id="430" w:name="_Toc19280171"/>
      <w:r w:rsidR="00C353B5">
        <w:rPr>
          <w:noProof/>
        </w:rPr>
        <w:t>1</w:t>
      </w:r>
      <w:r w:rsidR="00C353B5" w:rsidRPr="00695C93">
        <w:rPr>
          <w:noProof/>
        </w:rPr>
        <w:t>.</w:t>
      </w:r>
      <w:r w:rsidR="00C353B5">
        <w:rPr>
          <w:noProof/>
        </w:rPr>
        <w:t>3</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r w:rsidRPr="00695C93">
        <w:fldChar w:fldCharType="end"/>
      </w:r>
      <w:r w:rsidRPr="00695C93">
        <w:tab/>
      </w:r>
      <w:r>
        <w:t>The evolution of the CBD Program</w:t>
      </w:r>
      <w:bookmarkEnd w:id="426"/>
      <w:bookmarkEnd w:id="427"/>
      <w:bookmarkEnd w:id="428"/>
      <w:bookmarkEnd w:id="429"/>
      <w:bookmarkEnd w:id="430"/>
    </w:p>
    <w:tbl>
      <w:tblPr>
        <w:tblStyle w:val="TableGrid"/>
        <w:tblW w:w="13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808"/>
        <w:gridCol w:w="808"/>
        <w:gridCol w:w="808"/>
        <w:gridCol w:w="809"/>
        <w:gridCol w:w="808"/>
        <w:gridCol w:w="808"/>
        <w:gridCol w:w="808"/>
        <w:gridCol w:w="810"/>
        <w:gridCol w:w="809"/>
        <w:gridCol w:w="809"/>
        <w:gridCol w:w="809"/>
        <w:gridCol w:w="810"/>
        <w:gridCol w:w="809"/>
        <w:gridCol w:w="809"/>
        <w:gridCol w:w="809"/>
        <w:gridCol w:w="810"/>
        <w:gridCol w:w="809"/>
      </w:tblGrid>
      <w:tr w:rsidR="00ED0E85" w14:paraId="5D64EED0" w14:textId="77777777" w:rsidTr="00ED0E85">
        <w:trPr>
          <w:cantSplit/>
          <w:trHeight w:val="5471"/>
        </w:trPr>
        <w:tc>
          <w:tcPr>
            <w:tcW w:w="808" w:type="dxa"/>
            <w:tcBorders>
              <w:bottom w:val="single" w:sz="24" w:space="0" w:color="FFFFFF" w:themeColor="background1"/>
            </w:tcBorders>
            <w:shd w:val="clear" w:color="auto" w:fill="EAF2F3" w:themeFill="accent6" w:themeFillTint="33"/>
          </w:tcPr>
          <w:p w14:paraId="6C34C8EF" w14:textId="77777777" w:rsidR="00ED0E85" w:rsidRDefault="00ED0E85" w:rsidP="00ED0E85">
            <w:pPr>
              <w:pStyle w:val="Chart"/>
            </w:pPr>
            <w:r>
              <w:rPr>
                <w:noProof/>
                <w:lang w:eastAsia="en-AU"/>
              </w:rPr>
              <mc:AlternateContent>
                <mc:Choice Requires="wpg">
                  <w:drawing>
                    <wp:anchor distT="0" distB="0" distL="114300" distR="114300" simplePos="0" relativeHeight="251692032" behindDoc="0" locked="0" layoutInCell="1" allowOverlap="1" wp14:anchorId="7F44D825" wp14:editId="0F250166">
                      <wp:simplePos x="0" y="0"/>
                      <wp:positionH relativeFrom="column">
                        <wp:posOffset>146685</wp:posOffset>
                      </wp:positionH>
                      <wp:positionV relativeFrom="paragraph">
                        <wp:posOffset>101600</wp:posOffset>
                      </wp:positionV>
                      <wp:extent cx="8477250" cy="3748405"/>
                      <wp:effectExtent l="0" t="0" r="19050" b="61595"/>
                      <wp:wrapNone/>
                      <wp:docPr id="19" name="Group 19"/>
                      <wp:cNvGraphicFramePr/>
                      <a:graphic xmlns:a="http://schemas.openxmlformats.org/drawingml/2006/main">
                        <a:graphicData uri="http://schemas.microsoft.com/office/word/2010/wordprocessingGroup">
                          <wpg:wgp>
                            <wpg:cNvGrpSpPr/>
                            <wpg:grpSpPr>
                              <a:xfrm>
                                <a:off x="0" y="0"/>
                                <a:ext cx="8477250" cy="3748405"/>
                                <a:chOff x="0" y="0"/>
                                <a:chExt cx="8477250" cy="3748405"/>
                              </a:xfrm>
                            </wpg:grpSpPr>
                            <wpg:grpSp>
                              <wpg:cNvPr id="22" name="Group 22"/>
                              <wpg:cNvGrpSpPr/>
                              <wpg:grpSpPr>
                                <a:xfrm>
                                  <a:off x="0" y="923925"/>
                                  <a:ext cx="1381125" cy="2821305"/>
                                  <a:chOff x="117701" y="244560"/>
                                  <a:chExt cx="1312828" cy="3518252"/>
                                </a:xfrm>
                              </wpg:grpSpPr>
                              <wps:wsp>
                                <wps:cNvPr id="24" name="Straight Arrow Connector 24"/>
                                <wps:cNvCnPr/>
                                <wps:spPr>
                                  <a:xfrm>
                                    <a:off x="224361" y="2820781"/>
                                    <a:ext cx="0" cy="942031"/>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5" name="Text Box 25"/>
                                <wps:cNvSpPr txBox="1">
                                  <a:spLocks noChangeArrowheads="1"/>
                                </wps:cNvSpPr>
                                <wps:spPr bwMode="auto">
                                  <a:xfrm>
                                    <a:off x="117701" y="244560"/>
                                    <a:ext cx="1312828" cy="3228504"/>
                                  </a:xfrm>
                                  <a:prstGeom prst="rect">
                                    <a:avLst/>
                                  </a:prstGeom>
                                  <a:solidFill>
                                    <a:schemeClr val="accent6">
                                      <a:lumMod val="20000"/>
                                      <a:lumOff val="80000"/>
                                    </a:schemeClr>
                                  </a:solidFill>
                                  <a:ln w="9525">
                                    <a:solidFill>
                                      <a:schemeClr val="accent1"/>
                                    </a:solidFill>
                                    <a:prstDash val="sysDash"/>
                                    <a:miter lim="800000"/>
                                    <a:headEnd/>
                                    <a:tailEnd/>
                                  </a:ln>
                                </wps:spPr>
                                <wps:txbx>
                                  <w:txbxContent>
                                    <w:p w14:paraId="6F0B9188" w14:textId="77777777" w:rsidR="003E0782" w:rsidRDefault="003E0782" w:rsidP="00ED0E85">
                                      <w:pPr>
                                        <w:spacing w:before="40" w:line="240" w:lineRule="auto"/>
                                        <w:rPr>
                                          <w:rFonts w:ascii="Franklin Gothic Demi" w:eastAsia="Times New Roman" w:hAnsi="Franklin Gothic Demi"/>
                                          <w:sz w:val="16"/>
                                          <w:szCs w:val="18"/>
                                          <w:lang w:eastAsia="en-US"/>
                                        </w:rPr>
                                      </w:pPr>
                                      <w:r>
                                        <w:rPr>
                                          <w:rFonts w:ascii="Franklin Gothic Demi" w:eastAsia="Times New Roman" w:hAnsi="Franklin Gothic Demi"/>
                                          <w:sz w:val="16"/>
                                          <w:szCs w:val="18"/>
                                          <w:lang w:eastAsia="en-US"/>
                                        </w:rPr>
                                        <w:t>Outlined:</w:t>
                                      </w:r>
                                    </w:p>
                                    <w:p w14:paraId="29DB070B" w14:textId="77777777" w:rsidR="003E0782" w:rsidRDefault="003E0782" w:rsidP="00ED0E85">
                                      <w:pPr>
                                        <w:spacing w:before="40" w:line="240" w:lineRule="auto"/>
                                        <w:rPr>
                                          <w:rFonts w:ascii="Franklin Gothic Medium" w:eastAsia="Times New Roman" w:hAnsi="Franklin Gothic Medium"/>
                                          <w:sz w:val="16"/>
                                          <w:szCs w:val="16"/>
                                          <w:lang w:eastAsia="en-US"/>
                                        </w:rPr>
                                      </w:pPr>
                                      <w:r w:rsidRPr="00805C0A">
                                        <w:rPr>
                                          <w:rFonts w:ascii="Franklin Gothic Medium" w:eastAsia="Times New Roman" w:hAnsi="Franklin Gothic Medium"/>
                                          <w:sz w:val="16"/>
                                          <w:szCs w:val="16"/>
                                          <w:lang w:eastAsia="en-US"/>
                                        </w:rPr>
                                        <w:t>The Australian Government's intention to 'lower the cost of significantly reducing greenhouse gas emissions in the future</w:t>
                                      </w:r>
                                      <w:r>
                                        <w:rPr>
                                          <w:rFonts w:ascii="Franklin Gothic Medium" w:eastAsia="Times New Roman" w:hAnsi="Franklin Gothic Medium"/>
                                          <w:sz w:val="16"/>
                                          <w:szCs w:val="16"/>
                                          <w:lang w:eastAsia="en-US"/>
                                        </w:rPr>
                                        <w:t>.</w:t>
                                      </w:r>
                                    </w:p>
                                    <w:p w14:paraId="52A9F58E" w14:textId="77777777" w:rsidR="003E0782" w:rsidRPr="00B7293E" w:rsidRDefault="003E0782" w:rsidP="00ED0E85">
                                      <w:pPr>
                                        <w:spacing w:line="240" w:lineRule="auto"/>
                                        <w:rPr>
                                          <w:rFonts w:ascii="Franklin Gothic Demi" w:eastAsia="Times New Roman" w:hAnsi="Franklin Gothic Demi"/>
                                          <w:sz w:val="2"/>
                                          <w:szCs w:val="2"/>
                                          <w:lang w:eastAsia="en-US"/>
                                        </w:rPr>
                                      </w:pPr>
                                    </w:p>
                                    <w:p w14:paraId="5D3E2A24" w14:textId="77777777" w:rsidR="003E0782" w:rsidRPr="00805C0A" w:rsidRDefault="003E0782" w:rsidP="00ED0E85">
                                      <w:pPr>
                                        <w:spacing w:before="120" w:line="240" w:lineRule="auto"/>
                                        <w:rPr>
                                          <w:rFonts w:ascii="Franklin Gothic Medium" w:hAnsi="Franklin Gothic Medium"/>
                                          <w:sz w:val="16"/>
                                          <w:szCs w:val="16"/>
                                        </w:rPr>
                                      </w:pPr>
                                      <w:r w:rsidRPr="00805C0A">
                                        <w:rPr>
                                          <w:rFonts w:ascii="Franklin Gothic Demi" w:eastAsia="Times New Roman" w:hAnsi="Franklin Gothic Demi"/>
                                          <w:sz w:val="16"/>
                                          <w:szCs w:val="16"/>
                                          <w:lang w:eastAsia="en-US"/>
                                        </w:rPr>
                                        <w:t>Noted:</w:t>
                                      </w:r>
                                      <w:r>
                                        <w:rPr>
                                          <w:rFonts w:ascii="Franklin Gothic Demi" w:eastAsia="Times New Roman" w:hAnsi="Franklin Gothic Demi"/>
                                          <w:sz w:val="16"/>
                                          <w:szCs w:val="16"/>
                                          <w:lang w:eastAsia="en-US"/>
                                        </w:rPr>
                                        <w:br/>
                                      </w:r>
                                      <w:r w:rsidRPr="00805C0A">
                                        <w:rPr>
                                          <w:rFonts w:ascii="Franklin Gothic Medium" w:eastAsia="Times New Roman" w:hAnsi="Franklin Gothic Medium"/>
                                          <w:sz w:val="16"/>
                                          <w:szCs w:val="16"/>
                                          <w:lang w:eastAsia="en-US"/>
                                        </w:rPr>
                                        <w:t>Information measures will also be improved. To complement the existing performance ratings for commercial and residential buildings, the government will work with the states and territories to require landlords and building owners to disclose energy performance information in leases and sales agreements (p112).</w:t>
                                      </w:r>
                                    </w:p>
                                  </w:txbxContent>
                                </wps:txbx>
                                <wps:bodyPr rot="0" vert="horz" wrap="square" lIns="36000" tIns="36000" rIns="36000" bIns="36000" anchor="t" anchorCtr="0">
                                  <a:noAutofit/>
                                </wps:bodyPr>
                              </wps:wsp>
                            </wpg:grpSp>
                            <wpg:grpSp>
                              <wpg:cNvPr id="26" name="Group 26"/>
                              <wpg:cNvGrpSpPr/>
                              <wpg:grpSpPr>
                                <a:xfrm>
                                  <a:off x="1466850" y="866775"/>
                                  <a:ext cx="2305050" cy="2867025"/>
                                  <a:chOff x="-722479" y="-248557"/>
                                  <a:chExt cx="1570780" cy="4351157"/>
                                </a:xfrm>
                              </wpg:grpSpPr>
                              <wps:wsp>
                                <wps:cNvPr id="27" name="Straight Arrow Connector 27"/>
                                <wps:cNvCnPr/>
                                <wps:spPr>
                                  <a:xfrm>
                                    <a:off x="795906" y="3304525"/>
                                    <a:ext cx="0" cy="79807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9" name="Text Box 29"/>
                                <wps:cNvSpPr txBox="1">
                                  <a:spLocks noChangeArrowheads="1"/>
                                </wps:cNvSpPr>
                                <wps:spPr bwMode="auto">
                                  <a:xfrm>
                                    <a:off x="-722479" y="-248557"/>
                                    <a:ext cx="1570780" cy="4038621"/>
                                  </a:xfrm>
                                  <a:prstGeom prst="rect">
                                    <a:avLst/>
                                  </a:prstGeom>
                                  <a:solidFill>
                                    <a:schemeClr val="accent6">
                                      <a:lumMod val="20000"/>
                                      <a:lumOff val="80000"/>
                                    </a:schemeClr>
                                  </a:solidFill>
                                  <a:ln w="9525">
                                    <a:solidFill>
                                      <a:schemeClr val="accent1"/>
                                    </a:solidFill>
                                    <a:prstDash val="sysDash"/>
                                    <a:miter lim="800000"/>
                                    <a:headEnd/>
                                    <a:tailEnd/>
                                  </a:ln>
                                </wps:spPr>
                                <wps:txbx>
                                  <w:txbxContent>
                                    <w:p w14:paraId="19AFA832" w14:textId="77777777" w:rsidR="003E0782" w:rsidRDefault="003E0782" w:rsidP="00ED0E85">
                                      <w:pPr>
                                        <w:spacing w:before="40" w:line="240" w:lineRule="auto"/>
                                        <w:rPr>
                                          <w:rFonts w:ascii="Franklin Gothic Demi" w:eastAsia="Times New Roman" w:hAnsi="Franklin Gothic Demi"/>
                                          <w:sz w:val="16"/>
                                          <w:szCs w:val="18"/>
                                          <w:lang w:eastAsia="en-US"/>
                                        </w:rPr>
                                      </w:pPr>
                                      <w:r>
                                        <w:rPr>
                                          <w:rFonts w:ascii="Franklin Gothic Demi" w:eastAsia="Times New Roman" w:hAnsi="Franklin Gothic Demi"/>
                                          <w:sz w:val="16"/>
                                          <w:szCs w:val="18"/>
                                          <w:lang w:eastAsia="en-US"/>
                                        </w:rPr>
                                        <w:t xml:space="preserve">Objectives: </w:t>
                                      </w:r>
                                    </w:p>
                                    <w:p w14:paraId="02D4549E" w14:textId="77777777" w:rsidR="003E0782" w:rsidRPr="00805C0A" w:rsidRDefault="003E0782" w:rsidP="00ED0E85">
                                      <w:pPr>
                                        <w:spacing w:before="40" w:line="240" w:lineRule="auto"/>
                                        <w:rPr>
                                          <w:rFonts w:ascii="Franklin Gothic Medium" w:eastAsia="Times New Roman" w:hAnsi="Franklin Gothic Medium"/>
                                          <w:sz w:val="16"/>
                                          <w:szCs w:val="18"/>
                                          <w:lang w:eastAsia="en-US"/>
                                        </w:rPr>
                                      </w:pPr>
                                      <w:r w:rsidRPr="00805C0A">
                                        <w:rPr>
                                          <w:rFonts w:ascii="Franklin Gothic Medium" w:eastAsia="Times New Roman" w:hAnsi="Franklin Gothic Medium"/>
                                          <w:sz w:val="16"/>
                                          <w:szCs w:val="18"/>
                                          <w:lang w:eastAsia="en-US"/>
                                        </w:rPr>
                                        <w:t xml:space="preserve">To ensure credible and meaningful information on the energy efficiency of commercial buildings is readily available to potential purchasers </w:t>
                                      </w:r>
                                      <w:r>
                                        <w:rPr>
                                          <w:rFonts w:ascii="Franklin Gothic Medium" w:eastAsia="Times New Roman" w:hAnsi="Franklin Gothic Medium"/>
                                          <w:sz w:val="16"/>
                                          <w:szCs w:val="18"/>
                                          <w:lang w:eastAsia="en-US"/>
                                        </w:rPr>
                                        <w:t>&amp;</w:t>
                                      </w:r>
                                      <w:r w:rsidRPr="00805C0A">
                                        <w:rPr>
                                          <w:rFonts w:ascii="Franklin Gothic Medium" w:eastAsia="Times New Roman" w:hAnsi="Franklin Gothic Medium"/>
                                          <w:sz w:val="16"/>
                                          <w:szCs w:val="18"/>
                                          <w:lang w:eastAsia="en-US"/>
                                        </w:rPr>
                                        <w:t xml:space="preserve"> lessees</w:t>
                                      </w:r>
                                    </w:p>
                                    <w:p w14:paraId="26BEEBB2" w14:textId="77777777" w:rsidR="003E0782" w:rsidRDefault="003E0782" w:rsidP="00ED0E85">
                                      <w:pPr>
                                        <w:spacing w:before="160" w:line="240" w:lineRule="auto"/>
                                        <w:rPr>
                                          <w:rFonts w:ascii="Franklin Gothic Demi" w:eastAsia="Times New Roman" w:hAnsi="Franklin Gothic Demi"/>
                                          <w:sz w:val="16"/>
                                          <w:szCs w:val="18"/>
                                          <w:lang w:eastAsia="en-US"/>
                                        </w:rPr>
                                      </w:pPr>
                                      <w:r>
                                        <w:rPr>
                                          <w:rFonts w:ascii="Franklin Gothic Demi" w:eastAsia="Times New Roman" w:hAnsi="Franklin Gothic Demi"/>
                                          <w:sz w:val="16"/>
                                          <w:szCs w:val="18"/>
                                          <w:lang w:eastAsia="en-US"/>
                                        </w:rPr>
                                        <w:t xml:space="preserve">Mechanisms: </w:t>
                                      </w:r>
                                    </w:p>
                                    <w:p w14:paraId="0564CB49" w14:textId="77777777" w:rsidR="003E0782" w:rsidRPr="00805C0A" w:rsidRDefault="003E0782" w:rsidP="00ED0E85">
                                      <w:pPr>
                                        <w:spacing w:before="40" w:line="240" w:lineRule="auto"/>
                                        <w:rPr>
                                          <w:rFonts w:ascii="Franklin Gothic Medium" w:eastAsia="Times New Roman" w:hAnsi="Franklin Gothic Medium"/>
                                          <w:sz w:val="16"/>
                                          <w:szCs w:val="18"/>
                                          <w:lang w:eastAsia="en-US"/>
                                        </w:rPr>
                                      </w:pPr>
                                      <w:r w:rsidRPr="00805C0A">
                                        <w:rPr>
                                          <w:rFonts w:ascii="Franklin Gothic Medium" w:eastAsia="Times New Roman" w:hAnsi="Franklin Gothic Medium"/>
                                          <w:sz w:val="16"/>
                                          <w:szCs w:val="18"/>
                                          <w:lang w:eastAsia="en-US"/>
                                        </w:rPr>
                                        <w:t>Building Energy Efficiency Certificate that includes both NABERS rating and TLA, with only a NABERS rating required in advertisements for sale or lease</w:t>
                                      </w:r>
                                    </w:p>
                                    <w:p w14:paraId="06D75BCE" w14:textId="77777777" w:rsidR="003E0782" w:rsidRPr="00805C0A" w:rsidRDefault="003E0782" w:rsidP="00ED0E85">
                                      <w:pPr>
                                        <w:pStyle w:val="ChartListBullet"/>
                                        <w:spacing w:line="240" w:lineRule="auto"/>
                                        <w:rPr>
                                          <w:szCs w:val="16"/>
                                        </w:rPr>
                                      </w:pPr>
                                      <w:r w:rsidRPr="00805C0A">
                                        <w:rPr>
                                          <w:szCs w:val="16"/>
                                        </w:rPr>
                                        <w:t>NABERS - Energy for Offices that benchmarks actual operational energy use, drawing on energy use per m2 of Net Lettable Area (NLA)</w:t>
                                      </w:r>
                                    </w:p>
                                    <w:p w14:paraId="0EE9AEBA" w14:textId="77777777" w:rsidR="003E0782" w:rsidRPr="00805C0A" w:rsidRDefault="003E0782" w:rsidP="00ED0E85">
                                      <w:pPr>
                                        <w:pStyle w:val="ChartListBullet"/>
                                        <w:spacing w:line="240" w:lineRule="auto"/>
                                        <w:rPr>
                                          <w:szCs w:val="16"/>
                                        </w:rPr>
                                      </w:pPr>
                                      <w:r w:rsidRPr="00805C0A">
                                        <w:rPr>
                                          <w:szCs w:val="16"/>
                                        </w:rPr>
                                        <w:t>TLA - measuring the power density of the installed general lighting system in the buildings, via the Nominal Lighting Power Density (NLPD) and focussing on fixed lighting assets, not attributable to individual tenants</w:t>
                                      </w:r>
                                    </w:p>
                                    <w:p w14:paraId="35E0D496" w14:textId="77777777" w:rsidR="003E0782" w:rsidRDefault="003E0782" w:rsidP="00ED0E85">
                                      <w:pPr>
                                        <w:spacing w:before="120" w:line="240" w:lineRule="auto"/>
                                        <w:rPr>
                                          <w:rFonts w:ascii="Franklin Gothic Demi" w:eastAsia="Times New Roman" w:hAnsi="Franklin Gothic Demi"/>
                                          <w:sz w:val="16"/>
                                          <w:szCs w:val="18"/>
                                          <w:lang w:eastAsia="en-US"/>
                                        </w:rPr>
                                      </w:pPr>
                                      <w:r>
                                        <w:rPr>
                                          <w:rFonts w:ascii="Franklin Gothic Demi" w:eastAsia="Times New Roman" w:hAnsi="Franklin Gothic Demi"/>
                                          <w:sz w:val="16"/>
                                          <w:szCs w:val="18"/>
                                          <w:lang w:eastAsia="en-US"/>
                                        </w:rPr>
                                        <w:t xml:space="preserve">Coverage: </w:t>
                                      </w:r>
                                    </w:p>
                                    <w:p w14:paraId="0D484F1E" w14:textId="77777777" w:rsidR="003E0782" w:rsidRPr="00805C0A" w:rsidRDefault="003E0782" w:rsidP="00ED0E85">
                                      <w:pPr>
                                        <w:spacing w:before="40" w:line="240" w:lineRule="auto"/>
                                        <w:rPr>
                                          <w:rFonts w:ascii="Franklin Gothic Medium" w:eastAsia="Times New Roman" w:hAnsi="Franklin Gothic Medium"/>
                                          <w:sz w:val="16"/>
                                          <w:szCs w:val="18"/>
                                          <w:lang w:eastAsia="en-US"/>
                                        </w:rPr>
                                      </w:pPr>
                                      <w:r>
                                        <w:rPr>
                                          <w:rFonts w:ascii="Franklin Gothic Medium" w:eastAsia="Times New Roman" w:hAnsi="Franklin Gothic Medium"/>
                                          <w:sz w:val="16"/>
                                          <w:szCs w:val="18"/>
                                          <w:lang w:eastAsia="en-US"/>
                                        </w:rPr>
                                        <w:t>A</w:t>
                                      </w:r>
                                      <w:r w:rsidRPr="00805C0A">
                                        <w:rPr>
                                          <w:rFonts w:ascii="Franklin Gothic Medium" w:eastAsia="Times New Roman" w:hAnsi="Franklin Gothic Medium"/>
                                          <w:sz w:val="16"/>
                                          <w:szCs w:val="18"/>
                                          <w:lang w:eastAsia="en-US"/>
                                        </w:rPr>
                                        <w:t>dvertis</w:t>
                                      </w:r>
                                      <w:r>
                                        <w:rPr>
                                          <w:rFonts w:ascii="Franklin Gothic Medium" w:eastAsia="Times New Roman" w:hAnsi="Franklin Gothic Medium"/>
                                          <w:sz w:val="16"/>
                                          <w:szCs w:val="18"/>
                                          <w:lang w:eastAsia="en-US"/>
                                        </w:rPr>
                                        <w:t>ing</w:t>
                                      </w:r>
                                      <w:r w:rsidRPr="00805C0A">
                                        <w:rPr>
                                          <w:rFonts w:ascii="Franklin Gothic Medium" w:eastAsia="Times New Roman" w:hAnsi="Franklin Gothic Medium"/>
                                          <w:sz w:val="16"/>
                                          <w:szCs w:val="18"/>
                                          <w:lang w:eastAsia="en-US"/>
                                        </w:rPr>
                                        <w:t xml:space="preserve"> </w:t>
                                      </w:r>
                                      <w:r>
                                        <w:rPr>
                                          <w:rFonts w:ascii="Franklin Gothic Medium" w:eastAsia="Times New Roman" w:hAnsi="Franklin Gothic Medium"/>
                                          <w:sz w:val="16"/>
                                          <w:szCs w:val="18"/>
                                          <w:lang w:eastAsia="en-US"/>
                                        </w:rPr>
                                        <w:t xml:space="preserve">office space </w:t>
                                      </w:r>
                                      <w:r w:rsidRPr="00805C0A">
                                        <w:rPr>
                                          <w:rFonts w:ascii="Franklin Gothic Medium" w:eastAsia="Times New Roman" w:hAnsi="Franklin Gothic Medium"/>
                                          <w:sz w:val="16"/>
                                          <w:szCs w:val="18"/>
                                          <w:lang w:eastAsia="en-US"/>
                                        </w:rPr>
                                        <w:t>for sale</w:t>
                                      </w:r>
                                      <w:r>
                                        <w:rPr>
                                          <w:rFonts w:ascii="Franklin Gothic Medium" w:eastAsia="Times New Roman" w:hAnsi="Franklin Gothic Medium"/>
                                          <w:sz w:val="16"/>
                                          <w:szCs w:val="18"/>
                                          <w:lang w:eastAsia="en-US"/>
                                        </w:rPr>
                                        <w:t>/</w:t>
                                      </w:r>
                                      <w:r w:rsidRPr="00805C0A">
                                        <w:rPr>
                                          <w:rFonts w:ascii="Franklin Gothic Medium" w:eastAsia="Times New Roman" w:hAnsi="Franklin Gothic Medium"/>
                                          <w:sz w:val="16"/>
                                          <w:szCs w:val="18"/>
                                          <w:lang w:eastAsia="en-US"/>
                                        </w:rPr>
                                        <w:t>lease</w:t>
                                      </w:r>
                                      <w:r>
                                        <w:rPr>
                                          <w:rFonts w:ascii="Franklin Gothic Medium" w:eastAsia="Times New Roman" w:hAnsi="Franklin Gothic Medium"/>
                                          <w:sz w:val="16"/>
                                          <w:szCs w:val="18"/>
                                          <w:lang w:eastAsia="en-US"/>
                                        </w:rPr>
                                        <w:t xml:space="preserve"> &gt; </w:t>
                                      </w:r>
                                      <w:r w:rsidRPr="00805C0A">
                                        <w:rPr>
                                          <w:rFonts w:ascii="Franklin Gothic Medium" w:eastAsia="Times New Roman" w:hAnsi="Franklin Gothic Medium"/>
                                          <w:sz w:val="16"/>
                                          <w:szCs w:val="18"/>
                                          <w:lang w:eastAsia="en-US"/>
                                        </w:rPr>
                                        <w:t>2000m</w:t>
                                      </w:r>
                                      <w:r w:rsidRPr="00805C0A">
                                        <w:rPr>
                                          <w:rFonts w:ascii="Franklin Gothic Medium" w:eastAsia="Times New Roman" w:hAnsi="Franklin Gothic Medium"/>
                                          <w:sz w:val="16"/>
                                          <w:szCs w:val="18"/>
                                          <w:vertAlign w:val="superscript"/>
                                          <w:lang w:eastAsia="en-US"/>
                                        </w:rPr>
                                        <w:t>2</w:t>
                                      </w:r>
                                    </w:p>
                                    <w:p w14:paraId="2A0FF676" w14:textId="77777777" w:rsidR="003E0782" w:rsidRPr="00CD7A37" w:rsidRDefault="003E0782" w:rsidP="00ED0E85">
                                      <w:pPr>
                                        <w:pStyle w:val="ChartListBullet"/>
                                        <w:numPr>
                                          <w:ilvl w:val="0"/>
                                          <w:numId w:val="0"/>
                                        </w:numPr>
                                        <w:rPr>
                                          <w:sz w:val="15"/>
                                          <w:szCs w:val="15"/>
                                        </w:rPr>
                                      </w:pPr>
                                    </w:p>
                                  </w:txbxContent>
                                </wps:txbx>
                                <wps:bodyPr rot="0" vert="horz" wrap="square" lIns="36000" tIns="36000" rIns="36000" bIns="36000" anchor="t" anchorCtr="0">
                                  <a:noAutofit/>
                                </wps:bodyPr>
                              </wps:wsp>
                            </wpg:grpSp>
                            <wpg:grpSp>
                              <wpg:cNvPr id="225" name="Group 225"/>
                              <wpg:cNvGrpSpPr/>
                              <wpg:grpSpPr>
                                <a:xfrm>
                                  <a:off x="6419850" y="838200"/>
                                  <a:ext cx="2057400" cy="2904490"/>
                                  <a:chOff x="-1245524" y="334251"/>
                                  <a:chExt cx="2157153" cy="3345794"/>
                                </a:xfrm>
                              </wpg:grpSpPr>
                              <wps:wsp>
                                <wps:cNvPr id="230" name="Straight Arrow Connector 230"/>
                                <wps:cNvCnPr/>
                                <wps:spPr>
                                  <a:xfrm>
                                    <a:off x="-26901" y="2737692"/>
                                    <a:ext cx="0" cy="942353"/>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31" name="Text Box 231"/>
                                <wps:cNvSpPr txBox="1">
                                  <a:spLocks noChangeArrowheads="1"/>
                                </wps:cNvSpPr>
                                <wps:spPr bwMode="auto">
                                  <a:xfrm>
                                    <a:off x="-1245524" y="334251"/>
                                    <a:ext cx="2157153" cy="3099638"/>
                                  </a:xfrm>
                                  <a:prstGeom prst="rect">
                                    <a:avLst/>
                                  </a:prstGeom>
                                  <a:solidFill>
                                    <a:schemeClr val="accent6">
                                      <a:lumMod val="20000"/>
                                      <a:lumOff val="80000"/>
                                    </a:schemeClr>
                                  </a:solidFill>
                                  <a:ln w="9525">
                                    <a:solidFill>
                                      <a:schemeClr val="accent1"/>
                                    </a:solidFill>
                                    <a:prstDash val="sysDash"/>
                                    <a:miter lim="800000"/>
                                    <a:headEnd/>
                                    <a:tailEnd/>
                                  </a:ln>
                                </wps:spPr>
                                <wps:txbx>
                                  <w:txbxContent>
                                    <w:p w14:paraId="51FDD452" w14:textId="77777777" w:rsidR="003E0782" w:rsidRPr="0067291A" w:rsidRDefault="003E0782" w:rsidP="00ED0E85">
                                      <w:pPr>
                                        <w:pStyle w:val="ChartListBullet"/>
                                        <w:numPr>
                                          <w:ilvl w:val="0"/>
                                          <w:numId w:val="0"/>
                                        </w:numPr>
                                        <w:spacing w:before="40"/>
                                        <w:ind w:left="170" w:hanging="170"/>
                                        <w:rPr>
                                          <w:rFonts w:ascii="Franklin Gothic Demi" w:hAnsi="Franklin Gothic Demi"/>
                                          <w:szCs w:val="16"/>
                                        </w:rPr>
                                      </w:pPr>
                                      <w:r w:rsidRPr="0067291A">
                                        <w:rPr>
                                          <w:rFonts w:ascii="Franklin Gothic Demi" w:hAnsi="Franklin Gothic Demi"/>
                                          <w:szCs w:val="16"/>
                                        </w:rPr>
                                        <w:t>Completed studies</w:t>
                                      </w:r>
                                      <w:r>
                                        <w:rPr>
                                          <w:rFonts w:ascii="Franklin Gothic Demi" w:hAnsi="Franklin Gothic Demi"/>
                                          <w:szCs w:val="16"/>
                                        </w:rPr>
                                        <w:t>:</w:t>
                                      </w:r>
                                    </w:p>
                                    <w:p w14:paraId="11C724B6" w14:textId="77777777" w:rsidR="003E0782" w:rsidRDefault="003E0782" w:rsidP="00ED0E85">
                                      <w:pPr>
                                        <w:pStyle w:val="ChartListBullet"/>
                                        <w:rPr>
                                          <w:szCs w:val="16"/>
                                        </w:rPr>
                                      </w:pPr>
                                      <w:r w:rsidRPr="0067291A">
                                        <w:rPr>
                                          <w:szCs w:val="16"/>
                                        </w:rPr>
                                        <w:t>CBD Expansion Feasibility Study: Shopping Centres, Datacentres and Hotels</w:t>
                                      </w:r>
                                    </w:p>
                                    <w:p w14:paraId="1FD80235" w14:textId="77777777" w:rsidR="003E0782" w:rsidRDefault="003E0782" w:rsidP="00ED0E85">
                                      <w:pPr>
                                        <w:pStyle w:val="ChartListBullet2"/>
                                      </w:pPr>
                                      <w:r>
                                        <w:t>Preliminary net benefit findings</w:t>
                                      </w:r>
                                    </w:p>
                                    <w:p w14:paraId="3CD9658C" w14:textId="77777777" w:rsidR="003E0782" w:rsidRDefault="003E0782" w:rsidP="00ED0E85">
                                      <w:pPr>
                                        <w:pStyle w:val="ChartListBullet"/>
                                        <w:rPr>
                                          <w:szCs w:val="16"/>
                                        </w:rPr>
                                      </w:pPr>
                                      <w:r w:rsidRPr="0067291A">
                                        <w:rPr>
                                          <w:szCs w:val="16"/>
                                        </w:rPr>
                                        <w:t>Expansion of Mandatory Disclosure to Office Tenancies: Feasibility Assessment</w:t>
                                      </w:r>
                                    </w:p>
                                    <w:p w14:paraId="7B1991D5" w14:textId="77777777" w:rsidR="003E0782" w:rsidRDefault="003E0782" w:rsidP="00ED0E85">
                                      <w:pPr>
                                        <w:pStyle w:val="ChartListBullet2"/>
                                      </w:pPr>
                                      <w:r>
                                        <w:t>Preliminary net benefit findings</w:t>
                                      </w:r>
                                    </w:p>
                                    <w:p w14:paraId="1EFCA0C0" w14:textId="77777777" w:rsidR="003E0782" w:rsidRPr="00A5503B" w:rsidRDefault="003E0782" w:rsidP="00ED0E85">
                                      <w:pPr>
                                        <w:pStyle w:val="ChartListBullet"/>
                                        <w:numPr>
                                          <w:ilvl w:val="0"/>
                                          <w:numId w:val="0"/>
                                        </w:numPr>
                                        <w:rPr>
                                          <w:rFonts w:ascii="Franklin Gothic Demi" w:hAnsi="Franklin Gothic Demi"/>
                                        </w:rPr>
                                      </w:pPr>
                                      <w:r>
                                        <w:rPr>
                                          <w:rFonts w:ascii="Franklin Gothic Demi" w:hAnsi="Franklin Gothic Demi"/>
                                        </w:rPr>
                                        <w:t>Current study being commissioned</w:t>
                                      </w:r>
                                    </w:p>
                                    <w:p w14:paraId="5CAFAFB4" w14:textId="77777777" w:rsidR="003E0782" w:rsidRDefault="003E0782" w:rsidP="00ED0E85">
                                      <w:pPr>
                                        <w:pStyle w:val="ChartListBullet"/>
                                        <w:rPr>
                                          <w:szCs w:val="16"/>
                                        </w:rPr>
                                      </w:pPr>
                                      <w:r>
                                        <w:rPr>
                                          <w:szCs w:val="16"/>
                                        </w:rPr>
                                        <w:t>Ex post evaluation of the CBD program to date</w:t>
                                      </w:r>
                                    </w:p>
                                    <w:p w14:paraId="5AF470F1" w14:textId="77777777" w:rsidR="003E0782" w:rsidRDefault="003E0782" w:rsidP="00ED0E85">
                                      <w:pPr>
                                        <w:pStyle w:val="ChartListBullet"/>
                                        <w:rPr>
                                          <w:szCs w:val="16"/>
                                        </w:rPr>
                                      </w:pPr>
                                      <w:r>
                                        <w:rPr>
                                          <w:szCs w:val="16"/>
                                        </w:rPr>
                                        <w:t>Ex post evaluation of the CBD threshold expansion of 2017</w:t>
                                      </w:r>
                                    </w:p>
                                    <w:p w14:paraId="6E9DC49C" w14:textId="77777777" w:rsidR="003E0782" w:rsidRDefault="003E0782" w:rsidP="00ED0E85">
                                      <w:pPr>
                                        <w:pStyle w:val="ChartListBullet"/>
                                        <w:rPr>
                                          <w:szCs w:val="16"/>
                                        </w:rPr>
                                      </w:pPr>
                                      <w:r>
                                        <w:rPr>
                                          <w:szCs w:val="16"/>
                                        </w:rPr>
                                        <w:t>Review and analysis of tenancy level considerations (including lighting and reporting)</w:t>
                                      </w:r>
                                    </w:p>
                                    <w:p w14:paraId="358C8690" w14:textId="77777777" w:rsidR="003E0782" w:rsidRPr="0067291A" w:rsidRDefault="003E0782" w:rsidP="00ED0E85">
                                      <w:pPr>
                                        <w:pStyle w:val="ChartListBullet"/>
                                        <w:rPr>
                                          <w:szCs w:val="16"/>
                                        </w:rPr>
                                      </w:pPr>
                                      <w:r>
                                        <w:rPr>
                                          <w:szCs w:val="16"/>
                                        </w:rPr>
                                        <w:t>Further analysis of potential expansion to hotels, data centres and shopping centres.</w:t>
                                      </w:r>
                                    </w:p>
                                  </w:txbxContent>
                                </wps:txbx>
                                <wps:bodyPr rot="0" vert="horz" wrap="square" lIns="36000" tIns="36000" rIns="36000" bIns="36000" anchor="t" anchorCtr="0">
                                  <a:noAutofit/>
                                </wps:bodyPr>
                              </wps:wsp>
                            </wpg:grpSp>
                            <wpg:grpSp>
                              <wpg:cNvPr id="233" name="Group 233"/>
                              <wpg:cNvGrpSpPr/>
                              <wpg:grpSpPr>
                                <a:xfrm>
                                  <a:off x="3867150" y="0"/>
                                  <a:ext cx="2466975" cy="3748405"/>
                                  <a:chOff x="-152399" y="-156987"/>
                                  <a:chExt cx="2466975" cy="3381073"/>
                                </a:xfrm>
                              </wpg:grpSpPr>
                              <wps:wsp>
                                <wps:cNvPr id="234" name="Straight Arrow Connector 234"/>
                                <wps:cNvCnPr/>
                                <wps:spPr>
                                  <a:xfrm>
                                    <a:off x="1747452" y="2809535"/>
                                    <a:ext cx="0" cy="414551"/>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s:wsp>
                                <wps:cNvPr id="235" name="Text Box 235"/>
                                <wps:cNvSpPr txBox="1">
                                  <a:spLocks noChangeArrowheads="1"/>
                                </wps:cNvSpPr>
                                <wps:spPr bwMode="auto">
                                  <a:xfrm>
                                    <a:off x="-152399" y="-156987"/>
                                    <a:ext cx="2466975" cy="3176845"/>
                                  </a:xfrm>
                                  <a:prstGeom prst="rect">
                                    <a:avLst/>
                                  </a:prstGeom>
                                  <a:solidFill>
                                    <a:schemeClr val="accent6">
                                      <a:lumMod val="20000"/>
                                      <a:lumOff val="80000"/>
                                    </a:schemeClr>
                                  </a:solidFill>
                                  <a:ln w="9525">
                                    <a:solidFill>
                                      <a:schemeClr val="accent1"/>
                                    </a:solidFill>
                                    <a:prstDash val="sysDash"/>
                                    <a:miter lim="800000"/>
                                    <a:headEnd/>
                                    <a:tailEnd/>
                                  </a:ln>
                                </wps:spPr>
                                <wps:txbx>
                                  <w:txbxContent>
                                    <w:p w14:paraId="57B5CFA2" w14:textId="77777777" w:rsidR="003E0782" w:rsidRDefault="003E0782" w:rsidP="00ED0E85">
                                      <w:pPr>
                                        <w:spacing w:before="40" w:line="240" w:lineRule="auto"/>
                                        <w:rPr>
                                          <w:rFonts w:ascii="Franklin Gothic Medium" w:eastAsia="Times New Roman" w:hAnsi="Franklin Gothic Medium"/>
                                          <w:sz w:val="16"/>
                                          <w:szCs w:val="16"/>
                                          <w:lang w:eastAsia="en-US"/>
                                        </w:rPr>
                                      </w:pPr>
                                      <w:r>
                                        <w:rPr>
                                          <w:rFonts w:ascii="Franklin Gothic Demi" w:eastAsia="Times New Roman" w:hAnsi="Franklin Gothic Demi"/>
                                          <w:sz w:val="16"/>
                                          <w:szCs w:val="18"/>
                                          <w:lang w:eastAsia="en-US"/>
                                        </w:rPr>
                                        <w:t>Findings:</w:t>
                                      </w:r>
                                      <w:r>
                                        <w:rPr>
                                          <w:rFonts w:ascii="Franklin Gothic Demi" w:eastAsia="Times New Roman" w:hAnsi="Franklin Gothic Demi"/>
                                          <w:sz w:val="16"/>
                                          <w:szCs w:val="18"/>
                                          <w:lang w:eastAsia="en-US"/>
                                        </w:rPr>
                                        <w:br/>
                                      </w:r>
                                      <w:r w:rsidRPr="000551B1">
                                        <w:rPr>
                                          <w:rFonts w:ascii="Franklin Gothic Medium" w:eastAsia="Times New Roman" w:hAnsi="Franklin Gothic Medium"/>
                                          <w:sz w:val="16"/>
                                          <w:szCs w:val="16"/>
                                          <w:lang w:eastAsia="en-US"/>
                                        </w:rPr>
                                        <w:t xml:space="preserve">The CBD </w:t>
                                      </w:r>
                                      <w:r>
                                        <w:rPr>
                                          <w:rFonts w:ascii="Franklin Gothic Medium" w:eastAsia="Times New Roman" w:hAnsi="Franklin Gothic Medium"/>
                                          <w:sz w:val="16"/>
                                          <w:szCs w:val="16"/>
                                          <w:lang w:eastAsia="en-US"/>
                                        </w:rPr>
                                        <w:t>P</w:t>
                                      </w:r>
                                      <w:r w:rsidRPr="000551B1">
                                        <w:rPr>
                                          <w:rFonts w:ascii="Franklin Gothic Medium" w:eastAsia="Times New Roman" w:hAnsi="Franklin Gothic Medium"/>
                                          <w:sz w:val="16"/>
                                          <w:szCs w:val="16"/>
                                          <w:lang w:eastAsia="en-US"/>
                                        </w:rPr>
                                        <w:t>rogram was appropriate, effective and likely to continue to deliver ongoing benefit i</w:t>
                                      </w:r>
                                      <w:r>
                                        <w:rPr>
                                          <w:rFonts w:ascii="Franklin Gothic Medium" w:eastAsia="Times New Roman" w:hAnsi="Franklin Gothic Medium"/>
                                          <w:sz w:val="16"/>
                                          <w:szCs w:val="16"/>
                                          <w:lang w:eastAsia="en-US"/>
                                        </w:rPr>
                                        <w:t>n</w:t>
                                      </w:r>
                                      <w:r w:rsidRPr="000551B1">
                                        <w:rPr>
                                          <w:rFonts w:ascii="Franklin Gothic Medium" w:eastAsia="Times New Roman" w:hAnsi="Franklin Gothic Medium"/>
                                          <w:sz w:val="16"/>
                                          <w:szCs w:val="16"/>
                                          <w:lang w:eastAsia="en-US"/>
                                        </w:rPr>
                                        <w:t xml:space="preserve"> energy reduction </w:t>
                                      </w:r>
                                    </w:p>
                                    <w:p w14:paraId="74EB4D65" w14:textId="77777777" w:rsidR="003E0782" w:rsidRDefault="003E0782" w:rsidP="00ED0E85">
                                      <w:pPr>
                                        <w:pStyle w:val="ChartListBullet"/>
                                        <w:rPr>
                                          <w:szCs w:val="16"/>
                                        </w:rPr>
                                      </w:pPr>
                                      <w:r w:rsidRPr="00805C0A">
                                        <w:rPr>
                                          <w:szCs w:val="16"/>
                                        </w:rPr>
                                        <w:t xml:space="preserve">Identified first time mandatory reporters with very low initial ratings as </w:t>
                                      </w:r>
                                      <w:r>
                                        <w:rPr>
                                          <w:szCs w:val="16"/>
                                        </w:rPr>
                                        <w:t>those with</w:t>
                                      </w:r>
                                      <w:r w:rsidRPr="00805C0A">
                                        <w:rPr>
                                          <w:szCs w:val="16"/>
                                        </w:rPr>
                                        <w:t xml:space="preserve"> the greatest energy efficiency improvements due to the CBD program</w:t>
                                      </w:r>
                                    </w:p>
                                    <w:p w14:paraId="020509D7" w14:textId="77777777" w:rsidR="003E0782" w:rsidRDefault="003E0782" w:rsidP="00ED0E85">
                                      <w:pPr>
                                        <w:spacing w:before="120" w:line="240" w:lineRule="auto"/>
                                        <w:rPr>
                                          <w:rFonts w:ascii="Franklin Gothic Demi" w:eastAsia="Times New Roman" w:hAnsi="Franklin Gothic Demi"/>
                                          <w:sz w:val="16"/>
                                          <w:szCs w:val="18"/>
                                          <w:lang w:eastAsia="en-US"/>
                                        </w:rPr>
                                      </w:pPr>
                                      <w:r>
                                        <w:rPr>
                                          <w:rFonts w:ascii="Franklin Gothic Demi" w:eastAsia="Times New Roman" w:hAnsi="Franklin Gothic Demi"/>
                                          <w:sz w:val="16"/>
                                          <w:szCs w:val="18"/>
                                          <w:lang w:eastAsia="en-US"/>
                                        </w:rPr>
                                        <w:t>Methodology:</w:t>
                                      </w:r>
                                    </w:p>
                                    <w:p w14:paraId="1657312F" w14:textId="77777777" w:rsidR="003E0782" w:rsidRDefault="003E0782" w:rsidP="00ED0E85">
                                      <w:pPr>
                                        <w:pStyle w:val="ChartListBullet"/>
                                        <w:rPr>
                                          <w:szCs w:val="16"/>
                                        </w:rPr>
                                      </w:pPr>
                                      <w:r w:rsidRPr="00805C0A">
                                        <w:rPr>
                                          <w:szCs w:val="16"/>
                                        </w:rPr>
                                        <w:t>Divided comme</w:t>
                                      </w:r>
                                      <w:r>
                                        <w:rPr>
                                          <w:szCs w:val="16"/>
                                        </w:rPr>
                                        <w:t>rcial building floor space into</w:t>
                                      </w:r>
                                      <w:r w:rsidRPr="00805C0A">
                                        <w:rPr>
                                          <w:szCs w:val="16"/>
                                        </w:rPr>
                                        <w:t>: "voluntary NABERS raters', Mandatory NABERS raters' and those yet-to-rate</w:t>
                                      </w:r>
                                    </w:p>
                                    <w:p w14:paraId="2A0694C5" w14:textId="77777777" w:rsidR="003E0782" w:rsidRPr="00805C0A" w:rsidRDefault="003E0782" w:rsidP="00ED0E85">
                                      <w:pPr>
                                        <w:pStyle w:val="ChartListBullet"/>
                                        <w:rPr>
                                          <w:szCs w:val="16"/>
                                        </w:rPr>
                                      </w:pPr>
                                      <w:r>
                                        <w:rPr>
                                          <w:szCs w:val="16"/>
                                        </w:rPr>
                                        <w:t xml:space="preserve">used </w:t>
                                      </w:r>
                                      <w:r w:rsidRPr="00805C0A">
                                        <w:rPr>
                                          <w:szCs w:val="16"/>
                                        </w:rPr>
                                        <w:t>a Sectoral Investor Abatement Cost Curve, published by Climate Works Australia. The A$/CO</w:t>
                                      </w:r>
                                      <w:r w:rsidRPr="00805C0A">
                                        <w:rPr>
                                          <w:szCs w:val="16"/>
                                          <w:vertAlign w:val="subscript"/>
                                        </w:rPr>
                                        <w:t>2</w:t>
                                      </w:r>
                                      <w:r w:rsidRPr="00805C0A">
                                        <w:rPr>
                                          <w:szCs w:val="16"/>
                                        </w:rPr>
                                        <w:t xml:space="preserve">e figure applied to the emissions reduction </w:t>
                                      </w:r>
                                      <w:r>
                                        <w:rPr>
                                          <w:szCs w:val="16"/>
                                        </w:rPr>
                                        <w:t>attributed to CBD program</w:t>
                                      </w:r>
                                    </w:p>
                                    <w:p w14:paraId="598618FD" w14:textId="77777777" w:rsidR="003E0782" w:rsidRDefault="003E0782" w:rsidP="00ED0E85">
                                      <w:pPr>
                                        <w:spacing w:before="120" w:line="240" w:lineRule="auto"/>
                                        <w:rPr>
                                          <w:rFonts w:ascii="Franklin Gothic Demi" w:eastAsia="Times New Roman" w:hAnsi="Franklin Gothic Demi"/>
                                          <w:sz w:val="16"/>
                                          <w:szCs w:val="18"/>
                                          <w:lang w:eastAsia="en-US"/>
                                        </w:rPr>
                                      </w:pPr>
                                      <w:r>
                                        <w:rPr>
                                          <w:rFonts w:ascii="Franklin Gothic Demi" w:eastAsia="Times New Roman" w:hAnsi="Franklin Gothic Demi"/>
                                          <w:sz w:val="16"/>
                                          <w:szCs w:val="18"/>
                                          <w:lang w:eastAsia="en-US"/>
                                        </w:rPr>
                                        <w:t>Recommendations:</w:t>
                                      </w:r>
                                    </w:p>
                                    <w:p w14:paraId="0879906F" w14:textId="77777777" w:rsidR="003E0782" w:rsidRPr="0067291A" w:rsidRDefault="003E0782" w:rsidP="00ED0E85">
                                      <w:pPr>
                                        <w:pStyle w:val="ChartListBullet"/>
                                        <w:rPr>
                                          <w:szCs w:val="16"/>
                                        </w:rPr>
                                      </w:pPr>
                                      <w:r w:rsidRPr="0067291A">
                                        <w:rPr>
                                          <w:szCs w:val="16"/>
                                        </w:rPr>
                                        <w:t>lower the disclosure threshold to include floor space between 2000m</w:t>
                                      </w:r>
                                      <w:r w:rsidRPr="008C3150">
                                        <w:rPr>
                                          <w:szCs w:val="16"/>
                                          <w:vertAlign w:val="superscript"/>
                                        </w:rPr>
                                        <w:t>2</w:t>
                                      </w:r>
                                      <w:r w:rsidRPr="0067291A">
                                        <w:rPr>
                                          <w:szCs w:val="16"/>
                                        </w:rPr>
                                        <w:t xml:space="preserve"> and 1000m</w:t>
                                      </w:r>
                                      <w:r w:rsidRPr="008C3150">
                                        <w:rPr>
                                          <w:szCs w:val="16"/>
                                          <w:vertAlign w:val="superscript"/>
                                        </w:rPr>
                                        <w:t>2</w:t>
                                      </w:r>
                                    </w:p>
                                    <w:p w14:paraId="3AA6A2BB" w14:textId="77777777" w:rsidR="003E0782" w:rsidRPr="0067291A" w:rsidRDefault="003E0782" w:rsidP="00ED0E85">
                                      <w:pPr>
                                        <w:pStyle w:val="ChartListBullet"/>
                                        <w:spacing w:before="20"/>
                                        <w:rPr>
                                          <w:szCs w:val="16"/>
                                        </w:rPr>
                                      </w:pPr>
                                      <w:r w:rsidRPr="0067291A">
                                        <w:rPr>
                                          <w:szCs w:val="16"/>
                                        </w:rPr>
                                        <w:t xml:space="preserve">Include TLA information at sale and lease, extend validity period to five years, include binding commitment to upgrades </w:t>
                                      </w:r>
                                    </w:p>
                                    <w:p w14:paraId="25BDA073" w14:textId="77777777" w:rsidR="003E0782" w:rsidRPr="0067291A" w:rsidRDefault="003E0782" w:rsidP="00ED0E85">
                                      <w:pPr>
                                        <w:pStyle w:val="ChartListBullet"/>
                                        <w:spacing w:before="20"/>
                                        <w:rPr>
                                          <w:szCs w:val="16"/>
                                        </w:rPr>
                                      </w:pPr>
                                      <w:r w:rsidRPr="0067291A">
                                        <w:rPr>
                                          <w:szCs w:val="16"/>
                                        </w:rPr>
                                        <w:t>Did not recommend further expansion to datacentres, hotels/serviced apartments or shopping centres.</w:t>
                                      </w:r>
                                    </w:p>
                                    <w:p w14:paraId="76C11E50" w14:textId="77777777" w:rsidR="003E0782" w:rsidRPr="00CD7A37" w:rsidRDefault="003E0782" w:rsidP="00ED0E85">
                                      <w:pPr>
                                        <w:spacing w:before="160" w:line="240" w:lineRule="auto"/>
                                        <w:rPr>
                                          <w:rFonts w:ascii="Franklin Gothic Demi" w:eastAsia="Times New Roman" w:hAnsi="Franklin Gothic Demi"/>
                                          <w:sz w:val="16"/>
                                          <w:szCs w:val="18"/>
                                          <w:lang w:eastAsia="en-US"/>
                                        </w:rPr>
                                      </w:pPr>
                                    </w:p>
                                    <w:p w14:paraId="69B4C84A" w14:textId="77777777" w:rsidR="003E0782" w:rsidRPr="00CD7A37" w:rsidRDefault="003E0782" w:rsidP="00ED0E85">
                                      <w:pPr>
                                        <w:pStyle w:val="ChartListBullet"/>
                                        <w:numPr>
                                          <w:ilvl w:val="0"/>
                                          <w:numId w:val="0"/>
                                        </w:numPr>
                                        <w:rPr>
                                          <w:sz w:val="15"/>
                                          <w:szCs w:val="15"/>
                                        </w:rPr>
                                      </w:pPr>
                                    </w:p>
                                  </w:txbxContent>
                                </wps:txbx>
                                <wps:bodyPr rot="0" vert="horz" wrap="square" lIns="36000" tIns="36000" rIns="36000" bIns="36000" anchor="t" anchorCtr="0">
                                  <a:noAutofit/>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F44D825" id="Group 19" o:spid="_x0000_s1026" style="position:absolute;margin-left:11.55pt;margin-top:8pt;width:667.5pt;height:295.15pt;z-index:251692032;mso-width-relative:margin;mso-height-relative:margin" coordsize="84772,37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">
                      <v:group id="Group 22" o:spid="_x0000_s1027" style="position:absolute;top:9239;width:13811;height:28213" coordorigin="1177,2445" coordsize="13128,35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type id="_x0000_t32" coordsize="21600,21600" o:spt="32" o:oned="t" path="m,l21600,21600e" filled="f">
                          <v:path arrowok="t" fillok="f" o:connecttype="none"/>
                          <o:lock v:ext="edit" shapetype="t"/>
                        </v:shapetype>
                        <v:shape id="Straight Arrow Connector 24" o:spid="_x0000_s1028" type="#_x0000_t32" style="position:absolute;left:2243;top:28207;width:0;height:94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" strokecolor="#006573 [3044]" strokeweight="1pt">
                          <v:stroke endarrow="block"/>
                        </v:shape>
                        <v:shapetype id="_x0000_t202" coordsize="21600,21600" o:spt="202" path="m,l,21600r21600,l21600,xe">
                          <v:stroke joinstyle="miter"/>
                          <v:path gradientshapeok="t" o:connecttype="rect"/>
                        </v:shapetype>
                        <v:shape id="Text Box 25" o:spid="_x0000_s1029" type="#_x0000_t202" style="position:absolute;left:1177;top:2445;width:13128;height:32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" fillcolor="#eaf2f3 [665]" strokecolor="#006b7a [3204]">
                          <v:stroke dashstyle="3 1"/>
                          <v:textbox inset="1mm,1mm,1mm,1mm">
                            <w:txbxContent>
                              <w:p w14:paraId="6F0B9188" w14:textId="77777777" w:rsidR="003E0782" w:rsidRDefault="003E0782" w:rsidP="00ED0E85">
                                <w:pPr>
                                  <w:spacing w:before="40" w:line="240" w:lineRule="auto"/>
                                  <w:rPr>
                                    <w:rFonts w:ascii="Franklin Gothic Demi" w:eastAsia="Times New Roman" w:hAnsi="Franklin Gothic Demi"/>
                                    <w:sz w:val="16"/>
                                    <w:szCs w:val="18"/>
                                    <w:lang w:eastAsia="en-US"/>
                                  </w:rPr>
                                </w:pPr>
                                <w:r>
                                  <w:rPr>
                                    <w:rFonts w:ascii="Franklin Gothic Demi" w:eastAsia="Times New Roman" w:hAnsi="Franklin Gothic Demi"/>
                                    <w:sz w:val="16"/>
                                    <w:szCs w:val="18"/>
                                    <w:lang w:eastAsia="en-US"/>
                                  </w:rPr>
                                  <w:t>Outlined:</w:t>
                                </w:r>
                              </w:p>
                              <w:p w14:paraId="29DB070B" w14:textId="77777777" w:rsidR="003E0782" w:rsidRDefault="003E0782" w:rsidP="00ED0E85">
                                <w:pPr>
                                  <w:spacing w:before="40" w:line="240" w:lineRule="auto"/>
                                  <w:rPr>
                                    <w:rFonts w:ascii="Franklin Gothic Medium" w:eastAsia="Times New Roman" w:hAnsi="Franklin Gothic Medium"/>
                                    <w:sz w:val="16"/>
                                    <w:szCs w:val="16"/>
                                    <w:lang w:eastAsia="en-US"/>
                                  </w:rPr>
                                </w:pPr>
                                <w:r w:rsidRPr="00805C0A">
                                  <w:rPr>
                                    <w:rFonts w:ascii="Franklin Gothic Medium" w:eastAsia="Times New Roman" w:hAnsi="Franklin Gothic Medium"/>
                                    <w:sz w:val="16"/>
                                    <w:szCs w:val="16"/>
                                    <w:lang w:eastAsia="en-US"/>
                                  </w:rPr>
                                  <w:t>The Australian Government's intention to 'lower the cost of significantly reducing greenhouse gas emissions in the future</w:t>
                                </w:r>
                                <w:r>
                                  <w:rPr>
                                    <w:rFonts w:ascii="Franklin Gothic Medium" w:eastAsia="Times New Roman" w:hAnsi="Franklin Gothic Medium"/>
                                    <w:sz w:val="16"/>
                                    <w:szCs w:val="16"/>
                                    <w:lang w:eastAsia="en-US"/>
                                  </w:rPr>
                                  <w:t>.</w:t>
                                </w:r>
                              </w:p>
                              <w:p w14:paraId="52A9F58E" w14:textId="77777777" w:rsidR="003E0782" w:rsidRPr="00B7293E" w:rsidRDefault="003E0782" w:rsidP="00ED0E85">
                                <w:pPr>
                                  <w:spacing w:line="240" w:lineRule="auto"/>
                                  <w:rPr>
                                    <w:rFonts w:ascii="Franklin Gothic Demi" w:eastAsia="Times New Roman" w:hAnsi="Franklin Gothic Demi"/>
                                    <w:sz w:val="2"/>
                                    <w:szCs w:val="2"/>
                                    <w:lang w:eastAsia="en-US"/>
                                  </w:rPr>
                                </w:pPr>
                              </w:p>
                              <w:p w14:paraId="5D3E2A24" w14:textId="77777777" w:rsidR="003E0782" w:rsidRPr="00805C0A" w:rsidRDefault="003E0782" w:rsidP="00ED0E85">
                                <w:pPr>
                                  <w:spacing w:before="120" w:line="240" w:lineRule="auto"/>
                                  <w:rPr>
                                    <w:rFonts w:ascii="Franklin Gothic Medium" w:hAnsi="Franklin Gothic Medium"/>
                                    <w:sz w:val="16"/>
                                    <w:szCs w:val="16"/>
                                  </w:rPr>
                                </w:pPr>
                                <w:r w:rsidRPr="00805C0A">
                                  <w:rPr>
                                    <w:rFonts w:ascii="Franklin Gothic Demi" w:eastAsia="Times New Roman" w:hAnsi="Franklin Gothic Demi"/>
                                    <w:sz w:val="16"/>
                                    <w:szCs w:val="16"/>
                                    <w:lang w:eastAsia="en-US"/>
                                  </w:rPr>
                                  <w:t>Noted:</w:t>
                                </w:r>
                                <w:r>
                                  <w:rPr>
                                    <w:rFonts w:ascii="Franklin Gothic Demi" w:eastAsia="Times New Roman" w:hAnsi="Franklin Gothic Demi"/>
                                    <w:sz w:val="16"/>
                                    <w:szCs w:val="16"/>
                                    <w:lang w:eastAsia="en-US"/>
                                  </w:rPr>
                                  <w:br/>
                                </w:r>
                                <w:r w:rsidRPr="00805C0A">
                                  <w:rPr>
                                    <w:rFonts w:ascii="Franklin Gothic Medium" w:eastAsia="Times New Roman" w:hAnsi="Franklin Gothic Medium"/>
                                    <w:sz w:val="16"/>
                                    <w:szCs w:val="16"/>
                                    <w:lang w:eastAsia="en-US"/>
                                  </w:rPr>
                                  <w:t>Information measures will also be improved. To complement the existing performance ratings for commercial and residential buildings, the government will work with the states and territories to require landlords and building owners to disclose energy performance information in leases and sales agreements (p112).</w:t>
                                </w:r>
                              </w:p>
                            </w:txbxContent>
                          </v:textbox>
                        </v:shape>
                      </v:group>
                      <v:group id="Group 26" o:spid="_x0000_s1030" style="position:absolute;left:14668;top:8667;width:23051;height:28671" coordorigin="-7224,-2485" coordsize="15707,43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Straight Arrow Connector 27" o:spid="_x0000_s1031" type="#_x0000_t32" style="position:absolute;left:7959;top:33045;width:0;height:7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" strokecolor="#006573 [3044]" strokeweight="1pt">
                          <v:stroke endarrow="block"/>
                        </v:shape>
                        <v:shape id="Text Box 29" o:spid="_x0000_s1032" type="#_x0000_t202" style="position:absolute;left:-7224;top:-2485;width:15707;height:40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" fillcolor="#eaf2f3 [665]" strokecolor="#006b7a [3204]">
                          <v:stroke dashstyle="3 1"/>
                          <v:textbox inset="1mm,1mm,1mm,1mm">
                            <w:txbxContent>
                              <w:p w14:paraId="19AFA832" w14:textId="77777777" w:rsidR="003E0782" w:rsidRDefault="003E0782" w:rsidP="00ED0E85">
                                <w:pPr>
                                  <w:spacing w:before="40" w:line="240" w:lineRule="auto"/>
                                  <w:rPr>
                                    <w:rFonts w:ascii="Franklin Gothic Demi" w:eastAsia="Times New Roman" w:hAnsi="Franklin Gothic Demi"/>
                                    <w:sz w:val="16"/>
                                    <w:szCs w:val="18"/>
                                    <w:lang w:eastAsia="en-US"/>
                                  </w:rPr>
                                </w:pPr>
                                <w:r>
                                  <w:rPr>
                                    <w:rFonts w:ascii="Franklin Gothic Demi" w:eastAsia="Times New Roman" w:hAnsi="Franklin Gothic Demi"/>
                                    <w:sz w:val="16"/>
                                    <w:szCs w:val="18"/>
                                    <w:lang w:eastAsia="en-US"/>
                                  </w:rPr>
                                  <w:t xml:space="preserve">Objectives: </w:t>
                                </w:r>
                              </w:p>
                              <w:p w14:paraId="02D4549E" w14:textId="77777777" w:rsidR="003E0782" w:rsidRPr="00805C0A" w:rsidRDefault="003E0782" w:rsidP="00ED0E85">
                                <w:pPr>
                                  <w:spacing w:before="40" w:line="240" w:lineRule="auto"/>
                                  <w:rPr>
                                    <w:rFonts w:ascii="Franklin Gothic Medium" w:eastAsia="Times New Roman" w:hAnsi="Franklin Gothic Medium"/>
                                    <w:sz w:val="16"/>
                                    <w:szCs w:val="18"/>
                                    <w:lang w:eastAsia="en-US"/>
                                  </w:rPr>
                                </w:pPr>
                                <w:r w:rsidRPr="00805C0A">
                                  <w:rPr>
                                    <w:rFonts w:ascii="Franklin Gothic Medium" w:eastAsia="Times New Roman" w:hAnsi="Franklin Gothic Medium"/>
                                    <w:sz w:val="16"/>
                                    <w:szCs w:val="18"/>
                                    <w:lang w:eastAsia="en-US"/>
                                  </w:rPr>
                                  <w:t xml:space="preserve">To ensure credible and meaningful information on the energy efficiency of commercial buildings is readily available to potential purchasers </w:t>
                                </w:r>
                                <w:r>
                                  <w:rPr>
                                    <w:rFonts w:ascii="Franklin Gothic Medium" w:eastAsia="Times New Roman" w:hAnsi="Franklin Gothic Medium"/>
                                    <w:sz w:val="16"/>
                                    <w:szCs w:val="18"/>
                                    <w:lang w:eastAsia="en-US"/>
                                  </w:rPr>
                                  <w:t>&amp;</w:t>
                                </w:r>
                                <w:r w:rsidRPr="00805C0A">
                                  <w:rPr>
                                    <w:rFonts w:ascii="Franklin Gothic Medium" w:eastAsia="Times New Roman" w:hAnsi="Franklin Gothic Medium"/>
                                    <w:sz w:val="16"/>
                                    <w:szCs w:val="18"/>
                                    <w:lang w:eastAsia="en-US"/>
                                  </w:rPr>
                                  <w:t xml:space="preserve"> lessees</w:t>
                                </w:r>
                              </w:p>
                              <w:p w14:paraId="26BEEBB2" w14:textId="77777777" w:rsidR="003E0782" w:rsidRDefault="003E0782" w:rsidP="00ED0E85">
                                <w:pPr>
                                  <w:spacing w:before="160" w:line="240" w:lineRule="auto"/>
                                  <w:rPr>
                                    <w:rFonts w:ascii="Franklin Gothic Demi" w:eastAsia="Times New Roman" w:hAnsi="Franklin Gothic Demi"/>
                                    <w:sz w:val="16"/>
                                    <w:szCs w:val="18"/>
                                    <w:lang w:eastAsia="en-US"/>
                                  </w:rPr>
                                </w:pPr>
                                <w:r>
                                  <w:rPr>
                                    <w:rFonts w:ascii="Franklin Gothic Demi" w:eastAsia="Times New Roman" w:hAnsi="Franklin Gothic Demi"/>
                                    <w:sz w:val="16"/>
                                    <w:szCs w:val="18"/>
                                    <w:lang w:eastAsia="en-US"/>
                                  </w:rPr>
                                  <w:t xml:space="preserve">Mechanisms: </w:t>
                                </w:r>
                              </w:p>
                              <w:p w14:paraId="0564CB49" w14:textId="77777777" w:rsidR="003E0782" w:rsidRPr="00805C0A" w:rsidRDefault="003E0782" w:rsidP="00ED0E85">
                                <w:pPr>
                                  <w:spacing w:before="40" w:line="240" w:lineRule="auto"/>
                                  <w:rPr>
                                    <w:rFonts w:ascii="Franklin Gothic Medium" w:eastAsia="Times New Roman" w:hAnsi="Franklin Gothic Medium"/>
                                    <w:sz w:val="16"/>
                                    <w:szCs w:val="18"/>
                                    <w:lang w:eastAsia="en-US"/>
                                  </w:rPr>
                                </w:pPr>
                                <w:r w:rsidRPr="00805C0A">
                                  <w:rPr>
                                    <w:rFonts w:ascii="Franklin Gothic Medium" w:eastAsia="Times New Roman" w:hAnsi="Franklin Gothic Medium"/>
                                    <w:sz w:val="16"/>
                                    <w:szCs w:val="18"/>
                                    <w:lang w:eastAsia="en-US"/>
                                  </w:rPr>
                                  <w:t>Building Energy Efficiency Certificate that includes both NABERS rating and TLA, with only a NABERS rating required in advertisements for sale or lease</w:t>
                                </w:r>
                              </w:p>
                              <w:p w14:paraId="06D75BCE" w14:textId="77777777" w:rsidR="003E0782" w:rsidRPr="00805C0A" w:rsidRDefault="003E0782" w:rsidP="00ED0E85">
                                <w:pPr>
                                  <w:pStyle w:val="ChartListBullet"/>
                                  <w:spacing w:line="240" w:lineRule="auto"/>
                                  <w:rPr>
                                    <w:szCs w:val="16"/>
                                  </w:rPr>
                                </w:pPr>
                                <w:r w:rsidRPr="00805C0A">
                                  <w:rPr>
                                    <w:szCs w:val="16"/>
                                  </w:rPr>
                                  <w:t>NABERS - Energy for Offices that benchmarks actual operational energy use, drawing on energy use per m2 of Net Lettable Area (NLA)</w:t>
                                </w:r>
                              </w:p>
                              <w:p w14:paraId="0EE9AEBA" w14:textId="77777777" w:rsidR="003E0782" w:rsidRPr="00805C0A" w:rsidRDefault="003E0782" w:rsidP="00ED0E85">
                                <w:pPr>
                                  <w:pStyle w:val="ChartListBullet"/>
                                  <w:spacing w:line="240" w:lineRule="auto"/>
                                  <w:rPr>
                                    <w:szCs w:val="16"/>
                                  </w:rPr>
                                </w:pPr>
                                <w:r w:rsidRPr="00805C0A">
                                  <w:rPr>
                                    <w:szCs w:val="16"/>
                                  </w:rPr>
                                  <w:t>TLA - measuring the power density of the installed general lighting system in the buildings, via the Nominal Lighting Power Density (NLPD) and focussing on fixed lighting assets, not attributable to individual tenants</w:t>
                                </w:r>
                              </w:p>
                              <w:p w14:paraId="35E0D496" w14:textId="77777777" w:rsidR="003E0782" w:rsidRDefault="003E0782" w:rsidP="00ED0E85">
                                <w:pPr>
                                  <w:spacing w:before="120" w:line="240" w:lineRule="auto"/>
                                  <w:rPr>
                                    <w:rFonts w:ascii="Franklin Gothic Demi" w:eastAsia="Times New Roman" w:hAnsi="Franklin Gothic Demi"/>
                                    <w:sz w:val="16"/>
                                    <w:szCs w:val="18"/>
                                    <w:lang w:eastAsia="en-US"/>
                                  </w:rPr>
                                </w:pPr>
                                <w:r>
                                  <w:rPr>
                                    <w:rFonts w:ascii="Franklin Gothic Demi" w:eastAsia="Times New Roman" w:hAnsi="Franklin Gothic Demi"/>
                                    <w:sz w:val="16"/>
                                    <w:szCs w:val="18"/>
                                    <w:lang w:eastAsia="en-US"/>
                                  </w:rPr>
                                  <w:t xml:space="preserve">Coverage: </w:t>
                                </w:r>
                              </w:p>
                              <w:p w14:paraId="0D484F1E" w14:textId="77777777" w:rsidR="003E0782" w:rsidRPr="00805C0A" w:rsidRDefault="003E0782" w:rsidP="00ED0E85">
                                <w:pPr>
                                  <w:spacing w:before="40" w:line="240" w:lineRule="auto"/>
                                  <w:rPr>
                                    <w:rFonts w:ascii="Franklin Gothic Medium" w:eastAsia="Times New Roman" w:hAnsi="Franklin Gothic Medium"/>
                                    <w:sz w:val="16"/>
                                    <w:szCs w:val="18"/>
                                    <w:lang w:eastAsia="en-US"/>
                                  </w:rPr>
                                </w:pPr>
                                <w:r>
                                  <w:rPr>
                                    <w:rFonts w:ascii="Franklin Gothic Medium" w:eastAsia="Times New Roman" w:hAnsi="Franklin Gothic Medium"/>
                                    <w:sz w:val="16"/>
                                    <w:szCs w:val="18"/>
                                    <w:lang w:eastAsia="en-US"/>
                                  </w:rPr>
                                  <w:t>A</w:t>
                                </w:r>
                                <w:r w:rsidRPr="00805C0A">
                                  <w:rPr>
                                    <w:rFonts w:ascii="Franklin Gothic Medium" w:eastAsia="Times New Roman" w:hAnsi="Franklin Gothic Medium"/>
                                    <w:sz w:val="16"/>
                                    <w:szCs w:val="18"/>
                                    <w:lang w:eastAsia="en-US"/>
                                  </w:rPr>
                                  <w:t>dvertis</w:t>
                                </w:r>
                                <w:r>
                                  <w:rPr>
                                    <w:rFonts w:ascii="Franklin Gothic Medium" w:eastAsia="Times New Roman" w:hAnsi="Franklin Gothic Medium"/>
                                    <w:sz w:val="16"/>
                                    <w:szCs w:val="18"/>
                                    <w:lang w:eastAsia="en-US"/>
                                  </w:rPr>
                                  <w:t>ing</w:t>
                                </w:r>
                                <w:r w:rsidRPr="00805C0A">
                                  <w:rPr>
                                    <w:rFonts w:ascii="Franklin Gothic Medium" w:eastAsia="Times New Roman" w:hAnsi="Franklin Gothic Medium"/>
                                    <w:sz w:val="16"/>
                                    <w:szCs w:val="18"/>
                                    <w:lang w:eastAsia="en-US"/>
                                  </w:rPr>
                                  <w:t xml:space="preserve"> </w:t>
                                </w:r>
                                <w:r>
                                  <w:rPr>
                                    <w:rFonts w:ascii="Franklin Gothic Medium" w:eastAsia="Times New Roman" w:hAnsi="Franklin Gothic Medium"/>
                                    <w:sz w:val="16"/>
                                    <w:szCs w:val="18"/>
                                    <w:lang w:eastAsia="en-US"/>
                                  </w:rPr>
                                  <w:t xml:space="preserve">office space </w:t>
                                </w:r>
                                <w:r w:rsidRPr="00805C0A">
                                  <w:rPr>
                                    <w:rFonts w:ascii="Franklin Gothic Medium" w:eastAsia="Times New Roman" w:hAnsi="Franklin Gothic Medium"/>
                                    <w:sz w:val="16"/>
                                    <w:szCs w:val="18"/>
                                    <w:lang w:eastAsia="en-US"/>
                                  </w:rPr>
                                  <w:t>for sale</w:t>
                                </w:r>
                                <w:r>
                                  <w:rPr>
                                    <w:rFonts w:ascii="Franklin Gothic Medium" w:eastAsia="Times New Roman" w:hAnsi="Franklin Gothic Medium"/>
                                    <w:sz w:val="16"/>
                                    <w:szCs w:val="18"/>
                                    <w:lang w:eastAsia="en-US"/>
                                  </w:rPr>
                                  <w:t>/</w:t>
                                </w:r>
                                <w:r w:rsidRPr="00805C0A">
                                  <w:rPr>
                                    <w:rFonts w:ascii="Franklin Gothic Medium" w:eastAsia="Times New Roman" w:hAnsi="Franklin Gothic Medium"/>
                                    <w:sz w:val="16"/>
                                    <w:szCs w:val="18"/>
                                    <w:lang w:eastAsia="en-US"/>
                                  </w:rPr>
                                  <w:t>lease</w:t>
                                </w:r>
                                <w:r>
                                  <w:rPr>
                                    <w:rFonts w:ascii="Franklin Gothic Medium" w:eastAsia="Times New Roman" w:hAnsi="Franklin Gothic Medium"/>
                                    <w:sz w:val="16"/>
                                    <w:szCs w:val="18"/>
                                    <w:lang w:eastAsia="en-US"/>
                                  </w:rPr>
                                  <w:t xml:space="preserve"> &gt; </w:t>
                                </w:r>
                                <w:r w:rsidRPr="00805C0A">
                                  <w:rPr>
                                    <w:rFonts w:ascii="Franklin Gothic Medium" w:eastAsia="Times New Roman" w:hAnsi="Franklin Gothic Medium"/>
                                    <w:sz w:val="16"/>
                                    <w:szCs w:val="18"/>
                                    <w:lang w:eastAsia="en-US"/>
                                  </w:rPr>
                                  <w:t>2000m</w:t>
                                </w:r>
                                <w:r w:rsidRPr="00805C0A">
                                  <w:rPr>
                                    <w:rFonts w:ascii="Franklin Gothic Medium" w:eastAsia="Times New Roman" w:hAnsi="Franklin Gothic Medium"/>
                                    <w:sz w:val="16"/>
                                    <w:szCs w:val="18"/>
                                    <w:vertAlign w:val="superscript"/>
                                    <w:lang w:eastAsia="en-US"/>
                                  </w:rPr>
                                  <w:t>2</w:t>
                                </w:r>
                              </w:p>
                              <w:p w14:paraId="2A0FF676" w14:textId="77777777" w:rsidR="003E0782" w:rsidRPr="00CD7A37" w:rsidRDefault="003E0782" w:rsidP="00ED0E85">
                                <w:pPr>
                                  <w:pStyle w:val="ChartListBullet"/>
                                  <w:numPr>
                                    <w:ilvl w:val="0"/>
                                    <w:numId w:val="0"/>
                                  </w:numPr>
                                  <w:rPr>
                                    <w:sz w:val="15"/>
                                    <w:szCs w:val="15"/>
                                  </w:rPr>
                                </w:pPr>
                              </w:p>
                            </w:txbxContent>
                          </v:textbox>
                        </v:shape>
                      </v:group>
                      <v:group id="Group 225" o:spid="_x0000_s1033" style="position:absolute;left:64198;top:8382;width:20574;height:29044" coordorigin="-12455,3342" coordsize="21571,33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Straight Arrow Connector 230" o:spid="_x0000_s1034" type="#_x0000_t32" style="position:absolute;left:-269;top:27376;width:0;height:94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" strokecolor="#006573 [3044]" strokeweight="1pt">
                          <v:stroke endarrow="block"/>
                        </v:shape>
                        <v:shape id="Text Box 231" o:spid="_x0000_s1035" type="#_x0000_t202" style="position:absolute;left:-12455;top:3342;width:21571;height:30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" fillcolor="#eaf2f3 [665]" strokecolor="#006b7a [3204]">
                          <v:stroke dashstyle="3 1"/>
                          <v:textbox inset="1mm,1mm,1mm,1mm">
                            <w:txbxContent>
                              <w:p w14:paraId="51FDD452" w14:textId="77777777" w:rsidR="003E0782" w:rsidRPr="0067291A" w:rsidRDefault="003E0782" w:rsidP="00ED0E85">
                                <w:pPr>
                                  <w:pStyle w:val="ChartListBullet"/>
                                  <w:numPr>
                                    <w:ilvl w:val="0"/>
                                    <w:numId w:val="0"/>
                                  </w:numPr>
                                  <w:spacing w:before="40"/>
                                  <w:ind w:left="170" w:hanging="170"/>
                                  <w:rPr>
                                    <w:rFonts w:ascii="Franklin Gothic Demi" w:hAnsi="Franklin Gothic Demi"/>
                                    <w:szCs w:val="16"/>
                                  </w:rPr>
                                </w:pPr>
                                <w:r w:rsidRPr="0067291A">
                                  <w:rPr>
                                    <w:rFonts w:ascii="Franklin Gothic Demi" w:hAnsi="Franklin Gothic Demi"/>
                                    <w:szCs w:val="16"/>
                                  </w:rPr>
                                  <w:t>Completed studies</w:t>
                                </w:r>
                                <w:r>
                                  <w:rPr>
                                    <w:rFonts w:ascii="Franklin Gothic Demi" w:hAnsi="Franklin Gothic Demi"/>
                                    <w:szCs w:val="16"/>
                                  </w:rPr>
                                  <w:t>:</w:t>
                                </w:r>
                              </w:p>
                              <w:p w14:paraId="11C724B6" w14:textId="77777777" w:rsidR="003E0782" w:rsidRDefault="003E0782" w:rsidP="00ED0E85">
                                <w:pPr>
                                  <w:pStyle w:val="ChartListBullet"/>
                                  <w:rPr>
                                    <w:szCs w:val="16"/>
                                  </w:rPr>
                                </w:pPr>
                                <w:r w:rsidRPr="0067291A">
                                  <w:rPr>
                                    <w:szCs w:val="16"/>
                                  </w:rPr>
                                  <w:t>CBD Expansion Feasibility Study: Shopping Centres, Datacentres and Hotels</w:t>
                                </w:r>
                              </w:p>
                              <w:p w14:paraId="1FD80235" w14:textId="77777777" w:rsidR="003E0782" w:rsidRDefault="003E0782" w:rsidP="00ED0E85">
                                <w:pPr>
                                  <w:pStyle w:val="ChartListBullet2"/>
                                </w:pPr>
                                <w:r>
                                  <w:t>Preliminary net benefit findings</w:t>
                                </w:r>
                              </w:p>
                              <w:p w14:paraId="3CD9658C" w14:textId="77777777" w:rsidR="003E0782" w:rsidRDefault="003E0782" w:rsidP="00ED0E85">
                                <w:pPr>
                                  <w:pStyle w:val="ChartListBullet"/>
                                  <w:rPr>
                                    <w:szCs w:val="16"/>
                                  </w:rPr>
                                </w:pPr>
                                <w:r w:rsidRPr="0067291A">
                                  <w:rPr>
                                    <w:szCs w:val="16"/>
                                  </w:rPr>
                                  <w:t>Expansion of Mandatory Disclosure to Office Tenancies: Feasibility Assessment</w:t>
                                </w:r>
                              </w:p>
                              <w:p w14:paraId="7B1991D5" w14:textId="77777777" w:rsidR="003E0782" w:rsidRDefault="003E0782" w:rsidP="00ED0E85">
                                <w:pPr>
                                  <w:pStyle w:val="ChartListBullet2"/>
                                </w:pPr>
                                <w:r>
                                  <w:t>Preliminary net benefit findings</w:t>
                                </w:r>
                              </w:p>
                              <w:p w14:paraId="1EFCA0C0" w14:textId="77777777" w:rsidR="003E0782" w:rsidRPr="00A5503B" w:rsidRDefault="003E0782" w:rsidP="00ED0E85">
                                <w:pPr>
                                  <w:pStyle w:val="ChartListBullet"/>
                                  <w:numPr>
                                    <w:ilvl w:val="0"/>
                                    <w:numId w:val="0"/>
                                  </w:numPr>
                                  <w:rPr>
                                    <w:rFonts w:ascii="Franklin Gothic Demi" w:hAnsi="Franklin Gothic Demi"/>
                                  </w:rPr>
                                </w:pPr>
                                <w:r>
                                  <w:rPr>
                                    <w:rFonts w:ascii="Franklin Gothic Demi" w:hAnsi="Franklin Gothic Demi"/>
                                  </w:rPr>
                                  <w:t>Current study being commissioned</w:t>
                                </w:r>
                              </w:p>
                              <w:p w14:paraId="5CAFAFB4" w14:textId="77777777" w:rsidR="003E0782" w:rsidRDefault="003E0782" w:rsidP="00ED0E85">
                                <w:pPr>
                                  <w:pStyle w:val="ChartListBullet"/>
                                  <w:rPr>
                                    <w:szCs w:val="16"/>
                                  </w:rPr>
                                </w:pPr>
                                <w:r>
                                  <w:rPr>
                                    <w:szCs w:val="16"/>
                                  </w:rPr>
                                  <w:t>Ex post evaluation of the CBD program to date</w:t>
                                </w:r>
                              </w:p>
                              <w:p w14:paraId="5AF470F1" w14:textId="77777777" w:rsidR="003E0782" w:rsidRDefault="003E0782" w:rsidP="00ED0E85">
                                <w:pPr>
                                  <w:pStyle w:val="ChartListBullet"/>
                                  <w:rPr>
                                    <w:szCs w:val="16"/>
                                  </w:rPr>
                                </w:pPr>
                                <w:r>
                                  <w:rPr>
                                    <w:szCs w:val="16"/>
                                  </w:rPr>
                                  <w:t>Ex post evaluation of the CBD threshold expansion of 2017</w:t>
                                </w:r>
                              </w:p>
                              <w:p w14:paraId="6E9DC49C" w14:textId="77777777" w:rsidR="003E0782" w:rsidRDefault="003E0782" w:rsidP="00ED0E85">
                                <w:pPr>
                                  <w:pStyle w:val="ChartListBullet"/>
                                  <w:rPr>
                                    <w:szCs w:val="16"/>
                                  </w:rPr>
                                </w:pPr>
                                <w:r>
                                  <w:rPr>
                                    <w:szCs w:val="16"/>
                                  </w:rPr>
                                  <w:t>Review and analysis of tenancy level considerations (including lighting and reporting)</w:t>
                                </w:r>
                              </w:p>
                              <w:p w14:paraId="358C8690" w14:textId="77777777" w:rsidR="003E0782" w:rsidRPr="0067291A" w:rsidRDefault="003E0782" w:rsidP="00ED0E85">
                                <w:pPr>
                                  <w:pStyle w:val="ChartListBullet"/>
                                  <w:rPr>
                                    <w:szCs w:val="16"/>
                                  </w:rPr>
                                </w:pPr>
                                <w:r>
                                  <w:rPr>
                                    <w:szCs w:val="16"/>
                                  </w:rPr>
                                  <w:t>Further analysis of potential expansion to hotels, data centres and shopping centres.</w:t>
                                </w:r>
                              </w:p>
                            </w:txbxContent>
                          </v:textbox>
                        </v:shape>
                      </v:group>
                      <v:group id="Group 233" o:spid="_x0000_s1036" style="position:absolute;left:38671;width:24670;height:37484" coordorigin="-1523,-1569" coordsize="24669,3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Straight Arrow Connector 234" o:spid="_x0000_s1037" type="#_x0000_t32" style="position:absolute;left:17474;top:28095;width:0;height:4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" strokecolor="#006573 [3044]" strokeweight="1pt">
                          <v:stroke endarrow="block"/>
                        </v:shape>
                        <v:shape id="Text Box 235" o:spid="_x0000_s1038" type="#_x0000_t202" style="position:absolute;left:-1523;top:-1569;width:24668;height:31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" fillcolor="#eaf2f3 [665]" strokecolor="#006b7a [3204]">
                          <v:stroke dashstyle="3 1"/>
                          <v:textbox inset="1mm,1mm,1mm,1mm">
                            <w:txbxContent>
                              <w:p w14:paraId="57B5CFA2" w14:textId="77777777" w:rsidR="003E0782" w:rsidRDefault="003E0782" w:rsidP="00ED0E85">
                                <w:pPr>
                                  <w:spacing w:before="40" w:line="240" w:lineRule="auto"/>
                                  <w:rPr>
                                    <w:rFonts w:ascii="Franklin Gothic Medium" w:eastAsia="Times New Roman" w:hAnsi="Franklin Gothic Medium"/>
                                    <w:sz w:val="16"/>
                                    <w:szCs w:val="16"/>
                                    <w:lang w:eastAsia="en-US"/>
                                  </w:rPr>
                                </w:pPr>
                                <w:r>
                                  <w:rPr>
                                    <w:rFonts w:ascii="Franklin Gothic Demi" w:eastAsia="Times New Roman" w:hAnsi="Franklin Gothic Demi"/>
                                    <w:sz w:val="16"/>
                                    <w:szCs w:val="18"/>
                                    <w:lang w:eastAsia="en-US"/>
                                  </w:rPr>
                                  <w:t>Findings:</w:t>
                                </w:r>
                                <w:r>
                                  <w:rPr>
                                    <w:rFonts w:ascii="Franklin Gothic Demi" w:eastAsia="Times New Roman" w:hAnsi="Franklin Gothic Demi"/>
                                    <w:sz w:val="16"/>
                                    <w:szCs w:val="18"/>
                                    <w:lang w:eastAsia="en-US"/>
                                  </w:rPr>
                                  <w:br/>
                                </w:r>
                                <w:r w:rsidRPr="000551B1">
                                  <w:rPr>
                                    <w:rFonts w:ascii="Franklin Gothic Medium" w:eastAsia="Times New Roman" w:hAnsi="Franklin Gothic Medium"/>
                                    <w:sz w:val="16"/>
                                    <w:szCs w:val="16"/>
                                    <w:lang w:eastAsia="en-US"/>
                                  </w:rPr>
                                  <w:t xml:space="preserve">The CBD </w:t>
                                </w:r>
                                <w:r>
                                  <w:rPr>
                                    <w:rFonts w:ascii="Franklin Gothic Medium" w:eastAsia="Times New Roman" w:hAnsi="Franklin Gothic Medium"/>
                                    <w:sz w:val="16"/>
                                    <w:szCs w:val="16"/>
                                    <w:lang w:eastAsia="en-US"/>
                                  </w:rPr>
                                  <w:t>P</w:t>
                                </w:r>
                                <w:r w:rsidRPr="000551B1">
                                  <w:rPr>
                                    <w:rFonts w:ascii="Franklin Gothic Medium" w:eastAsia="Times New Roman" w:hAnsi="Franklin Gothic Medium"/>
                                    <w:sz w:val="16"/>
                                    <w:szCs w:val="16"/>
                                    <w:lang w:eastAsia="en-US"/>
                                  </w:rPr>
                                  <w:t>rogram was appropriate, effective and likely to continue to deliver ongoing benefit i</w:t>
                                </w:r>
                                <w:r>
                                  <w:rPr>
                                    <w:rFonts w:ascii="Franklin Gothic Medium" w:eastAsia="Times New Roman" w:hAnsi="Franklin Gothic Medium"/>
                                    <w:sz w:val="16"/>
                                    <w:szCs w:val="16"/>
                                    <w:lang w:eastAsia="en-US"/>
                                  </w:rPr>
                                  <w:t>n</w:t>
                                </w:r>
                                <w:r w:rsidRPr="000551B1">
                                  <w:rPr>
                                    <w:rFonts w:ascii="Franklin Gothic Medium" w:eastAsia="Times New Roman" w:hAnsi="Franklin Gothic Medium"/>
                                    <w:sz w:val="16"/>
                                    <w:szCs w:val="16"/>
                                    <w:lang w:eastAsia="en-US"/>
                                  </w:rPr>
                                  <w:t xml:space="preserve"> energy reduction </w:t>
                                </w:r>
                              </w:p>
                              <w:p w14:paraId="74EB4D65" w14:textId="77777777" w:rsidR="003E0782" w:rsidRDefault="003E0782" w:rsidP="00ED0E85">
                                <w:pPr>
                                  <w:pStyle w:val="ChartListBullet"/>
                                  <w:rPr>
                                    <w:szCs w:val="16"/>
                                  </w:rPr>
                                </w:pPr>
                                <w:r w:rsidRPr="00805C0A">
                                  <w:rPr>
                                    <w:szCs w:val="16"/>
                                  </w:rPr>
                                  <w:t xml:space="preserve">Identified first time mandatory reporters with very low initial ratings as </w:t>
                                </w:r>
                                <w:r>
                                  <w:rPr>
                                    <w:szCs w:val="16"/>
                                  </w:rPr>
                                  <w:t>those with</w:t>
                                </w:r>
                                <w:r w:rsidRPr="00805C0A">
                                  <w:rPr>
                                    <w:szCs w:val="16"/>
                                  </w:rPr>
                                  <w:t xml:space="preserve"> the greatest energy efficiency improvements due to the CBD program</w:t>
                                </w:r>
                              </w:p>
                              <w:p w14:paraId="020509D7" w14:textId="77777777" w:rsidR="003E0782" w:rsidRDefault="003E0782" w:rsidP="00ED0E85">
                                <w:pPr>
                                  <w:spacing w:before="120" w:line="240" w:lineRule="auto"/>
                                  <w:rPr>
                                    <w:rFonts w:ascii="Franklin Gothic Demi" w:eastAsia="Times New Roman" w:hAnsi="Franklin Gothic Demi"/>
                                    <w:sz w:val="16"/>
                                    <w:szCs w:val="18"/>
                                    <w:lang w:eastAsia="en-US"/>
                                  </w:rPr>
                                </w:pPr>
                                <w:r>
                                  <w:rPr>
                                    <w:rFonts w:ascii="Franklin Gothic Demi" w:eastAsia="Times New Roman" w:hAnsi="Franklin Gothic Demi"/>
                                    <w:sz w:val="16"/>
                                    <w:szCs w:val="18"/>
                                    <w:lang w:eastAsia="en-US"/>
                                  </w:rPr>
                                  <w:t>Methodology:</w:t>
                                </w:r>
                              </w:p>
                              <w:p w14:paraId="1657312F" w14:textId="77777777" w:rsidR="003E0782" w:rsidRDefault="003E0782" w:rsidP="00ED0E85">
                                <w:pPr>
                                  <w:pStyle w:val="ChartListBullet"/>
                                  <w:rPr>
                                    <w:szCs w:val="16"/>
                                  </w:rPr>
                                </w:pPr>
                                <w:r w:rsidRPr="00805C0A">
                                  <w:rPr>
                                    <w:szCs w:val="16"/>
                                  </w:rPr>
                                  <w:t>Divided comme</w:t>
                                </w:r>
                                <w:r>
                                  <w:rPr>
                                    <w:szCs w:val="16"/>
                                  </w:rPr>
                                  <w:t>rcial building floor space into</w:t>
                                </w:r>
                                <w:r w:rsidRPr="00805C0A">
                                  <w:rPr>
                                    <w:szCs w:val="16"/>
                                  </w:rPr>
                                  <w:t>: "voluntary NABERS raters', Mandatory NABERS raters' and those yet-to-rate</w:t>
                                </w:r>
                              </w:p>
                              <w:p w14:paraId="2A0694C5" w14:textId="77777777" w:rsidR="003E0782" w:rsidRPr="00805C0A" w:rsidRDefault="003E0782" w:rsidP="00ED0E85">
                                <w:pPr>
                                  <w:pStyle w:val="ChartListBullet"/>
                                  <w:rPr>
                                    <w:szCs w:val="16"/>
                                  </w:rPr>
                                </w:pPr>
                                <w:r>
                                  <w:rPr>
                                    <w:szCs w:val="16"/>
                                  </w:rPr>
                                  <w:t xml:space="preserve">used </w:t>
                                </w:r>
                                <w:r w:rsidRPr="00805C0A">
                                  <w:rPr>
                                    <w:szCs w:val="16"/>
                                  </w:rPr>
                                  <w:t>a Sectoral Investor Abatement Cost Curve, published by Climate Works Australia. The A$/CO</w:t>
                                </w:r>
                                <w:r w:rsidRPr="00805C0A">
                                  <w:rPr>
                                    <w:szCs w:val="16"/>
                                    <w:vertAlign w:val="subscript"/>
                                  </w:rPr>
                                  <w:t>2</w:t>
                                </w:r>
                                <w:r w:rsidRPr="00805C0A">
                                  <w:rPr>
                                    <w:szCs w:val="16"/>
                                  </w:rPr>
                                  <w:t xml:space="preserve">e figure applied to the emissions reduction </w:t>
                                </w:r>
                                <w:r>
                                  <w:rPr>
                                    <w:szCs w:val="16"/>
                                  </w:rPr>
                                  <w:t>attributed to CBD program</w:t>
                                </w:r>
                              </w:p>
                              <w:p w14:paraId="598618FD" w14:textId="77777777" w:rsidR="003E0782" w:rsidRDefault="003E0782" w:rsidP="00ED0E85">
                                <w:pPr>
                                  <w:spacing w:before="120" w:line="240" w:lineRule="auto"/>
                                  <w:rPr>
                                    <w:rFonts w:ascii="Franklin Gothic Demi" w:eastAsia="Times New Roman" w:hAnsi="Franklin Gothic Demi"/>
                                    <w:sz w:val="16"/>
                                    <w:szCs w:val="18"/>
                                    <w:lang w:eastAsia="en-US"/>
                                  </w:rPr>
                                </w:pPr>
                                <w:r>
                                  <w:rPr>
                                    <w:rFonts w:ascii="Franklin Gothic Demi" w:eastAsia="Times New Roman" w:hAnsi="Franklin Gothic Demi"/>
                                    <w:sz w:val="16"/>
                                    <w:szCs w:val="18"/>
                                    <w:lang w:eastAsia="en-US"/>
                                  </w:rPr>
                                  <w:t>Recommendations:</w:t>
                                </w:r>
                              </w:p>
                              <w:p w14:paraId="0879906F" w14:textId="77777777" w:rsidR="003E0782" w:rsidRPr="0067291A" w:rsidRDefault="003E0782" w:rsidP="00ED0E85">
                                <w:pPr>
                                  <w:pStyle w:val="ChartListBullet"/>
                                  <w:rPr>
                                    <w:szCs w:val="16"/>
                                  </w:rPr>
                                </w:pPr>
                                <w:r w:rsidRPr="0067291A">
                                  <w:rPr>
                                    <w:szCs w:val="16"/>
                                  </w:rPr>
                                  <w:t>lower the disclosure threshold to include floor space between 2000m</w:t>
                                </w:r>
                                <w:r w:rsidRPr="008C3150">
                                  <w:rPr>
                                    <w:szCs w:val="16"/>
                                    <w:vertAlign w:val="superscript"/>
                                  </w:rPr>
                                  <w:t>2</w:t>
                                </w:r>
                                <w:r w:rsidRPr="0067291A">
                                  <w:rPr>
                                    <w:szCs w:val="16"/>
                                  </w:rPr>
                                  <w:t xml:space="preserve"> and 1000m</w:t>
                                </w:r>
                                <w:r w:rsidRPr="008C3150">
                                  <w:rPr>
                                    <w:szCs w:val="16"/>
                                    <w:vertAlign w:val="superscript"/>
                                  </w:rPr>
                                  <w:t>2</w:t>
                                </w:r>
                              </w:p>
                              <w:p w14:paraId="3AA6A2BB" w14:textId="77777777" w:rsidR="003E0782" w:rsidRPr="0067291A" w:rsidRDefault="003E0782" w:rsidP="00ED0E85">
                                <w:pPr>
                                  <w:pStyle w:val="ChartListBullet"/>
                                  <w:spacing w:before="20"/>
                                  <w:rPr>
                                    <w:szCs w:val="16"/>
                                  </w:rPr>
                                </w:pPr>
                                <w:r w:rsidRPr="0067291A">
                                  <w:rPr>
                                    <w:szCs w:val="16"/>
                                  </w:rPr>
                                  <w:t xml:space="preserve">Include TLA information at sale and lease, extend validity period to five years, include binding commitment to upgrades </w:t>
                                </w:r>
                              </w:p>
                              <w:p w14:paraId="25BDA073" w14:textId="77777777" w:rsidR="003E0782" w:rsidRPr="0067291A" w:rsidRDefault="003E0782" w:rsidP="00ED0E85">
                                <w:pPr>
                                  <w:pStyle w:val="ChartListBullet"/>
                                  <w:spacing w:before="20"/>
                                  <w:rPr>
                                    <w:szCs w:val="16"/>
                                  </w:rPr>
                                </w:pPr>
                                <w:r w:rsidRPr="0067291A">
                                  <w:rPr>
                                    <w:szCs w:val="16"/>
                                  </w:rPr>
                                  <w:t>Did not recommend further expansion to datacentres, hotels/serviced apartments or shopping centres.</w:t>
                                </w:r>
                              </w:p>
                              <w:p w14:paraId="76C11E50" w14:textId="77777777" w:rsidR="003E0782" w:rsidRPr="00CD7A37" w:rsidRDefault="003E0782" w:rsidP="00ED0E85">
                                <w:pPr>
                                  <w:spacing w:before="160" w:line="240" w:lineRule="auto"/>
                                  <w:rPr>
                                    <w:rFonts w:ascii="Franklin Gothic Demi" w:eastAsia="Times New Roman" w:hAnsi="Franklin Gothic Demi"/>
                                    <w:sz w:val="16"/>
                                    <w:szCs w:val="18"/>
                                    <w:lang w:eastAsia="en-US"/>
                                  </w:rPr>
                                </w:pPr>
                              </w:p>
                              <w:p w14:paraId="69B4C84A" w14:textId="77777777" w:rsidR="003E0782" w:rsidRPr="00CD7A37" w:rsidRDefault="003E0782" w:rsidP="00ED0E85">
                                <w:pPr>
                                  <w:pStyle w:val="ChartListBullet"/>
                                  <w:numPr>
                                    <w:ilvl w:val="0"/>
                                    <w:numId w:val="0"/>
                                  </w:numPr>
                                  <w:rPr>
                                    <w:sz w:val="15"/>
                                    <w:szCs w:val="15"/>
                                  </w:rPr>
                                </w:pPr>
                              </w:p>
                            </w:txbxContent>
                          </v:textbox>
                        </v:shape>
                      </v:group>
                    </v:group>
                  </w:pict>
                </mc:Fallback>
              </mc:AlternateContent>
            </w:r>
          </w:p>
        </w:tc>
        <w:tc>
          <w:tcPr>
            <w:tcW w:w="808" w:type="dxa"/>
            <w:tcBorders>
              <w:bottom w:val="single" w:sz="24" w:space="0" w:color="FFFFFF" w:themeColor="background1"/>
            </w:tcBorders>
            <w:shd w:val="clear" w:color="auto" w:fill="EAF2F3" w:themeFill="accent6" w:themeFillTint="33"/>
          </w:tcPr>
          <w:p w14:paraId="400D6698" w14:textId="77777777" w:rsidR="00ED0E85" w:rsidRDefault="00ED0E85" w:rsidP="00ED0E85">
            <w:pPr>
              <w:pStyle w:val="Chart"/>
            </w:pPr>
          </w:p>
        </w:tc>
        <w:tc>
          <w:tcPr>
            <w:tcW w:w="808" w:type="dxa"/>
            <w:tcBorders>
              <w:bottom w:val="single" w:sz="24" w:space="0" w:color="FFFFFF" w:themeColor="background1"/>
            </w:tcBorders>
            <w:shd w:val="clear" w:color="auto" w:fill="EAF2F3" w:themeFill="accent6" w:themeFillTint="33"/>
          </w:tcPr>
          <w:p w14:paraId="5D25B31A" w14:textId="77777777" w:rsidR="00ED0E85" w:rsidRDefault="00ED0E85" w:rsidP="00ED0E85">
            <w:pPr>
              <w:pStyle w:val="Chart"/>
            </w:pPr>
          </w:p>
        </w:tc>
        <w:tc>
          <w:tcPr>
            <w:tcW w:w="809" w:type="dxa"/>
            <w:tcBorders>
              <w:bottom w:val="single" w:sz="24" w:space="0" w:color="FFFFFF" w:themeColor="background1"/>
            </w:tcBorders>
            <w:shd w:val="clear" w:color="auto" w:fill="EAF2F3" w:themeFill="accent6" w:themeFillTint="33"/>
          </w:tcPr>
          <w:p w14:paraId="0A54DD24" w14:textId="77777777" w:rsidR="00ED0E85" w:rsidRDefault="00ED0E85" w:rsidP="00ED0E85">
            <w:pPr>
              <w:pStyle w:val="Chart"/>
            </w:pPr>
          </w:p>
          <w:p w14:paraId="74B468BE" w14:textId="77777777" w:rsidR="00ED0E85" w:rsidRDefault="00ED0E85" w:rsidP="00ED0E85">
            <w:pPr>
              <w:pStyle w:val="Chart"/>
            </w:pPr>
          </w:p>
          <w:p w14:paraId="482349D8" w14:textId="77777777" w:rsidR="00ED0E85" w:rsidRDefault="00ED0E85" w:rsidP="00ED0E85">
            <w:pPr>
              <w:pStyle w:val="Chart"/>
            </w:pPr>
          </w:p>
          <w:p w14:paraId="0CD4B106" w14:textId="77777777" w:rsidR="00ED0E85" w:rsidRDefault="00ED0E85" w:rsidP="00ED0E85">
            <w:pPr>
              <w:pStyle w:val="Chart"/>
            </w:pPr>
          </w:p>
          <w:p w14:paraId="5697E694" w14:textId="77777777" w:rsidR="00ED0E85" w:rsidRDefault="00ED0E85" w:rsidP="00ED0E85">
            <w:pPr>
              <w:pStyle w:val="Chart"/>
            </w:pPr>
          </w:p>
          <w:p w14:paraId="1C75ACD6" w14:textId="77777777" w:rsidR="00ED0E85" w:rsidRDefault="00ED0E85" w:rsidP="00ED0E85">
            <w:pPr>
              <w:pStyle w:val="Chart"/>
            </w:pPr>
          </w:p>
          <w:p w14:paraId="697444E3" w14:textId="77777777" w:rsidR="00ED0E85" w:rsidRDefault="00ED0E85" w:rsidP="00ED0E85">
            <w:pPr>
              <w:pStyle w:val="Chart"/>
            </w:pPr>
          </w:p>
          <w:p w14:paraId="2C83ACAE" w14:textId="77777777" w:rsidR="00ED0E85" w:rsidRDefault="00ED0E85" w:rsidP="00ED0E85">
            <w:pPr>
              <w:pStyle w:val="Chart"/>
            </w:pPr>
          </w:p>
          <w:p w14:paraId="52845E7C" w14:textId="77777777" w:rsidR="00ED0E85" w:rsidRDefault="00ED0E85" w:rsidP="00ED0E85">
            <w:pPr>
              <w:pStyle w:val="Chart"/>
            </w:pPr>
          </w:p>
          <w:p w14:paraId="3B299BA1" w14:textId="77777777" w:rsidR="00ED0E85" w:rsidRDefault="00ED0E85" w:rsidP="00ED0E85">
            <w:pPr>
              <w:pStyle w:val="Chart"/>
            </w:pPr>
          </w:p>
          <w:p w14:paraId="46444E7F" w14:textId="77777777" w:rsidR="00ED0E85" w:rsidRDefault="00ED0E85" w:rsidP="00ED0E85">
            <w:pPr>
              <w:pStyle w:val="Chart"/>
            </w:pPr>
          </w:p>
          <w:p w14:paraId="45844444" w14:textId="77777777" w:rsidR="00ED0E85" w:rsidRDefault="00ED0E85" w:rsidP="00ED0E85">
            <w:pPr>
              <w:pStyle w:val="Chart"/>
            </w:pPr>
          </w:p>
          <w:p w14:paraId="7E3BAE47" w14:textId="77777777" w:rsidR="00ED0E85" w:rsidRDefault="00ED0E85" w:rsidP="00ED0E85">
            <w:pPr>
              <w:pStyle w:val="Chart"/>
            </w:pPr>
          </w:p>
          <w:p w14:paraId="5299E83B" w14:textId="77777777" w:rsidR="00ED0E85" w:rsidRDefault="00ED0E85" w:rsidP="00ED0E85">
            <w:pPr>
              <w:pStyle w:val="Chart"/>
            </w:pPr>
          </w:p>
          <w:p w14:paraId="756F04CF" w14:textId="77777777" w:rsidR="00ED0E85" w:rsidRDefault="00ED0E85" w:rsidP="00ED0E85">
            <w:pPr>
              <w:pStyle w:val="Chart"/>
            </w:pPr>
          </w:p>
          <w:p w14:paraId="3F187030" w14:textId="77777777" w:rsidR="00ED0E85" w:rsidRDefault="00ED0E85" w:rsidP="00ED0E85">
            <w:pPr>
              <w:pStyle w:val="Chart"/>
            </w:pPr>
          </w:p>
          <w:p w14:paraId="2794A600" w14:textId="77777777" w:rsidR="00ED0E85" w:rsidRDefault="00ED0E85" w:rsidP="00ED0E85">
            <w:pPr>
              <w:pStyle w:val="Chart"/>
            </w:pPr>
          </w:p>
          <w:p w14:paraId="0CB10932" w14:textId="77777777" w:rsidR="00ED0E85" w:rsidRDefault="00ED0E85" w:rsidP="00ED0E85">
            <w:pPr>
              <w:pStyle w:val="Chart"/>
            </w:pPr>
          </w:p>
          <w:p w14:paraId="7EBA89AB" w14:textId="77777777" w:rsidR="00ED0E85" w:rsidRDefault="00ED0E85" w:rsidP="00ED0E85">
            <w:pPr>
              <w:pStyle w:val="Chart"/>
            </w:pPr>
          </w:p>
          <w:p w14:paraId="55406266" w14:textId="77777777" w:rsidR="00ED0E85" w:rsidRDefault="00ED0E85" w:rsidP="00ED0E85">
            <w:pPr>
              <w:pStyle w:val="Chart"/>
            </w:pPr>
          </w:p>
          <w:p w14:paraId="220BD7DF" w14:textId="77777777" w:rsidR="00ED0E85" w:rsidRDefault="00ED0E85" w:rsidP="00ED0E85">
            <w:pPr>
              <w:pStyle w:val="Chart"/>
            </w:pPr>
          </w:p>
          <w:p w14:paraId="3B65404E" w14:textId="77777777" w:rsidR="00ED0E85" w:rsidRDefault="00ED0E85" w:rsidP="00ED0E85">
            <w:pPr>
              <w:pStyle w:val="Chart"/>
            </w:pPr>
          </w:p>
          <w:p w14:paraId="3660D650" w14:textId="77777777" w:rsidR="00ED0E85" w:rsidRDefault="00ED0E85" w:rsidP="00ED0E85">
            <w:pPr>
              <w:pStyle w:val="Chart"/>
            </w:pPr>
          </w:p>
          <w:p w14:paraId="3C0A9D12" w14:textId="77777777" w:rsidR="00ED0E85" w:rsidRDefault="00ED0E85" w:rsidP="00ED0E85">
            <w:pPr>
              <w:pStyle w:val="Chart"/>
            </w:pPr>
          </w:p>
        </w:tc>
        <w:tc>
          <w:tcPr>
            <w:tcW w:w="808" w:type="dxa"/>
            <w:tcBorders>
              <w:bottom w:val="single" w:sz="24" w:space="0" w:color="FFFFFF" w:themeColor="background1"/>
            </w:tcBorders>
            <w:shd w:val="clear" w:color="auto" w:fill="EAF2F3" w:themeFill="accent6" w:themeFillTint="33"/>
          </w:tcPr>
          <w:p w14:paraId="7E38857D" w14:textId="77777777" w:rsidR="00ED0E85" w:rsidRDefault="00ED0E85" w:rsidP="00ED0E85">
            <w:pPr>
              <w:pStyle w:val="Chart"/>
            </w:pPr>
          </w:p>
        </w:tc>
        <w:tc>
          <w:tcPr>
            <w:tcW w:w="808" w:type="dxa"/>
            <w:tcBorders>
              <w:bottom w:val="single" w:sz="24" w:space="0" w:color="FFFFFF" w:themeColor="background1"/>
            </w:tcBorders>
            <w:shd w:val="clear" w:color="auto" w:fill="EAF2F3" w:themeFill="accent6" w:themeFillTint="33"/>
          </w:tcPr>
          <w:p w14:paraId="59661753" w14:textId="77777777" w:rsidR="00ED0E85" w:rsidRDefault="00ED0E85" w:rsidP="00ED0E85">
            <w:pPr>
              <w:pStyle w:val="Chart"/>
            </w:pPr>
          </w:p>
        </w:tc>
        <w:tc>
          <w:tcPr>
            <w:tcW w:w="808" w:type="dxa"/>
            <w:tcBorders>
              <w:bottom w:val="single" w:sz="24" w:space="0" w:color="FFFFFF" w:themeColor="background1"/>
            </w:tcBorders>
            <w:shd w:val="clear" w:color="auto" w:fill="EAF2F3" w:themeFill="accent6" w:themeFillTint="33"/>
          </w:tcPr>
          <w:p w14:paraId="3C99C25D" w14:textId="77777777" w:rsidR="00ED0E85" w:rsidRDefault="00ED0E85" w:rsidP="00ED0E85">
            <w:pPr>
              <w:pStyle w:val="Chart"/>
            </w:pPr>
          </w:p>
        </w:tc>
        <w:tc>
          <w:tcPr>
            <w:tcW w:w="810" w:type="dxa"/>
            <w:tcBorders>
              <w:bottom w:val="single" w:sz="24" w:space="0" w:color="FFFFFF" w:themeColor="background1"/>
            </w:tcBorders>
            <w:shd w:val="clear" w:color="auto" w:fill="EAF2F3" w:themeFill="accent6" w:themeFillTint="33"/>
          </w:tcPr>
          <w:p w14:paraId="71C2433F" w14:textId="77777777" w:rsidR="00ED0E85" w:rsidRDefault="00ED0E85" w:rsidP="00ED0E85">
            <w:pPr>
              <w:pStyle w:val="Chart"/>
            </w:pPr>
          </w:p>
        </w:tc>
        <w:tc>
          <w:tcPr>
            <w:tcW w:w="809" w:type="dxa"/>
            <w:tcBorders>
              <w:bottom w:val="single" w:sz="24" w:space="0" w:color="FFFFFF" w:themeColor="background1"/>
            </w:tcBorders>
            <w:shd w:val="clear" w:color="auto" w:fill="EAF2F3" w:themeFill="accent6" w:themeFillTint="33"/>
          </w:tcPr>
          <w:p w14:paraId="449AC372" w14:textId="77777777" w:rsidR="00ED0E85" w:rsidRDefault="00ED0E85" w:rsidP="00ED0E85">
            <w:pPr>
              <w:pStyle w:val="Chart"/>
            </w:pPr>
          </w:p>
        </w:tc>
        <w:tc>
          <w:tcPr>
            <w:tcW w:w="809" w:type="dxa"/>
            <w:tcBorders>
              <w:bottom w:val="single" w:sz="24" w:space="0" w:color="FFFFFF" w:themeColor="background1"/>
            </w:tcBorders>
            <w:shd w:val="clear" w:color="auto" w:fill="EAF2F3" w:themeFill="accent6" w:themeFillTint="33"/>
          </w:tcPr>
          <w:p w14:paraId="0048B420" w14:textId="77777777" w:rsidR="00ED0E85" w:rsidRDefault="00ED0E85" w:rsidP="00ED0E85">
            <w:pPr>
              <w:pStyle w:val="Chart"/>
            </w:pPr>
          </w:p>
        </w:tc>
        <w:tc>
          <w:tcPr>
            <w:tcW w:w="809" w:type="dxa"/>
            <w:tcBorders>
              <w:bottom w:val="single" w:sz="24" w:space="0" w:color="FFFFFF" w:themeColor="background1"/>
            </w:tcBorders>
            <w:shd w:val="clear" w:color="auto" w:fill="EAF2F3" w:themeFill="accent6" w:themeFillTint="33"/>
          </w:tcPr>
          <w:p w14:paraId="0032DC96" w14:textId="77777777" w:rsidR="00ED0E85" w:rsidRDefault="00ED0E85" w:rsidP="00ED0E85">
            <w:pPr>
              <w:pStyle w:val="Chart"/>
            </w:pPr>
          </w:p>
        </w:tc>
        <w:tc>
          <w:tcPr>
            <w:tcW w:w="810" w:type="dxa"/>
            <w:tcBorders>
              <w:bottom w:val="single" w:sz="24" w:space="0" w:color="FFFFFF" w:themeColor="background1"/>
            </w:tcBorders>
            <w:shd w:val="clear" w:color="auto" w:fill="EAF2F3" w:themeFill="accent6" w:themeFillTint="33"/>
          </w:tcPr>
          <w:p w14:paraId="3A45195F" w14:textId="77777777" w:rsidR="00ED0E85" w:rsidRDefault="00ED0E85" w:rsidP="00ED0E85">
            <w:pPr>
              <w:pStyle w:val="Chart"/>
            </w:pPr>
          </w:p>
        </w:tc>
        <w:tc>
          <w:tcPr>
            <w:tcW w:w="809" w:type="dxa"/>
            <w:tcBorders>
              <w:bottom w:val="single" w:sz="24" w:space="0" w:color="FFFFFF" w:themeColor="background1"/>
            </w:tcBorders>
            <w:shd w:val="clear" w:color="auto" w:fill="EAF2F3" w:themeFill="accent6" w:themeFillTint="33"/>
          </w:tcPr>
          <w:p w14:paraId="07EB202E" w14:textId="77777777" w:rsidR="00ED0E85" w:rsidRDefault="00ED0E85" w:rsidP="00ED0E85">
            <w:pPr>
              <w:pStyle w:val="Chart"/>
            </w:pPr>
          </w:p>
        </w:tc>
        <w:tc>
          <w:tcPr>
            <w:tcW w:w="809" w:type="dxa"/>
            <w:tcBorders>
              <w:bottom w:val="single" w:sz="24" w:space="0" w:color="FFFFFF" w:themeColor="background1"/>
            </w:tcBorders>
            <w:shd w:val="clear" w:color="auto" w:fill="EAF2F3" w:themeFill="accent6" w:themeFillTint="33"/>
          </w:tcPr>
          <w:p w14:paraId="623E27ED" w14:textId="77777777" w:rsidR="00ED0E85" w:rsidRDefault="00ED0E85" w:rsidP="00ED0E85">
            <w:pPr>
              <w:pStyle w:val="Chart"/>
            </w:pPr>
          </w:p>
        </w:tc>
        <w:tc>
          <w:tcPr>
            <w:tcW w:w="809" w:type="dxa"/>
            <w:tcBorders>
              <w:bottom w:val="single" w:sz="24" w:space="0" w:color="FFFFFF" w:themeColor="background1"/>
            </w:tcBorders>
            <w:shd w:val="clear" w:color="auto" w:fill="EAF2F3" w:themeFill="accent6" w:themeFillTint="33"/>
          </w:tcPr>
          <w:p w14:paraId="058E972D" w14:textId="77777777" w:rsidR="00ED0E85" w:rsidRDefault="00ED0E85" w:rsidP="00ED0E85">
            <w:pPr>
              <w:pStyle w:val="Chart"/>
            </w:pPr>
          </w:p>
        </w:tc>
        <w:tc>
          <w:tcPr>
            <w:tcW w:w="810" w:type="dxa"/>
            <w:tcBorders>
              <w:bottom w:val="single" w:sz="24" w:space="0" w:color="FFFFFF" w:themeColor="background1"/>
            </w:tcBorders>
            <w:shd w:val="clear" w:color="auto" w:fill="EAF2F3" w:themeFill="accent6" w:themeFillTint="33"/>
          </w:tcPr>
          <w:p w14:paraId="4A4A584A" w14:textId="77777777" w:rsidR="00ED0E85" w:rsidRDefault="00ED0E85" w:rsidP="00ED0E85">
            <w:pPr>
              <w:pStyle w:val="Chart"/>
            </w:pPr>
          </w:p>
        </w:tc>
        <w:tc>
          <w:tcPr>
            <w:tcW w:w="809" w:type="dxa"/>
            <w:tcBorders>
              <w:bottom w:val="single" w:sz="24" w:space="0" w:color="FFFFFF" w:themeColor="background1"/>
            </w:tcBorders>
            <w:shd w:val="clear" w:color="auto" w:fill="EAF2F3" w:themeFill="accent6" w:themeFillTint="33"/>
          </w:tcPr>
          <w:p w14:paraId="2129D88A" w14:textId="77777777" w:rsidR="00ED0E85" w:rsidRDefault="00ED0E85" w:rsidP="00ED0E85">
            <w:pPr>
              <w:pStyle w:val="Chart"/>
            </w:pPr>
          </w:p>
        </w:tc>
      </w:tr>
      <w:tr w:rsidR="00ED0E85" w:rsidRPr="00454A7F" w14:paraId="6161D9E6" w14:textId="77777777" w:rsidTr="00ED0E85">
        <w:trPr>
          <w:cantSplit/>
          <w:trHeight w:val="506"/>
        </w:trPr>
        <w:tc>
          <w:tcPr>
            <w:tcW w:w="808" w:type="dxa"/>
            <w:tcBorders>
              <w:top w:val="single" w:sz="24" w:space="0" w:color="FFFFFF" w:themeColor="background1"/>
              <w:right w:val="single" w:sz="4" w:space="0" w:color="FFFFFF" w:themeColor="background1"/>
            </w:tcBorders>
            <w:shd w:val="clear" w:color="auto" w:fill="E4E0DA" w:themeFill="text2" w:themeFillTint="33"/>
            <w:vAlign w:val="bottom"/>
          </w:tcPr>
          <w:p w14:paraId="042A82C0" w14:textId="77777777" w:rsidR="00ED0E85" w:rsidRDefault="00ED0E85" w:rsidP="00ED0E85">
            <w:pPr>
              <w:pStyle w:val="Chart"/>
              <w:spacing w:before="60" w:after="60"/>
              <w:jc w:val="center"/>
              <w:rPr>
                <w:rFonts w:ascii="Franklin Gothic Demi" w:eastAsiaTheme="minorEastAsia" w:hAnsi="Franklin Gothic Demi"/>
                <w:color w:val="6F6652" w:themeColor="accent5"/>
                <w:sz w:val="18"/>
                <w:szCs w:val="18"/>
                <w:lang w:val="en-US" w:eastAsia="en-AU"/>
              </w:rPr>
            </w:pPr>
          </w:p>
          <w:p w14:paraId="6DE6A36A" w14:textId="77777777" w:rsidR="00ED0E85" w:rsidRPr="00AD50A2" w:rsidRDefault="00ED0E85" w:rsidP="00ED0E85">
            <w:pPr>
              <w:pStyle w:val="Chart"/>
              <w:spacing w:after="60"/>
              <w:jc w:val="center"/>
              <w:rPr>
                <w:rFonts w:ascii="Franklin Gothic Demi" w:eastAsiaTheme="minorEastAsia" w:hAnsi="Franklin Gothic Demi"/>
                <w:color w:val="6F6652" w:themeColor="accent5"/>
                <w:sz w:val="18"/>
                <w:szCs w:val="18"/>
                <w:lang w:val="en-US" w:eastAsia="en-AU"/>
              </w:rPr>
            </w:pPr>
            <w:r w:rsidRPr="00AD50A2">
              <w:rPr>
                <w:rFonts w:ascii="Franklin Gothic Demi" w:eastAsiaTheme="minorEastAsia" w:hAnsi="Franklin Gothic Demi"/>
                <w:color w:val="6F6652" w:themeColor="accent5"/>
                <w:sz w:val="18"/>
                <w:szCs w:val="18"/>
                <w:lang w:val="en-US" w:eastAsia="en-AU"/>
              </w:rPr>
              <w:t>2004</w:t>
            </w:r>
          </w:p>
        </w:tc>
        <w:tc>
          <w:tcPr>
            <w:tcW w:w="808" w:type="dxa"/>
            <w:tcBorders>
              <w:top w:val="single" w:sz="24" w:space="0" w:color="FFFFFF" w:themeColor="background1"/>
              <w:left w:val="single" w:sz="4" w:space="0" w:color="FFFFFF" w:themeColor="background1"/>
              <w:right w:val="single" w:sz="4" w:space="0" w:color="FFFFFF" w:themeColor="background1"/>
            </w:tcBorders>
            <w:shd w:val="clear" w:color="auto" w:fill="E4E0DA" w:themeFill="text2" w:themeFillTint="33"/>
            <w:vAlign w:val="center"/>
          </w:tcPr>
          <w:p w14:paraId="44180508" w14:textId="77777777" w:rsidR="00ED0E85" w:rsidRPr="00454A7F" w:rsidRDefault="00ED0E85" w:rsidP="00ED0E85">
            <w:pPr>
              <w:pStyle w:val="Chart"/>
              <w:spacing w:before="520" w:after="80"/>
              <w:jc w:val="center"/>
              <w:rPr>
                <w:rFonts w:ascii="Franklin Gothic Medium" w:eastAsiaTheme="minorEastAsia" w:hAnsi="Franklin Gothic Medium"/>
                <w:color w:val="6F6652" w:themeColor="accent5"/>
                <w:sz w:val="16"/>
                <w:szCs w:val="16"/>
                <w:lang w:val="en-US" w:eastAsia="en-AU"/>
              </w:rPr>
            </w:pPr>
            <w:r>
              <w:rPr>
                <w:rFonts w:ascii="Franklin Gothic Medium" w:eastAsiaTheme="minorEastAsia" w:hAnsi="Franklin Gothic Medium"/>
                <w:color w:val="6F6652" w:themeColor="accent5"/>
                <w:sz w:val="16"/>
                <w:szCs w:val="16"/>
                <w:lang w:val="en-US" w:eastAsia="en-AU"/>
              </w:rPr>
              <w:t>2005</w:t>
            </w:r>
          </w:p>
        </w:tc>
        <w:tc>
          <w:tcPr>
            <w:tcW w:w="808" w:type="dxa"/>
            <w:tcBorders>
              <w:top w:val="single" w:sz="24" w:space="0" w:color="FFFFFF" w:themeColor="background1"/>
              <w:left w:val="single" w:sz="4" w:space="0" w:color="FFFFFF" w:themeColor="background1"/>
              <w:right w:val="single" w:sz="4" w:space="0" w:color="FFFFFF" w:themeColor="background1"/>
            </w:tcBorders>
            <w:shd w:val="clear" w:color="auto" w:fill="E4E0DA" w:themeFill="text2" w:themeFillTint="33"/>
            <w:vAlign w:val="center"/>
          </w:tcPr>
          <w:p w14:paraId="6885D08E" w14:textId="77777777" w:rsidR="00ED0E85" w:rsidRPr="00454A7F" w:rsidRDefault="00ED0E85" w:rsidP="00ED0E85">
            <w:pPr>
              <w:pStyle w:val="Chart"/>
              <w:spacing w:before="520" w:after="80"/>
              <w:jc w:val="center"/>
              <w:rPr>
                <w:rFonts w:ascii="Franklin Gothic Medium" w:eastAsiaTheme="minorEastAsia" w:hAnsi="Franklin Gothic Medium"/>
                <w:color w:val="6F6652" w:themeColor="accent5"/>
                <w:sz w:val="16"/>
                <w:szCs w:val="16"/>
                <w:lang w:val="en-US" w:eastAsia="en-AU"/>
              </w:rPr>
            </w:pPr>
            <w:r>
              <w:rPr>
                <w:rFonts w:ascii="Franklin Gothic Medium" w:eastAsiaTheme="minorEastAsia" w:hAnsi="Franklin Gothic Medium"/>
                <w:color w:val="6F6652" w:themeColor="accent5"/>
                <w:sz w:val="16"/>
                <w:szCs w:val="16"/>
                <w:lang w:val="en-US" w:eastAsia="en-AU"/>
              </w:rPr>
              <w:t>2006</w:t>
            </w:r>
          </w:p>
        </w:tc>
        <w:tc>
          <w:tcPr>
            <w:tcW w:w="809" w:type="dxa"/>
            <w:tcBorders>
              <w:top w:val="single" w:sz="24" w:space="0" w:color="FFFFFF" w:themeColor="background1"/>
              <w:left w:val="single" w:sz="4" w:space="0" w:color="FFFFFF" w:themeColor="background1"/>
              <w:right w:val="single" w:sz="4" w:space="0" w:color="FFFFFF" w:themeColor="background1"/>
            </w:tcBorders>
            <w:shd w:val="clear" w:color="auto" w:fill="E4E0DA" w:themeFill="text2" w:themeFillTint="33"/>
            <w:vAlign w:val="center"/>
          </w:tcPr>
          <w:p w14:paraId="709ED0D1" w14:textId="77777777" w:rsidR="00ED0E85" w:rsidRPr="00454A7F" w:rsidRDefault="00ED0E85" w:rsidP="00ED0E85">
            <w:pPr>
              <w:pStyle w:val="Chart"/>
              <w:spacing w:before="520" w:after="80"/>
              <w:jc w:val="center"/>
              <w:rPr>
                <w:rFonts w:ascii="Franklin Gothic Medium" w:eastAsiaTheme="minorEastAsia" w:hAnsi="Franklin Gothic Medium"/>
                <w:color w:val="6F6652" w:themeColor="accent5"/>
                <w:sz w:val="16"/>
                <w:szCs w:val="16"/>
                <w:lang w:val="en-US" w:eastAsia="en-AU"/>
              </w:rPr>
            </w:pPr>
            <w:r>
              <w:rPr>
                <w:rFonts w:ascii="Franklin Gothic Demi" w:eastAsiaTheme="minorEastAsia" w:hAnsi="Franklin Gothic Demi"/>
                <w:noProof/>
                <w:color w:val="6F6652" w:themeColor="accent5"/>
                <w:sz w:val="18"/>
                <w:szCs w:val="18"/>
                <w:lang w:eastAsia="en-AU"/>
              </w:rPr>
              <mc:AlternateContent>
                <mc:Choice Requires="wpg">
                  <w:drawing>
                    <wp:anchor distT="0" distB="0" distL="114300" distR="114300" simplePos="0" relativeHeight="251691008" behindDoc="0" locked="0" layoutInCell="1" allowOverlap="1" wp14:anchorId="19B36692" wp14:editId="1272B194">
                      <wp:simplePos x="0" y="0"/>
                      <wp:positionH relativeFrom="column">
                        <wp:posOffset>-1477010</wp:posOffset>
                      </wp:positionH>
                      <wp:positionV relativeFrom="paragraph">
                        <wp:posOffset>195580</wp:posOffset>
                      </wp:positionV>
                      <wp:extent cx="8553450" cy="0"/>
                      <wp:effectExtent l="0" t="76200" r="38100" b="95250"/>
                      <wp:wrapNone/>
                      <wp:docPr id="236" name="Group 236"/>
                      <wp:cNvGraphicFramePr/>
                      <a:graphic xmlns:a="http://schemas.openxmlformats.org/drawingml/2006/main">
                        <a:graphicData uri="http://schemas.microsoft.com/office/word/2010/wordprocessingGroup">
                          <wpg:wgp>
                            <wpg:cNvGrpSpPr/>
                            <wpg:grpSpPr>
                              <a:xfrm>
                                <a:off x="0" y="0"/>
                                <a:ext cx="8553450" cy="0"/>
                                <a:chOff x="0" y="0"/>
                                <a:chExt cx="8553450" cy="0"/>
                              </a:xfrm>
                            </wpg:grpSpPr>
                            <wps:wsp>
                              <wps:cNvPr id="237" name="Straight Connector 237"/>
                              <wps:cNvCnPr/>
                              <wps:spPr>
                                <a:xfrm>
                                  <a:off x="0" y="0"/>
                                  <a:ext cx="7734300" cy="0"/>
                                </a:xfrm>
                                <a:prstGeom prst="line">
                                  <a:avLst/>
                                </a:prstGeom>
                                <a:ln w="15875">
                                  <a:solidFill>
                                    <a:schemeClr val="accent5"/>
                                  </a:solidFill>
                                  <a:tailEnd type="none" w="med" len="sm"/>
                                </a:ln>
                              </wps:spPr>
                              <wps:style>
                                <a:lnRef idx="1">
                                  <a:schemeClr val="accent1"/>
                                </a:lnRef>
                                <a:fillRef idx="0">
                                  <a:schemeClr val="accent1"/>
                                </a:fillRef>
                                <a:effectRef idx="0">
                                  <a:schemeClr val="accent1"/>
                                </a:effectRef>
                                <a:fontRef idx="minor">
                                  <a:schemeClr val="tx1"/>
                                </a:fontRef>
                              </wps:style>
                              <wps:bodyPr/>
                            </wps:wsp>
                            <wps:wsp>
                              <wps:cNvPr id="238" name="Straight Connector 238"/>
                              <wps:cNvCnPr/>
                              <wps:spPr>
                                <a:xfrm>
                                  <a:off x="7705725" y="0"/>
                                  <a:ext cx="847725" cy="0"/>
                                </a:xfrm>
                                <a:prstGeom prst="line">
                                  <a:avLst/>
                                </a:prstGeom>
                                <a:ln w="15875">
                                  <a:solidFill>
                                    <a:schemeClr val="accent5"/>
                                  </a:solidFill>
                                  <a:prstDash val="sysDash"/>
                                  <a:tailEnd type="arrow" w="med"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F3D8428" id="Group 236" o:spid="_x0000_s1026" style="position:absolute;margin-left:-116.3pt;margin-top:15.4pt;width:673.5pt;height:0;z-index:251691008;mso-width-relative:margin;mso-height-relative:margin" coordsize="85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">
                      <v:line id="Straight Connector 237" o:spid="_x0000_s1027" style="position:absolute;visibility:visible;mso-wrap-style:square" from="0,0" to="77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" strokecolor="#6f6652 [3208]" strokeweight="1.25pt">
                        <v:stroke endarrowlength="short"/>
                      </v:line>
                      <v:line id="Straight Connector 238" o:spid="_x0000_s1028" style="position:absolute;visibility:visible;mso-wrap-style:square" from="77057,0" to="85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" strokecolor="#6f6652 [3208]" strokeweight="1.25pt">
                        <v:stroke dashstyle="3 1" endarrow="open" endarrowlength="short"/>
                      </v:line>
                    </v:group>
                  </w:pict>
                </mc:Fallback>
              </mc:AlternateContent>
            </w:r>
            <w:r>
              <w:rPr>
                <w:rFonts w:ascii="Franklin Gothic Medium" w:eastAsiaTheme="minorEastAsia" w:hAnsi="Franklin Gothic Medium"/>
                <w:color w:val="6F6652" w:themeColor="accent5"/>
                <w:sz w:val="16"/>
                <w:szCs w:val="16"/>
                <w:lang w:val="en-US" w:eastAsia="en-AU"/>
              </w:rPr>
              <w:t>2007</w:t>
            </w:r>
          </w:p>
        </w:tc>
        <w:tc>
          <w:tcPr>
            <w:tcW w:w="808" w:type="dxa"/>
            <w:tcBorders>
              <w:top w:val="single" w:sz="24" w:space="0" w:color="FFFFFF" w:themeColor="background1"/>
              <w:left w:val="single" w:sz="4" w:space="0" w:color="FFFFFF" w:themeColor="background1"/>
              <w:right w:val="single" w:sz="4" w:space="0" w:color="FFFFFF" w:themeColor="background1"/>
            </w:tcBorders>
            <w:shd w:val="clear" w:color="auto" w:fill="E4E0DA" w:themeFill="text2" w:themeFillTint="33"/>
            <w:vAlign w:val="center"/>
          </w:tcPr>
          <w:p w14:paraId="17BDDE16" w14:textId="77777777" w:rsidR="00ED0E85" w:rsidRPr="00454A7F" w:rsidRDefault="00ED0E85" w:rsidP="00ED0E85">
            <w:pPr>
              <w:pStyle w:val="Chart"/>
              <w:spacing w:before="520" w:after="80"/>
              <w:jc w:val="center"/>
              <w:rPr>
                <w:rFonts w:ascii="Franklin Gothic Medium" w:eastAsiaTheme="minorEastAsia" w:hAnsi="Franklin Gothic Medium"/>
                <w:color w:val="6F6652" w:themeColor="accent5"/>
                <w:sz w:val="16"/>
                <w:szCs w:val="16"/>
                <w:lang w:val="en-US" w:eastAsia="en-AU"/>
              </w:rPr>
            </w:pPr>
            <w:r>
              <w:rPr>
                <w:rFonts w:ascii="Franklin Gothic Medium" w:eastAsiaTheme="minorEastAsia" w:hAnsi="Franklin Gothic Medium"/>
                <w:color w:val="6F6652" w:themeColor="accent5"/>
                <w:sz w:val="16"/>
                <w:szCs w:val="16"/>
                <w:lang w:val="en-US" w:eastAsia="en-AU"/>
              </w:rPr>
              <w:t>2008</w:t>
            </w:r>
          </w:p>
        </w:tc>
        <w:tc>
          <w:tcPr>
            <w:tcW w:w="808" w:type="dxa"/>
            <w:tcBorders>
              <w:top w:val="single" w:sz="24" w:space="0" w:color="FFFFFF" w:themeColor="background1"/>
              <w:left w:val="single" w:sz="4" w:space="0" w:color="FFFFFF" w:themeColor="background1"/>
              <w:right w:val="single" w:sz="4" w:space="0" w:color="FFFFFF" w:themeColor="background1"/>
            </w:tcBorders>
            <w:shd w:val="clear" w:color="auto" w:fill="E4E0DA" w:themeFill="text2" w:themeFillTint="33"/>
            <w:vAlign w:val="bottom"/>
          </w:tcPr>
          <w:p w14:paraId="69FDA4B7" w14:textId="77777777" w:rsidR="00ED0E85" w:rsidRPr="00454A7F" w:rsidRDefault="00ED0E85" w:rsidP="00ED0E85">
            <w:pPr>
              <w:pStyle w:val="Chart"/>
              <w:spacing w:before="520" w:after="80"/>
              <w:jc w:val="center"/>
              <w:rPr>
                <w:rFonts w:ascii="Franklin Gothic Medium" w:eastAsiaTheme="minorEastAsia" w:hAnsi="Franklin Gothic Medium"/>
                <w:color w:val="6F6652" w:themeColor="accent5"/>
                <w:sz w:val="16"/>
                <w:szCs w:val="16"/>
                <w:lang w:val="en-US" w:eastAsia="en-AU"/>
              </w:rPr>
            </w:pPr>
            <w:r>
              <w:rPr>
                <w:rFonts w:ascii="Franklin Gothic Medium" w:eastAsiaTheme="minorEastAsia" w:hAnsi="Franklin Gothic Medium"/>
                <w:color w:val="6F6652" w:themeColor="accent5"/>
                <w:sz w:val="16"/>
                <w:szCs w:val="16"/>
                <w:lang w:val="en-US" w:eastAsia="en-AU"/>
              </w:rPr>
              <w:t>2009</w:t>
            </w:r>
          </w:p>
        </w:tc>
        <w:tc>
          <w:tcPr>
            <w:tcW w:w="808" w:type="dxa"/>
            <w:tcBorders>
              <w:top w:val="single" w:sz="24" w:space="0" w:color="FFFFFF" w:themeColor="background1"/>
              <w:left w:val="single" w:sz="4" w:space="0" w:color="FFFFFF" w:themeColor="background1"/>
              <w:right w:val="single" w:sz="4" w:space="0" w:color="FFFFFF" w:themeColor="background1"/>
            </w:tcBorders>
            <w:shd w:val="clear" w:color="auto" w:fill="E4E0DA" w:themeFill="text2" w:themeFillTint="33"/>
            <w:vAlign w:val="bottom"/>
          </w:tcPr>
          <w:p w14:paraId="42A4FF8F" w14:textId="77777777" w:rsidR="00ED0E85" w:rsidRPr="00454A7F" w:rsidRDefault="00ED0E85" w:rsidP="00ED0E85">
            <w:pPr>
              <w:pStyle w:val="Chart"/>
              <w:spacing w:before="60" w:after="60"/>
              <w:jc w:val="center"/>
              <w:rPr>
                <w:rFonts w:ascii="Franklin Gothic Medium" w:eastAsiaTheme="minorEastAsia" w:hAnsi="Franklin Gothic Medium"/>
                <w:color w:val="6F6652" w:themeColor="accent5"/>
                <w:sz w:val="16"/>
                <w:szCs w:val="16"/>
                <w:lang w:val="en-US" w:eastAsia="en-AU"/>
              </w:rPr>
            </w:pPr>
            <w:r w:rsidRPr="00CD7A37">
              <w:rPr>
                <w:rFonts w:ascii="Franklin Gothic Demi" w:eastAsiaTheme="minorEastAsia" w:hAnsi="Franklin Gothic Demi"/>
                <w:color w:val="6F6652" w:themeColor="accent5"/>
                <w:sz w:val="18"/>
                <w:szCs w:val="18"/>
                <w:lang w:val="en-US" w:eastAsia="en-AU"/>
              </w:rPr>
              <w:t>2010</w:t>
            </w:r>
          </w:p>
        </w:tc>
        <w:tc>
          <w:tcPr>
            <w:tcW w:w="810" w:type="dxa"/>
            <w:tcBorders>
              <w:top w:val="single" w:sz="24" w:space="0" w:color="FFFFFF" w:themeColor="background1"/>
              <w:left w:val="single" w:sz="4" w:space="0" w:color="FFFFFF" w:themeColor="background1"/>
              <w:right w:val="single" w:sz="4" w:space="0" w:color="FFFFFF" w:themeColor="background1"/>
            </w:tcBorders>
            <w:shd w:val="clear" w:color="auto" w:fill="E4E0DA" w:themeFill="text2" w:themeFillTint="33"/>
            <w:vAlign w:val="bottom"/>
          </w:tcPr>
          <w:p w14:paraId="4EECED2F" w14:textId="77777777" w:rsidR="00ED0E85" w:rsidRPr="00454A7F" w:rsidRDefault="00ED0E85" w:rsidP="00ED0E85">
            <w:pPr>
              <w:pStyle w:val="Chart"/>
              <w:spacing w:before="60" w:after="60"/>
              <w:jc w:val="center"/>
              <w:rPr>
                <w:rFonts w:ascii="Franklin Gothic Medium" w:eastAsiaTheme="minorEastAsia" w:hAnsi="Franklin Gothic Medium"/>
                <w:color w:val="6F6652" w:themeColor="accent5"/>
                <w:sz w:val="16"/>
                <w:szCs w:val="16"/>
                <w:lang w:val="en-US" w:eastAsia="en-AU"/>
              </w:rPr>
            </w:pPr>
            <w:r w:rsidRPr="00B7293E">
              <w:rPr>
                <w:rFonts w:ascii="Franklin Gothic Demi" w:eastAsiaTheme="minorEastAsia" w:hAnsi="Franklin Gothic Demi"/>
                <w:color w:val="6F6652" w:themeColor="accent5"/>
                <w:sz w:val="18"/>
                <w:szCs w:val="18"/>
                <w:lang w:val="en-US" w:eastAsia="en-AU"/>
              </w:rPr>
              <w:t>2011</w:t>
            </w:r>
          </w:p>
        </w:tc>
        <w:tc>
          <w:tcPr>
            <w:tcW w:w="809" w:type="dxa"/>
            <w:tcBorders>
              <w:top w:val="single" w:sz="24" w:space="0" w:color="FFFFFF" w:themeColor="background1"/>
              <w:left w:val="single" w:sz="4" w:space="0" w:color="FFFFFF" w:themeColor="background1"/>
              <w:right w:val="single" w:sz="4" w:space="0" w:color="FFFFFF" w:themeColor="background1"/>
            </w:tcBorders>
            <w:shd w:val="clear" w:color="auto" w:fill="E4E0DA" w:themeFill="text2" w:themeFillTint="33"/>
            <w:vAlign w:val="bottom"/>
          </w:tcPr>
          <w:p w14:paraId="725414EA" w14:textId="77777777" w:rsidR="00ED0E85" w:rsidRPr="00454A7F" w:rsidRDefault="00ED0E85" w:rsidP="00ED0E85">
            <w:pPr>
              <w:pStyle w:val="Chart"/>
              <w:spacing w:before="520" w:after="80"/>
              <w:jc w:val="center"/>
              <w:rPr>
                <w:rFonts w:ascii="Franklin Gothic Medium" w:eastAsiaTheme="minorEastAsia" w:hAnsi="Franklin Gothic Medium"/>
                <w:color w:val="6F6652" w:themeColor="accent5"/>
                <w:sz w:val="16"/>
                <w:szCs w:val="16"/>
                <w:lang w:val="en-US" w:eastAsia="en-AU"/>
              </w:rPr>
            </w:pPr>
            <w:r>
              <w:rPr>
                <w:rFonts w:ascii="Franklin Gothic Medium" w:eastAsiaTheme="minorEastAsia" w:hAnsi="Franklin Gothic Medium"/>
                <w:color w:val="6F6652" w:themeColor="accent5"/>
                <w:sz w:val="16"/>
                <w:szCs w:val="16"/>
                <w:lang w:val="en-US" w:eastAsia="en-AU"/>
              </w:rPr>
              <w:t>2012</w:t>
            </w:r>
          </w:p>
        </w:tc>
        <w:tc>
          <w:tcPr>
            <w:tcW w:w="809" w:type="dxa"/>
            <w:tcBorders>
              <w:top w:val="single" w:sz="24" w:space="0" w:color="FFFFFF" w:themeColor="background1"/>
              <w:left w:val="single" w:sz="4" w:space="0" w:color="FFFFFF" w:themeColor="background1"/>
              <w:right w:val="single" w:sz="4" w:space="0" w:color="FFFFFF" w:themeColor="background1"/>
            </w:tcBorders>
            <w:shd w:val="clear" w:color="auto" w:fill="E4E0DA" w:themeFill="text2" w:themeFillTint="33"/>
            <w:vAlign w:val="bottom"/>
          </w:tcPr>
          <w:p w14:paraId="1EB343FB" w14:textId="77777777" w:rsidR="00ED0E85" w:rsidRPr="00454A7F" w:rsidRDefault="00ED0E85" w:rsidP="00ED0E85">
            <w:pPr>
              <w:pStyle w:val="Chart"/>
              <w:spacing w:before="520" w:after="80"/>
              <w:jc w:val="center"/>
              <w:rPr>
                <w:rFonts w:ascii="Franklin Gothic Medium" w:eastAsiaTheme="minorEastAsia" w:hAnsi="Franklin Gothic Medium"/>
                <w:color w:val="6F6652" w:themeColor="accent5"/>
                <w:sz w:val="16"/>
                <w:szCs w:val="16"/>
                <w:lang w:val="en-US" w:eastAsia="en-AU"/>
              </w:rPr>
            </w:pPr>
            <w:r>
              <w:rPr>
                <w:rFonts w:ascii="Franklin Gothic Medium" w:eastAsiaTheme="minorEastAsia" w:hAnsi="Franklin Gothic Medium"/>
                <w:color w:val="6F6652" w:themeColor="accent5"/>
                <w:sz w:val="16"/>
                <w:szCs w:val="16"/>
                <w:lang w:val="en-US" w:eastAsia="en-AU"/>
              </w:rPr>
              <w:t>2013</w:t>
            </w:r>
          </w:p>
        </w:tc>
        <w:tc>
          <w:tcPr>
            <w:tcW w:w="809" w:type="dxa"/>
            <w:tcBorders>
              <w:top w:val="single" w:sz="24" w:space="0" w:color="FFFFFF" w:themeColor="background1"/>
              <w:left w:val="single" w:sz="4" w:space="0" w:color="FFFFFF" w:themeColor="background1"/>
              <w:right w:val="single" w:sz="4" w:space="0" w:color="FFFFFF" w:themeColor="background1"/>
            </w:tcBorders>
            <w:shd w:val="clear" w:color="auto" w:fill="E4E0DA" w:themeFill="text2" w:themeFillTint="33"/>
            <w:vAlign w:val="bottom"/>
          </w:tcPr>
          <w:p w14:paraId="5E43A81B" w14:textId="77777777" w:rsidR="00ED0E85" w:rsidRPr="00454A7F" w:rsidRDefault="00ED0E85" w:rsidP="00ED0E85">
            <w:pPr>
              <w:pStyle w:val="Chart"/>
              <w:spacing w:before="520" w:after="80"/>
              <w:jc w:val="center"/>
              <w:rPr>
                <w:rFonts w:ascii="Franklin Gothic Medium" w:eastAsiaTheme="minorEastAsia" w:hAnsi="Franklin Gothic Medium"/>
                <w:color w:val="6F6652" w:themeColor="accent5"/>
                <w:sz w:val="16"/>
                <w:szCs w:val="16"/>
                <w:lang w:val="en-US" w:eastAsia="en-AU"/>
              </w:rPr>
            </w:pPr>
            <w:r>
              <w:rPr>
                <w:rFonts w:ascii="Franklin Gothic Medium" w:eastAsiaTheme="minorEastAsia" w:hAnsi="Franklin Gothic Medium"/>
                <w:color w:val="6F6652" w:themeColor="accent5"/>
                <w:sz w:val="16"/>
                <w:szCs w:val="16"/>
                <w:lang w:val="en-US" w:eastAsia="en-AU"/>
              </w:rPr>
              <w:t>2014</w:t>
            </w:r>
          </w:p>
        </w:tc>
        <w:tc>
          <w:tcPr>
            <w:tcW w:w="810" w:type="dxa"/>
            <w:tcBorders>
              <w:top w:val="single" w:sz="24" w:space="0" w:color="FFFFFF" w:themeColor="background1"/>
              <w:left w:val="single" w:sz="4" w:space="0" w:color="FFFFFF" w:themeColor="background1"/>
              <w:right w:val="single" w:sz="4" w:space="0" w:color="FFFFFF" w:themeColor="background1"/>
            </w:tcBorders>
            <w:shd w:val="clear" w:color="auto" w:fill="E4E0DA" w:themeFill="text2" w:themeFillTint="33"/>
            <w:vAlign w:val="bottom"/>
          </w:tcPr>
          <w:p w14:paraId="64950F4A" w14:textId="77777777" w:rsidR="00ED0E85" w:rsidRPr="00454A7F" w:rsidRDefault="00ED0E85" w:rsidP="00ED0E85">
            <w:pPr>
              <w:pStyle w:val="Chart"/>
              <w:spacing w:before="60" w:after="60"/>
              <w:jc w:val="center"/>
              <w:rPr>
                <w:rFonts w:ascii="Franklin Gothic Medium" w:eastAsiaTheme="minorEastAsia" w:hAnsi="Franklin Gothic Medium"/>
                <w:color w:val="6F6652" w:themeColor="accent5"/>
                <w:sz w:val="16"/>
                <w:szCs w:val="16"/>
                <w:lang w:val="en-US" w:eastAsia="en-AU"/>
              </w:rPr>
            </w:pPr>
            <w:r w:rsidRPr="00CD7A37">
              <w:rPr>
                <w:rFonts w:ascii="Franklin Gothic Demi" w:eastAsiaTheme="minorEastAsia" w:hAnsi="Franklin Gothic Demi"/>
                <w:color w:val="6F6652" w:themeColor="accent5"/>
                <w:sz w:val="18"/>
                <w:szCs w:val="18"/>
                <w:lang w:val="en-US" w:eastAsia="en-AU"/>
              </w:rPr>
              <w:t>2015</w:t>
            </w:r>
          </w:p>
        </w:tc>
        <w:tc>
          <w:tcPr>
            <w:tcW w:w="809" w:type="dxa"/>
            <w:tcBorders>
              <w:top w:val="single" w:sz="24" w:space="0" w:color="FFFFFF" w:themeColor="background1"/>
              <w:left w:val="single" w:sz="4" w:space="0" w:color="FFFFFF" w:themeColor="background1"/>
              <w:right w:val="single" w:sz="4" w:space="0" w:color="FFFFFF" w:themeColor="background1"/>
            </w:tcBorders>
            <w:shd w:val="clear" w:color="auto" w:fill="E4E0DA" w:themeFill="text2" w:themeFillTint="33"/>
            <w:vAlign w:val="bottom"/>
          </w:tcPr>
          <w:p w14:paraId="457870E9" w14:textId="77777777" w:rsidR="00ED0E85" w:rsidRPr="00454A7F" w:rsidRDefault="00ED0E85" w:rsidP="00ED0E85">
            <w:pPr>
              <w:pStyle w:val="Chart"/>
              <w:spacing w:before="520" w:after="80"/>
              <w:jc w:val="center"/>
              <w:rPr>
                <w:rFonts w:ascii="Franklin Gothic Medium" w:eastAsiaTheme="minorEastAsia" w:hAnsi="Franklin Gothic Medium"/>
                <w:color w:val="6F6652" w:themeColor="accent5"/>
                <w:sz w:val="16"/>
                <w:szCs w:val="16"/>
                <w:lang w:val="en-US" w:eastAsia="en-AU"/>
              </w:rPr>
            </w:pPr>
            <w:r>
              <w:rPr>
                <w:rFonts w:ascii="Franklin Gothic Medium" w:eastAsiaTheme="minorEastAsia" w:hAnsi="Franklin Gothic Medium"/>
                <w:color w:val="6F6652" w:themeColor="accent5"/>
                <w:sz w:val="16"/>
                <w:szCs w:val="16"/>
                <w:lang w:val="en-US" w:eastAsia="en-AU"/>
              </w:rPr>
              <w:t>2016</w:t>
            </w:r>
          </w:p>
        </w:tc>
        <w:tc>
          <w:tcPr>
            <w:tcW w:w="809" w:type="dxa"/>
            <w:tcBorders>
              <w:top w:val="single" w:sz="24" w:space="0" w:color="FFFFFF" w:themeColor="background1"/>
              <w:left w:val="single" w:sz="4" w:space="0" w:color="FFFFFF" w:themeColor="background1"/>
              <w:right w:val="single" w:sz="4" w:space="0" w:color="FFFFFF" w:themeColor="background1"/>
            </w:tcBorders>
            <w:shd w:val="clear" w:color="auto" w:fill="E4E0DA" w:themeFill="text2" w:themeFillTint="33"/>
            <w:vAlign w:val="bottom"/>
          </w:tcPr>
          <w:p w14:paraId="38906B1E" w14:textId="77777777" w:rsidR="00ED0E85" w:rsidRPr="00454A7F" w:rsidRDefault="00ED0E85" w:rsidP="00ED0E85">
            <w:pPr>
              <w:pStyle w:val="Chart"/>
              <w:spacing w:before="60" w:after="60"/>
              <w:jc w:val="center"/>
              <w:rPr>
                <w:rFonts w:ascii="Franklin Gothic Medium" w:eastAsiaTheme="minorEastAsia" w:hAnsi="Franklin Gothic Medium"/>
                <w:color w:val="6F6652" w:themeColor="accent5"/>
                <w:sz w:val="16"/>
                <w:szCs w:val="16"/>
                <w:lang w:val="en-US" w:eastAsia="en-AU"/>
              </w:rPr>
            </w:pPr>
            <w:r w:rsidRPr="00B7293E">
              <w:rPr>
                <w:rFonts w:ascii="Franklin Gothic Demi" w:eastAsiaTheme="minorEastAsia" w:hAnsi="Franklin Gothic Demi"/>
                <w:color w:val="6F6652" w:themeColor="accent5"/>
                <w:sz w:val="18"/>
                <w:szCs w:val="18"/>
                <w:lang w:val="en-US" w:eastAsia="en-AU"/>
              </w:rPr>
              <w:t>2017</w:t>
            </w:r>
          </w:p>
        </w:tc>
        <w:tc>
          <w:tcPr>
            <w:tcW w:w="2428" w:type="dxa"/>
            <w:gridSpan w:val="3"/>
            <w:tcBorders>
              <w:top w:val="single" w:sz="24" w:space="0" w:color="FFFFFF" w:themeColor="background1"/>
              <w:left w:val="single" w:sz="4" w:space="0" w:color="FFFFFF" w:themeColor="background1"/>
              <w:right w:val="single" w:sz="4" w:space="0" w:color="FFFFFF" w:themeColor="background1"/>
            </w:tcBorders>
            <w:shd w:val="clear" w:color="auto" w:fill="E4E0DA" w:themeFill="text2" w:themeFillTint="33"/>
            <w:vAlign w:val="bottom"/>
          </w:tcPr>
          <w:p w14:paraId="176A3AE3" w14:textId="77777777" w:rsidR="00ED0E85" w:rsidRPr="00454A7F" w:rsidRDefault="00ED0E85" w:rsidP="00ED0E85">
            <w:pPr>
              <w:pStyle w:val="Chart"/>
              <w:spacing w:before="60" w:after="60"/>
              <w:ind w:left="227"/>
              <w:rPr>
                <w:rFonts w:ascii="Franklin Gothic Medium" w:eastAsiaTheme="minorEastAsia" w:hAnsi="Franklin Gothic Medium"/>
                <w:color w:val="6F6652" w:themeColor="accent5"/>
                <w:sz w:val="16"/>
                <w:szCs w:val="16"/>
                <w:lang w:val="en-US" w:eastAsia="en-AU"/>
              </w:rPr>
            </w:pPr>
            <w:r w:rsidRPr="00CD7A37">
              <w:rPr>
                <w:rFonts w:ascii="Franklin Gothic Demi" w:eastAsiaTheme="minorEastAsia" w:hAnsi="Franklin Gothic Demi"/>
                <w:color w:val="6F6652" w:themeColor="accent5"/>
                <w:sz w:val="18"/>
                <w:szCs w:val="18"/>
                <w:lang w:val="en-US" w:eastAsia="en-AU"/>
              </w:rPr>
              <w:t>2018</w:t>
            </w:r>
          </w:p>
        </w:tc>
      </w:tr>
      <w:tr w:rsidR="00ED0E85" w14:paraId="1E1822CF" w14:textId="77777777" w:rsidTr="00ED0E85">
        <w:trPr>
          <w:cantSplit/>
          <w:trHeight w:val="1265"/>
        </w:trPr>
        <w:tc>
          <w:tcPr>
            <w:tcW w:w="13750" w:type="dxa"/>
            <w:gridSpan w:val="17"/>
            <w:shd w:val="clear" w:color="auto" w:fill="E4E0DA" w:themeFill="text2" w:themeFillTint="33"/>
          </w:tcPr>
          <w:p w14:paraId="01F138AE" w14:textId="77777777" w:rsidR="00ED0E85" w:rsidRDefault="00ED0E85" w:rsidP="00ED0E85">
            <w:pPr>
              <w:pStyle w:val="Chart"/>
            </w:pPr>
            <w:r>
              <w:rPr>
                <w:rFonts w:ascii="Franklin Gothic Demi" w:eastAsiaTheme="minorEastAsia" w:hAnsi="Franklin Gothic Demi"/>
                <w:noProof/>
                <w:color w:val="6F6652" w:themeColor="accent5"/>
                <w:sz w:val="18"/>
                <w:szCs w:val="18"/>
                <w:lang w:eastAsia="en-AU"/>
              </w:rPr>
              <mc:AlternateContent>
                <mc:Choice Requires="wpg">
                  <w:drawing>
                    <wp:anchor distT="0" distB="0" distL="114300" distR="114300" simplePos="0" relativeHeight="251693056" behindDoc="0" locked="0" layoutInCell="1" allowOverlap="1" wp14:anchorId="551339A1" wp14:editId="5D96BE89">
                      <wp:simplePos x="0" y="0"/>
                      <wp:positionH relativeFrom="column">
                        <wp:posOffset>86167</wp:posOffset>
                      </wp:positionH>
                      <wp:positionV relativeFrom="paragraph">
                        <wp:posOffset>21535</wp:posOffset>
                      </wp:positionV>
                      <wp:extent cx="8591550" cy="715010"/>
                      <wp:effectExtent l="0" t="38100" r="19050" b="27940"/>
                      <wp:wrapNone/>
                      <wp:docPr id="239" name="Group 239"/>
                      <wp:cNvGraphicFramePr/>
                      <a:graphic xmlns:a="http://schemas.openxmlformats.org/drawingml/2006/main">
                        <a:graphicData uri="http://schemas.microsoft.com/office/word/2010/wordprocessingGroup">
                          <wpg:wgp>
                            <wpg:cNvGrpSpPr/>
                            <wpg:grpSpPr>
                              <a:xfrm>
                                <a:off x="0" y="0"/>
                                <a:ext cx="8591550" cy="715010"/>
                                <a:chOff x="0" y="0"/>
                                <a:chExt cx="8591550" cy="715010"/>
                              </a:xfrm>
                            </wpg:grpSpPr>
                            <wpg:grpSp>
                              <wpg:cNvPr id="240" name="Group 240"/>
                              <wpg:cNvGrpSpPr/>
                              <wpg:grpSpPr>
                                <a:xfrm>
                                  <a:off x="0" y="17476"/>
                                  <a:ext cx="895350" cy="697534"/>
                                  <a:chOff x="666749" y="7951"/>
                                  <a:chExt cx="895350" cy="697576"/>
                                </a:xfrm>
                              </wpg:grpSpPr>
                              <wps:wsp>
                                <wps:cNvPr id="241" name="Text Box 241"/>
                                <wps:cNvSpPr txBox="1">
                                  <a:spLocks noChangeArrowheads="1"/>
                                </wps:cNvSpPr>
                                <wps:spPr bwMode="auto">
                                  <a:xfrm>
                                    <a:off x="666749" y="161926"/>
                                    <a:ext cx="895350" cy="543601"/>
                                  </a:xfrm>
                                  <a:prstGeom prst="rect">
                                    <a:avLst/>
                                  </a:prstGeom>
                                  <a:noFill/>
                                  <a:ln w="9525">
                                    <a:solidFill>
                                      <a:schemeClr val="accent4"/>
                                    </a:solidFill>
                                    <a:prstDash val="dash"/>
                                    <a:miter lim="800000"/>
                                    <a:headEnd/>
                                    <a:tailEnd/>
                                  </a:ln>
                                </wps:spPr>
                                <wps:txbx>
                                  <w:txbxContent>
                                    <w:p w14:paraId="315E287F" w14:textId="77777777" w:rsidR="003E0782" w:rsidRPr="00AD50A2" w:rsidRDefault="003E0782" w:rsidP="00ED0E85">
                                      <w:pPr>
                                        <w:spacing w:line="240" w:lineRule="auto"/>
                                        <w:jc w:val="center"/>
                                        <w:rPr>
                                          <w:rFonts w:ascii="Franklin Gothic Demi" w:eastAsia="Times New Roman" w:hAnsi="Franklin Gothic Demi"/>
                                          <w:color w:val="6F6652" w:themeColor="accent5"/>
                                          <w:sz w:val="16"/>
                                          <w:szCs w:val="18"/>
                                          <w:lang w:eastAsia="en-US"/>
                                        </w:rPr>
                                      </w:pPr>
                                      <w:r w:rsidRPr="00AD50A2">
                                        <w:rPr>
                                          <w:rFonts w:ascii="Franklin Gothic Demi" w:eastAsia="Times New Roman" w:hAnsi="Franklin Gothic Demi"/>
                                          <w:color w:val="6F6652" w:themeColor="accent5"/>
                                          <w:sz w:val="16"/>
                                          <w:szCs w:val="18"/>
                                          <w:lang w:eastAsia="en-US"/>
                                        </w:rPr>
                                        <w:t>Energy white paper, securing Australia’s energy future</w:t>
                                      </w:r>
                                    </w:p>
                                  </w:txbxContent>
                                </wps:txbx>
                                <wps:bodyPr rot="0" vert="horz" wrap="square" lIns="36000" tIns="36000" rIns="36000" bIns="36000" anchor="t" anchorCtr="0">
                                  <a:noAutofit/>
                                </wps:bodyPr>
                              </wps:wsp>
                              <wps:wsp>
                                <wps:cNvPr id="242" name="Straight Arrow Connector 242"/>
                                <wps:cNvCnPr/>
                                <wps:spPr>
                                  <a:xfrm flipV="1">
                                    <a:off x="857250" y="7951"/>
                                    <a:ext cx="0" cy="161925"/>
                                  </a:xfrm>
                                  <a:prstGeom prst="straightConnector1">
                                    <a:avLst/>
                                  </a:prstGeom>
                                  <a:ln w="127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43" name="Group 243"/>
                              <wpg:cNvGrpSpPr/>
                              <wpg:grpSpPr>
                                <a:xfrm>
                                  <a:off x="1876425" y="1"/>
                                  <a:ext cx="2113915" cy="696594"/>
                                  <a:chOff x="408738" y="1"/>
                                  <a:chExt cx="943812" cy="492906"/>
                                </a:xfrm>
                              </wpg:grpSpPr>
                              <wps:wsp>
                                <wps:cNvPr id="244" name="Straight Arrow Connector 244"/>
                                <wps:cNvCnPr/>
                                <wps:spPr>
                                  <a:xfrm flipV="1">
                                    <a:off x="1023061" y="1"/>
                                    <a:ext cx="0" cy="107750"/>
                                  </a:xfrm>
                                  <a:prstGeom prst="straightConnector1">
                                    <a:avLst/>
                                  </a:prstGeom>
                                  <a:ln w="127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5" name="Text Box 245"/>
                                <wps:cNvSpPr txBox="1">
                                  <a:spLocks noChangeArrowheads="1"/>
                                </wps:cNvSpPr>
                                <wps:spPr bwMode="auto">
                                  <a:xfrm>
                                    <a:off x="408738" y="107751"/>
                                    <a:ext cx="943812" cy="385156"/>
                                  </a:xfrm>
                                  <a:prstGeom prst="rect">
                                    <a:avLst/>
                                  </a:prstGeom>
                                  <a:noFill/>
                                  <a:ln w="9525">
                                    <a:solidFill>
                                      <a:schemeClr val="accent4"/>
                                    </a:solidFill>
                                    <a:prstDash val="dash"/>
                                    <a:miter lim="800000"/>
                                    <a:headEnd/>
                                    <a:tailEnd/>
                                  </a:ln>
                                </wps:spPr>
                                <wps:txbx>
                                  <w:txbxContent>
                                    <w:p w14:paraId="500FA894" w14:textId="77777777" w:rsidR="003E0782" w:rsidRPr="00AD50A2" w:rsidRDefault="003E0782" w:rsidP="00ED0E85">
                                      <w:pPr>
                                        <w:spacing w:line="240" w:lineRule="auto"/>
                                        <w:jc w:val="center"/>
                                        <w:rPr>
                                          <w:rFonts w:ascii="Franklin Gothic Demi" w:eastAsia="Times New Roman" w:hAnsi="Franklin Gothic Demi"/>
                                          <w:color w:val="6F6652" w:themeColor="accent5"/>
                                          <w:sz w:val="16"/>
                                          <w:szCs w:val="18"/>
                                          <w:lang w:eastAsia="en-US"/>
                                        </w:rPr>
                                      </w:pPr>
                                      <w:r w:rsidRPr="00D657AE">
                                        <w:rPr>
                                          <w:rFonts w:ascii="Franklin Gothic Demi" w:eastAsia="Times New Roman" w:hAnsi="Franklin Gothic Demi"/>
                                          <w:color w:val="6F6652" w:themeColor="accent5"/>
                                          <w:sz w:val="16"/>
                                          <w:szCs w:val="18"/>
                                          <w:lang w:eastAsia="en-US"/>
                                        </w:rPr>
                                        <w:t xml:space="preserve">Building Energy Efficiency Disclosure Act </w:t>
                                      </w:r>
                                      <w:r>
                                        <w:rPr>
                                          <w:rFonts w:ascii="Franklin Gothic Demi" w:eastAsia="Times New Roman" w:hAnsi="Franklin Gothic Demi"/>
                                          <w:color w:val="6F6652" w:themeColor="accent5"/>
                                          <w:sz w:val="16"/>
                                          <w:szCs w:val="18"/>
                                          <w:lang w:eastAsia="en-US"/>
                                        </w:rPr>
                                        <w:t xml:space="preserve">           </w:t>
                                      </w:r>
                                      <w:r w:rsidRPr="00D657AE">
                                        <w:rPr>
                                          <w:rFonts w:ascii="Franklin Gothic Demi" w:eastAsia="Times New Roman" w:hAnsi="Franklin Gothic Demi"/>
                                          <w:color w:val="6F6652" w:themeColor="accent5"/>
                                          <w:sz w:val="16"/>
                                          <w:szCs w:val="18"/>
                                          <w:lang w:eastAsia="en-US"/>
                                        </w:rPr>
                                        <w:t>(2010) introdu</w:t>
                                      </w:r>
                                      <w:r>
                                        <w:rPr>
                                          <w:rFonts w:ascii="Franklin Gothic Demi" w:eastAsia="Times New Roman" w:hAnsi="Franklin Gothic Demi"/>
                                          <w:color w:val="6F6652" w:themeColor="accent5"/>
                                          <w:sz w:val="16"/>
                                          <w:szCs w:val="18"/>
                                          <w:lang w:eastAsia="en-US"/>
                                        </w:rPr>
                                        <w:t>ced, and fully enacted in 2011, giving</w:t>
                                      </w:r>
                                      <w:r w:rsidRPr="00D657AE">
                                        <w:rPr>
                                          <w:rFonts w:ascii="Franklin Gothic Demi" w:eastAsia="Times New Roman" w:hAnsi="Franklin Gothic Demi"/>
                                          <w:color w:val="6F6652" w:themeColor="accent5"/>
                                          <w:sz w:val="16"/>
                                          <w:szCs w:val="18"/>
                                          <w:lang w:eastAsia="en-US"/>
                                        </w:rPr>
                                        <w:t xml:space="preserve"> effect to the Commercial Building Disclosure Program</w:t>
                                      </w:r>
                                    </w:p>
                                  </w:txbxContent>
                                </wps:txbx>
                                <wps:bodyPr rot="0" vert="horz" wrap="square" lIns="36000" tIns="36000" rIns="36000" bIns="36000" anchor="t" anchorCtr="0">
                                  <a:noAutofit/>
                                </wps:bodyPr>
                              </wps:wsp>
                            </wpg:grpSp>
                            <wpg:grpSp>
                              <wpg:cNvPr id="246" name="Group 246"/>
                              <wpg:cNvGrpSpPr/>
                              <wpg:grpSpPr>
                                <a:xfrm>
                                  <a:off x="4914900" y="0"/>
                                  <a:ext cx="1380490" cy="705485"/>
                                  <a:chOff x="0" y="0"/>
                                  <a:chExt cx="1380490" cy="705485"/>
                                </a:xfrm>
                              </wpg:grpSpPr>
                              <wps:wsp>
                                <wps:cNvPr id="247" name="Straight Arrow Connector 247"/>
                                <wps:cNvCnPr/>
                                <wps:spPr>
                                  <a:xfrm flipV="1">
                                    <a:off x="952500" y="0"/>
                                    <a:ext cx="0" cy="161290"/>
                                  </a:xfrm>
                                  <a:prstGeom prst="straightConnector1">
                                    <a:avLst/>
                                  </a:prstGeom>
                                  <a:ln w="127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8" name="Text Box 248"/>
                                <wps:cNvSpPr txBox="1">
                                  <a:spLocks noChangeArrowheads="1"/>
                                </wps:cNvSpPr>
                                <wps:spPr bwMode="auto">
                                  <a:xfrm>
                                    <a:off x="0" y="161925"/>
                                    <a:ext cx="1380490" cy="543560"/>
                                  </a:xfrm>
                                  <a:prstGeom prst="rect">
                                    <a:avLst/>
                                  </a:prstGeom>
                                  <a:noFill/>
                                  <a:ln w="9525">
                                    <a:solidFill>
                                      <a:schemeClr val="accent4"/>
                                    </a:solidFill>
                                    <a:prstDash val="dash"/>
                                    <a:miter lim="800000"/>
                                    <a:headEnd/>
                                    <a:tailEnd/>
                                  </a:ln>
                                </wps:spPr>
                                <wps:txbx>
                                  <w:txbxContent>
                                    <w:p w14:paraId="6CB08530" w14:textId="77777777" w:rsidR="003E0782" w:rsidRPr="00AD50A2" w:rsidRDefault="003E0782" w:rsidP="00ED0E85">
                                      <w:pPr>
                                        <w:spacing w:line="240" w:lineRule="auto"/>
                                        <w:jc w:val="center"/>
                                        <w:rPr>
                                          <w:rFonts w:ascii="Franklin Gothic Demi" w:eastAsia="Times New Roman" w:hAnsi="Franklin Gothic Demi"/>
                                          <w:color w:val="6F6652" w:themeColor="accent5"/>
                                          <w:sz w:val="16"/>
                                          <w:szCs w:val="18"/>
                                          <w:lang w:eastAsia="en-US"/>
                                        </w:rPr>
                                      </w:pPr>
                                      <w:r w:rsidRPr="00805C0A">
                                        <w:rPr>
                                          <w:rFonts w:ascii="Franklin Gothic Demi" w:eastAsia="Times New Roman" w:hAnsi="Franklin Gothic Demi"/>
                                          <w:color w:val="6F6652" w:themeColor="accent5"/>
                                          <w:sz w:val="16"/>
                                          <w:szCs w:val="18"/>
                                          <w:lang w:eastAsia="en-US"/>
                                        </w:rPr>
                                        <w:t>Commercial Building Disclosure: Program Review, by ACIL Allen</w:t>
                                      </w:r>
                                    </w:p>
                                  </w:txbxContent>
                                </wps:txbx>
                                <wps:bodyPr rot="0" vert="horz" wrap="square" lIns="36000" tIns="36000" rIns="36000" bIns="36000" anchor="ctr" anchorCtr="0">
                                  <a:noAutofit/>
                                </wps:bodyPr>
                              </wps:wsp>
                            </wpg:grpSp>
                            <wps:wsp>
                              <wps:cNvPr id="255" name="Text Box 255"/>
                              <wps:cNvSpPr txBox="1">
                                <a:spLocks noChangeArrowheads="1"/>
                              </wps:cNvSpPr>
                              <wps:spPr bwMode="auto">
                                <a:xfrm>
                                  <a:off x="7019925" y="161925"/>
                                  <a:ext cx="1571625" cy="543560"/>
                                </a:xfrm>
                                <a:prstGeom prst="rect">
                                  <a:avLst/>
                                </a:prstGeom>
                                <a:noFill/>
                                <a:ln w="9525">
                                  <a:solidFill>
                                    <a:schemeClr val="accent4"/>
                                  </a:solidFill>
                                  <a:prstDash val="dash"/>
                                  <a:miter lim="800000"/>
                                  <a:headEnd/>
                                  <a:tailEnd/>
                                </a:ln>
                              </wps:spPr>
                              <wps:txbx>
                                <w:txbxContent>
                                  <w:p w14:paraId="4F9F97F8" w14:textId="77777777" w:rsidR="003E0782" w:rsidRPr="00AD50A2" w:rsidRDefault="003E0782" w:rsidP="00ED0E85">
                                    <w:pPr>
                                      <w:spacing w:line="240" w:lineRule="auto"/>
                                      <w:jc w:val="center"/>
                                      <w:rPr>
                                        <w:rFonts w:ascii="Franklin Gothic Demi" w:eastAsia="Times New Roman" w:hAnsi="Franklin Gothic Demi"/>
                                        <w:color w:val="6F6652" w:themeColor="accent5"/>
                                        <w:sz w:val="16"/>
                                        <w:szCs w:val="18"/>
                                        <w:lang w:eastAsia="en-US"/>
                                      </w:rPr>
                                    </w:pPr>
                                    <w:r>
                                      <w:rPr>
                                        <w:rFonts w:ascii="Franklin Gothic Demi" w:eastAsia="Times New Roman" w:hAnsi="Franklin Gothic Demi"/>
                                        <w:color w:val="6F6652" w:themeColor="accent5"/>
                                        <w:sz w:val="16"/>
                                        <w:szCs w:val="18"/>
                                        <w:lang w:eastAsia="en-US"/>
                                      </w:rPr>
                                      <w:t>Ongoing evaluation and analysis of CBD program and expansion options</w:t>
                                    </w:r>
                                  </w:p>
                                </w:txbxContent>
                              </wps:txbx>
                              <wps:bodyPr rot="0" vert="horz" wrap="square" lIns="36000" tIns="36000" rIns="36000" bIns="36000" anchor="ctr" anchorCtr="0">
                                <a:noAutofit/>
                              </wps:bodyPr>
                            </wps:wsp>
                            <wps:wsp>
                              <wps:cNvPr id="32" name="Straight Arrow Connector 32"/>
                              <wps:cNvCnPr/>
                              <wps:spPr>
                                <a:xfrm flipV="1">
                                  <a:off x="7410450" y="0"/>
                                  <a:ext cx="0" cy="161925"/>
                                </a:xfrm>
                                <a:prstGeom prst="straightConnector1">
                                  <a:avLst/>
                                </a:prstGeom>
                                <a:ln w="127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33" name="Group 33"/>
                              <wpg:cNvGrpSpPr/>
                              <wpg:grpSpPr>
                                <a:xfrm>
                                  <a:off x="6343650" y="0"/>
                                  <a:ext cx="609600" cy="705485"/>
                                  <a:chOff x="514350" y="-47625"/>
                                  <a:chExt cx="638175" cy="705526"/>
                                </a:xfrm>
                              </wpg:grpSpPr>
                              <wps:wsp>
                                <wps:cNvPr id="34" name="Text Box 34"/>
                                <wps:cNvSpPr txBox="1">
                                  <a:spLocks noChangeArrowheads="1"/>
                                </wps:cNvSpPr>
                                <wps:spPr bwMode="auto">
                                  <a:xfrm>
                                    <a:off x="514350" y="114300"/>
                                    <a:ext cx="638175" cy="543601"/>
                                  </a:xfrm>
                                  <a:prstGeom prst="rect">
                                    <a:avLst/>
                                  </a:prstGeom>
                                  <a:noFill/>
                                  <a:ln w="9525">
                                    <a:solidFill>
                                      <a:schemeClr val="accent4"/>
                                    </a:solidFill>
                                    <a:prstDash val="dash"/>
                                    <a:miter lim="800000"/>
                                    <a:headEnd/>
                                    <a:tailEnd/>
                                  </a:ln>
                                </wps:spPr>
                                <wps:txbx>
                                  <w:txbxContent>
                                    <w:p w14:paraId="69DB19E1" w14:textId="77777777" w:rsidR="003E0782" w:rsidRPr="00AD50A2" w:rsidRDefault="003E0782" w:rsidP="00ED0E85">
                                      <w:pPr>
                                        <w:spacing w:line="240" w:lineRule="auto"/>
                                        <w:jc w:val="center"/>
                                        <w:rPr>
                                          <w:rFonts w:ascii="Franklin Gothic Demi" w:eastAsia="Times New Roman" w:hAnsi="Franklin Gothic Demi"/>
                                          <w:color w:val="6F6652" w:themeColor="accent5"/>
                                          <w:sz w:val="16"/>
                                          <w:szCs w:val="18"/>
                                          <w:lang w:eastAsia="en-US"/>
                                        </w:rPr>
                                      </w:pPr>
                                      <w:r>
                                        <w:rPr>
                                          <w:rFonts w:ascii="Franklin Gothic Demi" w:eastAsia="Times New Roman" w:hAnsi="Franklin Gothic Demi"/>
                                          <w:color w:val="6F6652" w:themeColor="accent5"/>
                                          <w:sz w:val="16"/>
                                          <w:szCs w:val="18"/>
                                          <w:lang w:eastAsia="en-US"/>
                                        </w:rPr>
                                        <w:t>Disclosure threshold reduced to 1000m</w:t>
                                      </w:r>
                                      <w:r w:rsidRPr="00B7293E">
                                        <w:rPr>
                                          <w:rFonts w:ascii="Franklin Gothic Demi" w:eastAsia="Times New Roman" w:hAnsi="Franklin Gothic Demi"/>
                                          <w:color w:val="6F6652" w:themeColor="accent5"/>
                                          <w:sz w:val="16"/>
                                          <w:szCs w:val="18"/>
                                          <w:vertAlign w:val="superscript"/>
                                          <w:lang w:eastAsia="en-US"/>
                                        </w:rPr>
                                        <w:t>2</w:t>
                                      </w:r>
                                    </w:p>
                                  </w:txbxContent>
                                </wps:txbx>
                                <wps:bodyPr rot="0" vert="horz" wrap="square" lIns="36000" tIns="36000" rIns="36000" bIns="36000" anchor="t" anchorCtr="0">
                                  <a:noAutofit/>
                                </wps:bodyPr>
                              </wps:wsp>
                              <wps:wsp>
                                <wps:cNvPr id="35" name="Straight Arrow Connector 35"/>
                                <wps:cNvCnPr/>
                                <wps:spPr>
                                  <a:xfrm flipV="1">
                                    <a:off x="1066651" y="-47625"/>
                                    <a:ext cx="0" cy="161925"/>
                                  </a:xfrm>
                                  <a:prstGeom prst="straightConnector1">
                                    <a:avLst/>
                                  </a:prstGeom>
                                  <a:ln w="127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51339A1" id="Group 239" o:spid="_x0000_s1039" style="position:absolute;margin-left:6.8pt;margin-top:1.7pt;width:676.5pt;height:56.3pt;z-index:251693056;mso-width-relative:margin;mso-height-relative:margin" coordsize="8591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">
                      <v:group id="Group 240" o:spid="_x0000_s1040" style="position:absolute;top:174;width:8953;height:6976" coordorigin="6667,79" coordsize="8953,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Text Box 241" o:spid="_x0000_s1041" type="#_x0000_t202" style="position:absolute;left:6667;top:1619;width:8953;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" filled="f" strokecolor="#9b917e [3207]">
                          <v:stroke dashstyle="dash"/>
                          <v:textbox inset="1mm,1mm,1mm,1mm">
                            <w:txbxContent>
                              <w:p w14:paraId="315E287F" w14:textId="77777777" w:rsidR="003E0782" w:rsidRPr="00AD50A2" w:rsidRDefault="003E0782" w:rsidP="00ED0E85">
                                <w:pPr>
                                  <w:spacing w:line="240" w:lineRule="auto"/>
                                  <w:jc w:val="center"/>
                                  <w:rPr>
                                    <w:rFonts w:ascii="Franklin Gothic Demi" w:eastAsia="Times New Roman" w:hAnsi="Franklin Gothic Demi"/>
                                    <w:color w:val="6F6652" w:themeColor="accent5"/>
                                    <w:sz w:val="16"/>
                                    <w:szCs w:val="18"/>
                                    <w:lang w:eastAsia="en-US"/>
                                  </w:rPr>
                                </w:pPr>
                                <w:r w:rsidRPr="00AD50A2">
                                  <w:rPr>
                                    <w:rFonts w:ascii="Franklin Gothic Demi" w:eastAsia="Times New Roman" w:hAnsi="Franklin Gothic Demi"/>
                                    <w:color w:val="6F6652" w:themeColor="accent5"/>
                                    <w:sz w:val="16"/>
                                    <w:szCs w:val="18"/>
                                    <w:lang w:eastAsia="en-US"/>
                                  </w:rPr>
                                  <w:t>Energy white paper, securing Australia’s energy future</w:t>
                                </w:r>
                              </w:p>
                            </w:txbxContent>
                          </v:textbox>
                        </v:shape>
                        <v:shape id="Straight Arrow Connector 242" o:spid="_x0000_s1042" type="#_x0000_t32" style="position:absolute;left:8572;top:79;width:0;height:1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" strokecolor="#9b917e [3207]" strokeweight="1pt">
                          <v:stroke endarrow="block"/>
                        </v:shape>
                      </v:group>
                      <v:group id="Group 243" o:spid="_x0000_s1043" style="position:absolute;left:18764;width:21139;height:6965" coordorigin="4087" coordsize="9438,4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Straight Arrow Connector 244" o:spid="_x0000_s1044" type="#_x0000_t32" style="position:absolute;left:10230;width:0;height:10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" strokecolor="#9b917e [3207]" strokeweight="1pt">
                          <v:stroke endarrow="block"/>
                        </v:shape>
                        <v:shape id="Text Box 245" o:spid="_x0000_s1045" type="#_x0000_t202" style="position:absolute;left:4087;top:1077;width:9438;height:3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" filled="f" strokecolor="#9b917e [3207]">
                          <v:stroke dashstyle="dash"/>
                          <v:textbox inset="1mm,1mm,1mm,1mm">
                            <w:txbxContent>
                              <w:p w14:paraId="500FA894" w14:textId="77777777" w:rsidR="003E0782" w:rsidRPr="00AD50A2" w:rsidRDefault="003E0782" w:rsidP="00ED0E85">
                                <w:pPr>
                                  <w:spacing w:line="240" w:lineRule="auto"/>
                                  <w:jc w:val="center"/>
                                  <w:rPr>
                                    <w:rFonts w:ascii="Franklin Gothic Demi" w:eastAsia="Times New Roman" w:hAnsi="Franklin Gothic Demi"/>
                                    <w:color w:val="6F6652" w:themeColor="accent5"/>
                                    <w:sz w:val="16"/>
                                    <w:szCs w:val="18"/>
                                    <w:lang w:eastAsia="en-US"/>
                                  </w:rPr>
                                </w:pPr>
                                <w:r w:rsidRPr="00D657AE">
                                  <w:rPr>
                                    <w:rFonts w:ascii="Franklin Gothic Demi" w:eastAsia="Times New Roman" w:hAnsi="Franklin Gothic Demi"/>
                                    <w:color w:val="6F6652" w:themeColor="accent5"/>
                                    <w:sz w:val="16"/>
                                    <w:szCs w:val="18"/>
                                    <w:lang w:eastAsia="en-US"/>
                                  </w:rPr>
                                  <w:t xml:space="preserve">Building Energy Efficiency Disclosure Act </w:t>
                                </w:r>
                                <w:r>
                                  <w:rPr>
                                    <w:rFonts w:ascii="Franklin Gothic Demi" w:eastAsia="Times New Roman" w:hAnsi="Franklin Gothic Demi"/>
                                    <w:color w:val="6F6652" w:themeColor="accent5"/>
                                    <w:sz w:val="16"/>
                                    <w:szCs w:val="18"/>
                                    <w:lang w:eastAsia="en-US"/>
                                  </w:rPr>
                                  <w:t xml:space="preserve">           </w:t>
                                </w:r>
                                <w:r w:rsidRPr="00D657AE">
                                  <w:rPr>
                                    <w:rFonts w:ascii="Franklin Gothic Demi" w:eastAsia="Times New Roman" w:hAnsi="Franklin Gothic Demi"/>
                                    <w:color w:val="6F6652" w:themeColor="accent5"/>
                                    <w:sz w:val="16"/>
                                    <w:szCs w:val="18"/>
                                    <w:lang w:eastAsia="en-US"/>
                                  </w:rPr>
                                  <w:t>(2010) introdu</w:t>
                                </w:r>
                                <w:r>
                                  <w:rPr>
                                    <w:rFonts w:ascii="Franklin Gothic Demi" w:eastAsia="Times New Roman" w:hAnsi="Franklin Gothic Demi"/>
                                    <w:color w:val="6F6652" w:themeColor="accent5"/>
                                    <w:sz w:val="16"/>
                                    <w:szCs w:val="18"/>
                                    <w:lang w:eastAsia="en-US"/>
                                  </w:rPr>
                                  <w:t>ced, and fully enacted in 2011, giving</w:t>
                                </w:r>
                                <w:r w:rsidRPr="00D657AE">
                                  <w:rPr>
                                    <w:rFonts w:ascii="Franklin Gothic Demi" w:eastAsia="Times New Roman" w:hAnsi="Franklin Gothic Demi"/>
                                    <w:color w:val="6F6652" w:themeColor="accent5"/>
                                    <w:sz w:val="16"/>
                                    <w:szCs w:val="18"/>
                                    <w:lang w:eastAsia="en-US"/>
                                  </w:rPr>
                                  <w:t xml:space="preserve"> effect to the Commercial Building Disclosure Program</w:t>
                                </w:r>
                              </w:p>
                            </w:txbxContent>
                          </v:textbox>
                        </v:shape>
                      </v:group>
                      <v:group id="Group 246" o:spid="_x0000_s1046" style="position:absolute;left:49149;width:13804;height:7054" coordsize="13804,7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Straight Arrow Connector 247" o:spid="_x0000_s1047" type="#_x0000_t32" style="position:absolute;left:9525;width:0;height:16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" strokecolor="#9b917e [3207]" strokeweight="1pt">
                          <v:stroke endarrow="block"/>
                        </v:shape>
                        <v:shape id="Text Box 248" o:spid="_x0000_s1048" type="#_x0000_t202" style="position:absolute;top:1619;width:13804;height: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" filled="f" strokecolor="#9b917e [3207]">
                          <v:stroke dashstyle="dash"/>
                          <v:textbox inset="1mm,1mm,1mm,1mm">
                            <w:txbxContent>
                              <w:p w14:paraId="6CB08530" w14:textId="77777777" w:rsidR="003E0782" w:rsidRPr="00AD50A2" w:rsidRDefault="003E0782" w:rsidP="00ED0E85">
                                <w:pPr>
                                  <w:spacing w:line="240" w:lineRule="auto"/>
                                  <w:jc w:val="center"/>
                                  <w:rPr>
                                    <w:rFonts w:ascii="Franklin Gothic Demi" w:eastAsia="Times New Roman" w:hAnsi="Franklin Gothic Demi"/>
                                    <w:color w:val="6F6652" w:themeColor="accent5"/>
                                    <w:sz w:val="16"/>
                                    <w:szCs w:val="18"/>
                                    <w:lang w:eastAsia="en-US"/>
                                  </w:rPr>
                                </w:pPr>
                                <w:r w:rsidRPr="00805C0A">
                                  <w:rPr>
                                    <w:rFonts w:ascii="Franklin Gothic Demi" w:eastAsia="Times New Roman" w:hAnsi="Franklin Gothic Demi"/>
                                    <w:color w:val="6F6652" w:themeColor="accent5"/>
                                    <w:sz w:val="16"/>
                                    <w:szCs w:val="18"/>
                                    <w:lang w:eastAsia="en-US"/>
                                  </w:rPr>
                                  <w:t>Commercial Building Disclosure: Program Review, by ACIL Allen</w:t>
                                </w:r>
                              </w:p>
                            </w:txbxContent>
                          </v:textbox>
                        </v:shape>
                      </v:group>
                      <v:shape id="Text Box 255" o:spid="_x0000_s1049" type="#_x0000_t202" style="position:absolute;left:70199;top:1619;width:15716;height: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" filled="f" strokecolor="#9b917e [3207]">
                        <v:stroke dashstyle="dash"/>
                        <v:textbox inset="1mm,1mm,1mm,1mm">
                          <w:txbxContent>
                            <w:p w14:paraId="4F9F97F8" w14:textId="77777777" w:rsidR="003E0782" w:rsidRPr="00AD50A2" w:rsidRDefault="003E0782" w:rsidP="00ED0E85">
                              <w:pPr>
                                <w:spacing w:line="240" w:lineRule="auto"/>
                                <w:jc w:val="center"/>
                                <w:rPr>
                                  <w:rFonts w:ascii="Franklin Gothic Demi" w:eastAsia="Times New Roman" w:hAnsi="Franklin Gothic Demi"/>
                                  <w:color w:val="6F6652" w:themeColor="accent5"/>
                                  <w:sz w:val="16"/>
                                  <w:szCs w:val="18"/>
                                  <w:lang w:eastAsia="en-US"/>
                                </w:rPr>
                              </w:pPr>
                              <w:r>
                                <w:rPr>
                                  <w:rFonts w:ascii="Franklin Gothic Demi" w:eastAsia="Times New Roman" w:hAnsi="Franklin Gothic Demi"/>
                                  <w:color w:val="6F6652" w:themeColor="accent5"/>
                                  <w:sz w:val="16"/>
                                  <w:szCs w:val="18"/>
                                  <w:lang w:eastAsia="en-US"/>
                                </w:rPr>
                                <w:t>Ongoing evaluation and analysis of CBD program and expansion options</w:t>
                              </w:r>
                            </w:p>
                          </w:txbxContent>
                        </v:textbox>
                      </v:shape>
                      <v:shape id="Straight Arrow Connector 32" o:spid="_x0000_s1050" type="#_x0000_t32" style="position:absolute;left:74104;width:0;height:1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" strokecolor="#9b917e [3207]" strokeweight="1pt">
                        <v:stroke endarrow="block"/>
                      </v:shape>
                      <v:group id="Group 33" o:spid="_x0000_s1051" style="position:absolute;left:63436;width:6096;height:7054" coordorigin="5143,-476" coordsize="6381,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34" o:spid="_x0000_s1052" type="#_x0000_t202" style="position:absolute;left:5143;top:1143;width:6382;height:5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" filled="f" strokecolor="#9b917e [3207]">
                          <v:stroke dashstyle="dash"/>
                          <v:textbox inset="1mm,1mm,1mm,1mm">
                            <w:txbxContent>
                              <w:p w14:paraId="69DB19E1" w14:textId="77777777" w:rsidR="003E0782" w:rsidRPr="00AD50A2" w:rsidRDefault="003E0782" w:rsidP="00ED0E85">
                                <w:pPr>
                                  <w:spacing w:line="240" w:lineRule="auto"/>
                                  <w:jc w:val="center"/>
                                  <w:rPr>
                                    <w:rFonts w:ascii="Franklin Gothic Demi" w:eastAsia="Times New Roman" w:hAnsi="Franklin Gothic Demi"/>
                                    <w:color w:val="6F6652" w:themeColor="accent5"/>
                                    <w:sz w:val="16"/>
                                    <w:szCs w:val="18"/>
                                    <w:lang w:eastAsia="en-US"/>
                                  </w:rPr>
                                </w:pPr>
                                <w:r>
                                  <w:rPr>
                                    <w:rFonts w:ascii="Franklin Gothic Demi" w:eastAsia="Times New Roman" w:hAnsi="Franklin Gothic Demi"/>
                                    <w:color w:val="6F6652" w:themeColor="accent5"/>
                                    <w:sz w:val="16"/>
                                    <w:szCs w:val="18"/>
                                    <w:lang w:eastAsia="en-US"/>
                                  </w:rPr>
                                  <w:t>Disclosure threshold reduced to 1000m</w:t>
                                </w:r>
                                <w:r w:rsidRPr="00B7293E">
                                  <w:rPr>
                                    <w:rFonts w:ascii="Franklin Gothic Demi" w:eastAsia="Times New Roman" w:hAnsi="Franklin Gothic Demi"/>
                                    <w:color w:val="6F6652" w:themeColor="accent5"/>
                                    <w:sz w:val="16"/>
                                    <w:szCs w:val="18"/>
                                    <w:vertAlign w:val="superscript"/>
                                    <w:lang w:eastAsia="en-US"/>
                                  </w:rPr>
                                  <w:t>2</w:t>
                                </w:r>
                              </w:p>
                            </w:txbxContent>
                          </v:textbox>
                        </v:shape>
                        <v:shape id="Straight Arrow Connector 35" o:spid="_x0000_s1053" type="#_x0000_t32" style="position:absolute;left:10666;top:-476;width:0;height:16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" strokecolor="#9b917e [3207]" strokeweight="1pt">
                          <v:stroke endarrow="block"/>
                        </v:shape>
                      </v:group>
                    </v:group>
                  </w:pict>
                </mc:Fallback>
              </mc:AlternateContent>
            </w:r>
          </w:p>
        </w:tc>
      </w:tr>
    </w:tbl>
    <w:p w14:paraId="1EFC3080" w14:textId="77777777" w:rsidR="00ED0E85" w:rsidRDefault="00ED0E85" w:rsidP="00ED0E85">
      <w:pPr>
        <w:pStyle w:val="Source"/>
        <w:rPr>
          <w:lang w:bidi="fa-IR"/>
        </w:rPr>
      </w:pPr>
      <w:r>
        <w:rPr>
          <w:i/>
          <w:lang w:bidi="fa-IR"/>
        </w:rPr>
        <w:t>Source</w:t>
      </w:r>
      <w:r>
        <w:rPr>
          <w:lang w:bidi="fa-IR"/>
        </w:rPr>
        <w:t>: CIE.</w:t>
      </w:r>
    </w:p>
    <w:p w14:paraId="4BDD6C0D" w14:textId="77777777" w:rsidR="00ED0E85" w:rsidRDefault="00ED0E85" w:rsidP="00ED0E85">
      <w:pPr>
        <w:rPr>
          <w:lang w:bidi="fa-IR"/>
        </w:rPr>
      </w:pPr>
    </w:p>
    <w:p w14:paraId="0887087E" w14:textId="77777777" w:rsidR="00ED0E85" w:rsidRDefault="00ED0E85" w:rsidP="00ED0E85">
      <w:pPr>
        <w:rPr>
          <w:lang w:bidi="fa-IR"/>
        </w:rPr>
      </w:pPr>
    </w:p>
    <w:p w14:paraId="3F5D6E1D" w14:textId="77777777" w:rsidR="00ED0E85" w:rsidRDefault="00ED0E85" w:rsidP="00ED0E85">
      <w:pPr>
        <w:rPr>
          <w:lang w:bidi="fa-IR"/>
        </w:rPr>
        <w:sectPr w:rsidR="00ED0E85" w:rsidSect="00ED0E85">
          <w:headerReference w:type="even" r:id="rId30"/>
          <w:headerReference w:type="default" r:id="rId31"/>
          <w:footerReference w:type="even" r:id="rId32"/>
          <w:footerReference w:type="default" r:id="rId33"/>
          <w:pgSz w:w="16838" w:h="11906" w:orient="landscape" w:code="9"/>
          <w:pgMar w:top="993" w:right="2268" w:bottom="1702" w:left="1417" w:header="850" w:footer="624" w:gutter="0"/>
          <w:cols w:space="708"/>
          <w:docGrid w:linePitch="360"/>
        </w:sectPr>
      </w:pPr>
    </w:p>
    <w:p w14:paraId="7E562C0B" w14:textId="3630C1EF" w:rsidR="00ED0E85" w:rsidRDefault="00ED0E85" w:rsidP="00ED0E85">
      <w:pPr>
        <w:pStyle w:val="BodyText"/>
      </w:pPr>
      <w:r>
        <w:t>The CBD Program covers only a small part of non-residential building use, given that it largely focuses on the base building energy use of larger office buildings. Using past forecasts of non-residential building use by sector, and energy use covered by the CBD Program, the comparisons of different building types is shown in chart </w:t>
      </w:r>
      <w:r>
        <w:rPr>
          <w:noProof/>
        </w:rPr>
        <w:fldChar w:fldCharType="begin"/>
      </w:r>
      <w:r>
        <w:rPr>
          <w:noProof/>
        </w:rPr>
        <w:instrText xml:space="preserve"> REF _Caption2673 </w:instrText>
      </w:r>
      <w:r>
        <w:rPr>
          <w:noProof/>
        </w:rPr>
        <w:fldChar w:fldCharType="separate"/>
      </w:r>
      <w:r w:rsidR="00AD3561">
        <w:rPr>
          <w:noProof/>
        </w:rPr>
        <w:t>1</w:t>
      </w:r>
      <w:r w:rsidR="00AD3561" w:rsidRPr="00695C93">
        <w:rPr>
          <w:noProof/>
        </w:rPr>
        <w:t>.</w:t>
      </w:r>
      <w:r w:rsidR="00AD3561">
        <w:rPr>
          <w:noProof/>
        </w:rPr>
        <w:t>4</w:t>
      </w:r>
      <w:r>
        <w:rPr>
          <w:noProof/>
        </w:rPr>
        <w:fldChar w:fldCharType="end"/>
      </w:r>
      <w:r>
        <w:t>.</w:t>
      </w:r>
    </w:p>
    <w:p w14:paraId="4AE49636" w14:textId="1F40B58B" w:rsidR="00ED0E85" w:rsidRPr="00695C93" w:rsidRDefault="00ED0E85" w:rsidP="00ED0E85">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1</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1</w:instrText>
      </w:r>
      <w:r>
        <w:rPr>
          <w:noProof/>
        </w:rPr>
        <w:fldChar w:fldCharType="end"/>
      </w:r>
      <w:r w:rsidRPr="00695C93">
        <w:instrText xml:space="preserve">." </w:instrText>
      </w:r>
      <w:r w:rsidRPr="00695C93">
        <w:fldChar w:fldCharType="separate"/>
      </w:r>
      <w:r w:rsidR="00AD3561">
        <w:rPr>
          <w:noProof/>
        </w:rPr>
        <w:instrText>1</w:instrText>
      </w:r>
      <w:r w:rsidR="00AD3561"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sidR="00C353B5">
        <w:rPr>
          <w:noProof/>
        </w:rPr>
        <w:instrText>1</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1</w:instrText>
      </w:r>
      <w:r>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4</w:instrText>
      </w:r>
      <w:r w:rsidRPr="00695C93">
        <w:fldChar w:fldCharType="end"/>
      </w:r>
      <w:r w:rsidRPr="00695C93">
        <w:instrText xml:space="preserve">" "" </w:instrText>
      </w:r>
      <w:r w:rsidRPr="00695C93">
        <w:fldChar w:fldCharType="separate"/>
      </w:r>
      <w:bookmarkStart w:id="431" w:name="_Caption0752"/>
      <w:bookmarkStart w:id="432" w:name="_Caption5941"/>
      <w:bookmarkStart w:id="433" w:name="_Caption9922"/>
      <w:bookmarkStart w:id="434" w:name="_Caption0892"/>
      <w:bookmarkStart w:id="435" w:name="_Caption1257"/>
      <w:bookmarkStart w:id="436" w:name="_Caption3519"/>
      <w:bookmarkStart w:id="437" w:name="_Caption3171"/>
      <w:bookmarkStart w:id="438" w:name="_Caption4397"/>
      <w:bookmarkStart w:id="439" w:name="_Caption4044"/>
      <w:bookmarkStart w:id="440" w:name="_Caption6798"/>
      <w:bookmarkStart w:id="441" w:name="_Caption9242"/>
      <w:bookmarkStart w:id="442" w:name="_Caption8806"/>
      <w:bookmarkStart w:id="443" w:name="_Caption8388"/>
      <w:bookmarkStart w:id="444" w:name="_Caption3566"/>
      <w:bookmarkStart w:id="445" w:name="_Caption9828"/>
      <w:bookmarkStart w:id="446" w:name="_Caption7819"/>
      <w:bookmarkStart w:id="447" w:name="_Caption3468"/>
      <w:bookmarkStart w:id="448" w:name="_Caption4673"/>
      <w:bookmarkStart w:id="449" w:name="_Caption9757"/>
      <w:bookmarkStart w:id="450" w:name="_Caption5937"/>
      <w:bookmarkStart w:id="451" w:name="_Caption6312"/>
      <w:bookmarkStart w:id="452" w:name="_Caption9398"/>
      <w:bookmarkStart w:id="453" w:name="_Caption0090"/>
      <w:bookmarkStart w:id="454" w:name="_Caption4155"/>
      <w:bookmarkStart w:id="455" w:name="_Caption2475"/>
      <w:bookmarkStart w:id="456" w:name="_Caption7263"/>
      <w:bookmarkStart w:id="457" w:name="_Caption4572"/>
      <w:bookmarkStart w:id="458" w:name="_Caption4413"/>
      <w:bookmarkStart w:id="459" w:name="_Caption7558"/>
      <w:bookmarkStart w:id="460" w:name="_Caption3916"/>
      <w:bookmarkStart w:id="461" w:name="_Caption4863"/>
      <w:bookmarkStart w:id="462" w:name="_Caption8176"/>
      <w:bookmarkStart w:id="463" w:name="_Caption5525"/>
      <w:bookmarkStart w:id="464" w:name="_Caption6685"/>
      <w:bookmarkStart w:id="465" w:name="_Caption6104"/>
      <w:bookmarkStart w:id="466" w:name="_Caption6273"/>
      <w:bookmarkStart w:id="467" w:name="_Caption6492"/>
      <w:bookmarkStart w:id="468" w:name="_Caption3359"/>
      <w:bookmarkStart w:id="469" w:name="_Caption3472"/>
      <w:bookmarkStart w:id="470" w:name="_Caption2397"/>
      <w:bookmarkStart w:id="471" w:name="_Caption0384"/>
      <w:bookmarkStart w:id="472" w:name="_Caption6069"/>
      <w:bookmarkStart w:id="473" w:name="_Caption8078"/>
      <w:bookmarkStart w:id="474" w:name="_Caption4963"/>
      <w:bookmarkStart w:id="475" w:name="_Caption3045"/>
      <w:bookmarkStart w:id="476" w:name="_Caption0106"/>
      <w:bookmarkStart w:id="477" w:name="_Caption6710"/>
      <w:bookmarkStart w:id="478" w:name="_Caption0207"/>
      <w:bookmarkStart w:id="479" w:name="_Caption9840"/>
      <w:bookmarkStart w:id="480" w:name="_Caption9180"/>
      <w:bookmarkStart w:id="481" w:name="_Caption7333"/>
      <w:bookmarkStart w:id="482" w:name="_Caption9754"/>
      <w:bookmarkStart w:id="483" w:name="_Caption8785"/>
      <w:bookmarkStart w:id="484" w:name="_Caption8243"/>
      <w:bookmarkStart w:id="485" w:name="_Caption2673"/>
      <w:bookmarkStart w:id="486" w:name="_Caption8902"/>
      <w:bookmarkStart w:id="487" w:name="_Caption2730"/>
      <w:bookmarkStart w:id="488" w:name="_Caption8066"/>
      <w:bookmarkStart w:id="489" w:name="_Caption1696"/>
      <w:bookmarkStart w:id="490" w:name="_Caption5206"/>
      <w:bookmarkStart w:id="491" w:name="_Caption9736"/>
      <w:bookmarkStart w:id="492" w:name="_Caption2180"/>
      <w:bookmarkStart w:id="493" w:name="_Caption6682"/>
      <w:bookmarkStart w:id="494" w:name="_Caption2212"/>
      <w:bookmarkStart w:id="495" w:name="_Caption4340"/>
      <w:bookmarkStart w:id="496" w:name="_Caption1098"/>
      <w:bookmarkStart w:id="497" w:name="_Caption7247"/>
      <w:bookmarkStart w:id="498" w:name="_Caption8319"/>
      <w:bookmarkStart w:id="499" w:name="_Caption3983"/>
      <w:bookmarkStart w:id="500" w:name="_Caption8107"/>
      <w:bookmarkStart w:id="501" w:name="_Caption6934"/>
      <w:bookmarkStart w:id="502" w:name="_Caption3201"/>
      <w:bookmarkStart w:id="503" w:name="_Caption1259"/>
      <w:bookmarkStart w:id="504" w:name="_Caption1425"/>
      <w:bookmarkStart w:id="505" w:name="_Caption3292"/>
      <w:bookmarkStart w:id="506" w:name="_Caption3437"/>
      <w:bookmarkStart w:id="507" w:name="_Caption0633"/>
      <w:bookmarkStart w:id="508" w:name="_Caption1311"/>
      <w:bookmarkStart w:id="509" w:name="_Caption4942"/>
      <w:bookmarkStart w:id="510" w:name="_Caption9432"/>
      <w:bookmarkStart w:id="511" w:name="_Caption5117"/>
      <w:bookmarkStart w:id="512" w:name="_Caption9066"/>
      <w:bookmarkStart w:id="513" w:name="_Caption5544"/>
      <w:bookmarkStart w:id="514" w:name="_Caption0588"/>
      <w:bookmarkStart w:id="515" w:name="_Caption3945"/>
      <w:bookmarkStart w:id="516" w:name="_Caption0674"/>
      <w:bookmarkStart w:id="517" w:name="_Caption9621"/>
      <w:bookmarkStart w:id="518" w:name="_Caption4561"/>
      <w:bookmarkStart w:id="519" w:name="_Caption6645"/>
      <w:bookmarkStart w:id="520" w:name="_Caption3549"/>
      <w:bookmarkStart w:id="521" w:name="_Caption1537"/>
      <w:bookmarkStart w:id="522" w:name="_Caption8962"/>
      <w:bookmarkStart w:id="523" w:name="_Caption4974"/>
      <w:bookmarkStart w:id="524" w:name="_Caption5211"/>
      <w:bookmarkStart w:id="525" w:name="_Caption8119"/>
      <w:bookmarkStart w:id="526" w:name="_Caption3099"/>
      <w:bookmarkStart w:id="527" w:name="_Caption5514"/>
      <w:bookmarkStart w:id="528" w:name="_Caption3898"/>
      <w:bookmarkStart w:id="529" w:name="_Caption7841"/>
      <w:bookmarkStart w:id="530" w:name="_Caption1194"/>
      <w:bookmarkStart w:id="531" w:name="_Caption7417"/>
      <w:bookmarkStart w:id="532" w:name="_Caption0174"/>
      <w:bookmarkStart w:id="533" w:name="_Caption1589"/>
      <w:bookmarkStart w:id="534" w:name="_Caption0437"/>
      <w:bookmarkStart w:id="535" w:name="_Caption0591"/>
      <w:bookmarkStart w:id="536" w:name="_Caption6516"/>
      <w:bookmarkStart w:id="537" w:name="_Caption7969"/>
      <w:bookmarkStart w:id="538" w:name="_Caption4576"/>
      <w:bookmarkStart w:id="539" w:name="_Caption4562"/>
      <w:bookmarkStart w:id="540" w:name="_Toc536623128"/>
      <w:bookmarkStart w:id="541" w:name="_Toc171546"/>
      <w:bookmarkStart w:id="542" w:name="_Toc2781964"/>
      <w:bookmarkStart w:id="543" w:name="_Toc19275563"/>
      <w:bookmarkStart w:id="544" w:name="_Toc19276173"/>
      <w:bookmarkStart w:id="545" w:name="_Toc19280172"/>
      <w:r w:rsidR="00C353B5">
        <w:rPr>
          <w:noProof/>
        </w:rPr>
        <w:t>1</w:t>
      </w:r>
      <w:r w:rsidR="00C353B5" w:rsidRPr="00695C93">
        <w:rPr>
          <w:noProof/>
        </w:rPr>
        <w:t>.</w:t>
      </w:r>
      <w:r w:rsidR="00C353B5">
        <w:rPr>
          <w:noProof/>
        </w:rPr>
        <w:t>4</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r w:rsidRPr="00695C93">
        <w:fldChar w:fldCharType="end"/>
      </w:r>
      <w:r w:rsidRPr="00695C93">
        <w:tab/>
      </w:r>
      <w:r>
        <w:t>Energy use of non-residential buildings</w:t>
      </w:r>
      <w:bookmarkEnd w:id="540"/>
      <w:bookmarkEnd w:id="541"/>
      <w:bookmarkEnd w:id="542"/>
      <w:bookmarkEnd w:id="543"/>
      <w:bookmarkEnd w:id="544"/>
      <w:bookmarkEnd w:id="545"/>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06253F49" w14:textId="77777777" w:rsidTr="00ED0E85">
        <w:trPr>
          <w:cantSplit/>
        </w:trPr>
        <w:tc>
          <w:tcPr>
            <w:tcW w:w="7938" w:type="dxa"/>
            <w:shd w:val="clear" w:color="auto" w:fill="E9E8E5" w:themeFill="background2"/>
          </w:tcPr>
          <w:p w14:paraId="3E6364F7" w14:textId="77777777" w:rsidR="00ED0E85" w:rsidRDefault="00ED0E85" w:rsidP="00ED0E85">
            <w:pPr>
              <w:pStyle w:val="Chart"/>
            </w:pPr>
            <w:r w:rsidRPr="00304566">
              <w:rPr>
                <w:noProof/>
                <w:lang w:eastAsia="en-AU"/>
              </w:rPr>
              <w:drawing>
                <wp:inline distT="0" distB="0" distL="0" distR="0" wp14:anchorId="7B1880EE" wp14:editId="761731A1">
                  <wp:extent cx="5017135" cy="17430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t="16354" b="14046"/>
                          <a:stretch/>
                        </pic:blipFill>
                        <pic:spPr bwMode="auto">
                          <a:xfrm>
                            <a:off x="0" y="0"/>
                            <a:ext cx="5017135" cy="17430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DF9880B" w14:textId="77777777" w:rsidR="00ED0E85" w:rsidRPr="00304566" w:rsidRDefault="00ED0E85" w:rsidP="00ED0E85">
      <w:pPr>
        <w:pStyle w:val="Note"/>
      </w:pPr>
      <w:r w:rsidRPr="00A97BEC">
        <w:rPr>
          <w:i/>
        </w:rPr>
        <w:t xml:space="preserve">Note: </w:t>
      </w:r>
      <w:r>
        <w:t>pitt&amp;sherry estimates are for 2017.</w:t>
      </w:r>
    </w:p>
    <w:p w14:paraId="48E4F47F" w14:textId="77777777" w:rsidR="00ED0E85" w:rsidRDefault="00ED0E85" w:rsidP="00ED0E85">
      <w:pPr>
        <w:pStyle w:val="Source"/>
      </w:pPr>
      <w:r>
        <w:rPr>
          <w:i/>
        </w:rPr>
        <w:t>Data source</w:t>
      </w:r>
      <w:r w:rsidRPr="00A67576">
        <w:rPr>
          <w:i/>
        </w:rPr>
        <w:t>:</w:t>
      </w:r>
      <w:r>
        <w:t xml:space="preserve"> pitt&amp;sherry 2012, </w:t>
      </w:r>
      <w:r>
        <w:rPr>
          <w:i/>
        </w:rPr>
        <w:t>Baseline energy consumption and greenhouse gas emissions in commercial buildings in Australia;</w:t>
      </w:r>
      <w:r w:rsidRPr="00304566">
        <w:t xml:space="preserve"> </w:t>
      </w:r>
      <w:r>
        <w:t>CIE analysis of CBD dataset.</w:t>
      </w:r>
    </w:p>
    <w:p w14:paraId="12849890" w14:textId="77777777" w:rsidR="00ED0E85" w:rsidRDefault="00ED0E85" w:rsidP="00ED0E85">
      <w:pPr>
        <w:pStyle w:val="BodyText"/>
        <w:rPr>
          <w:lang w:eastAsia="en-US"/>
        </w:rPr>
      </w:pPr>
      <w:r w:rsidRPr="00082878">
        <w:rPr>
          <w:lang w:eastAsia="en-US"/>
        </w:rPr>
        <w:t xml:space="preserve">Possible expansions to the </w:t>
      </w:r>
      <w:r>
        <w:rPr>
          <w:lang w:eastAsia="en-US"/>
        </w:rPr>
        <w:t>Program</w:t>
      </w:r>
      <w:r w:rsidRPr="00082878">
        <w:rPr>
          <w:lang w:eastAsia="en-US"/>
        </w:rPr>
        <w:t xml:space="preserve"> do not cover the full amount of energy in other sectors. Expanding mandatory disclosure to shopping centres would add about 3PJ of energy for space that is not currently rated, compared to the existing 11PJ of energy rated under the CBD </w:t>
      </w:r>
      <w:r>
        <w:rPr>
          <w:lang w:eastAsia="en-US"/>
        </w:rPr>
        <w:t>P</w:t>
      </w:r>
      <w:r w:rsidRPr="00082878">
        <w:rPr>
          <w:lang w:eastAsia="en-US"/>
        </w:rPr>
        <w:t>rogram. Expanding mandatory disclosure to hotels above 100 rooms would add about 6PJ of energy.</w:t>
      </w:r>
      <w:r>
        <w:rPr>
          <w:lang w:eastAsia="en-US"/>
        </w:rPr>
        <w:t xml:space="preserve"> </w:t>
      </w:r>
    </w:p>
    <w:p w14:paraId="03DD796C" w14:textId="5B760C3C" w:rsidR="00ED0E85" w:rsidRDefault="00ED0E85" w:rsidP="00ED0E85">
      <w:pPr>
        <w:pStyle w:val="Caption"/>
        <w:spacing w:before="240"/>
      </w:pPr>
      <w:r w:rsidRPr="00EB55CE">
        <w:fldChar w:fldCharType="begin"/>
      </w:r>
      <w:r w:rsidRPr="00EB55CE">
        <w:instrText xml:space="preserve"> IF 1 = 1 "</w:instrText>
      </w:r>
      <w:r w:rsidRPr="00EB55CE">
        <w:fldChar w:fldCharType="begin"/>
      </w:r>
      <w:r w:rsidRPr="00EB55CE">
        <w:instrText xml:space="preserve"> IF </w:instrText>
      </w:r>
      <w:r w:rsidRPr="00EB55CE">
        <w:rPr>
          <w:noProof/>
        </w:rPr>
        <w:fldChar w:fldCharType="begin"/>
      </w:r>
      <w:r w:rsidRPr="00EB55CE">
        <w:rPr>
          <w:noProof/>
        </w:rPr>
        <w:instrText xml:space="preserve"> STYLEREF "Heading 6" \l \n </w:instrText>
      </w:r>
      <w:r w:rsidRPr="00EB55CE">
        <w:rPr>
          <w:noProof/>
        </w:rPr>
        <w:fldChar w:fldCharType="separate"/>
      </w:r>
      <w:r w:rsidR="00AD3561">
        <w:rPr>
          <w:noProof/>
        </w:rPr>
        <w:instrText>0</w:instrText>
      </w:r>
      <w:r w:rsidRPr="00EB55CE">
        <w:rPr>
          <w:noProof/>
        </w:rPr>
        <w:fldChar w:fldCharType="end"/>
      </w:r>
      <w:r w:rsidRPr="00EB55CE">
        <w:instrText xml:space="preserve"> = 0 "</w:instrText>
      </w:r>
      <w:r w:rsidRPr="00EB55CE">
        <w:fldChar w:fldCharType="begin"/>
      </w:r>
      <w:r w:rsidRPr="00EB55CE">
        <w:instrText xml:space="preserve"> IF </w:instrText>
      </w:r>
      <w:r w:rsidRPr="00EB55CE">
        <w:rPr>
          <w:noProof/>
        </w:rPr>
        <w:fldChar w:fldCharType="begin"/>
      </w:r>
      <w:r w:rsidRPr="00EB55CE">
        <w:rPr>
          <w:noProof/>
        </w:rPr>
        <w:instrText xml:space="preserve"> STYLEREF "Heading 1" \l \n </w:instrText>
      </w:r>
      <w:r w:rsidRPr="00EB55CE">
        <w:rPr>
          <w:noProof/>
        </w:rPr>
        <w:fldChar w:fldCharType="separate"/>
      </w:r>
      <w:r w:rsidR="00AD3561">
        <w:rPr>
          <w:noProof/>
        </w:rPr>
        <w:instrText>1</w:instrText>
      </w:r>
      <w:r w:rsidRPr="00EB55CE">
        <w:rPr>
          <w:noProof/>
        </w:rPr>
        <w:fldChar w:fldCharType="end"/>
      </w:r>
      <w:r w:rsidRPr="00EB55CE">
        <w:instrText xml:space="preserve"> = 0 "" "</w:instrText>
      </w:r>
      <w:r w:rsidRPr="00EB55CE">
        <w:rPr>
          <w:noProof/>
        </w:rPr>
        <w:fldChar w:fldCharType="begin"/>
      </w:r>
      <w:r w:rsidRPr="00EB55CE">
        <w:rPr>
          <w:noProof/>
        </w:rPr>
        <w:instrText xml:space="preserve"> STYLEREF "Heading 1" \l \n </w:instrText>
      </w:r>
      <w:r w:rsidRPr="00EB55CE">
        <w:rPr>
          <w:noProof/>
        </w:rPr>
        <w:fldChar w:fldCharType="separate"/>
      </w:r>
      <w:r w:rsidR="00AD3561">
        <w:rPr>
          <w:noProof/>
        </w:rPr>
        <w:instrText>1</w:instrText>
      </w:r>
      <w:r w:rsidRPr="00EB55CE">
        <w:rPr>
          <w:noProof/>
        </w:rPr>
        <w:fldChar w:fldCharType="end"/>
      </w:r>
      <w:r w:rsidRPr="00EB55CE">
        <w:instrText xml:space="preserve">." </w:instrText>
      </w:r>
      <w:r w:rsidRPr="00EB55CE">
        <w:fldChar w:fldCharType="separate"/>
      </w:r>
      <w:r w:rsidR="00AD3561">
        <w:rPr>
          <w:noProof/>
        </w:rPr>
        <w:instrText>1</w:instrText>
      </w:r>
      <w:r w:rsidR="00AD3561" w:rsidRPr="00EB55CE">
        <w:rPr>
          <w:noProof/>
        </w:rPr>
        <w:instrText>.</w:instrText>
      </w:r>
      <w:r w:rsidRPr="00EB55CE">
        <w:fldChar w:fldCharType="end"/>
      </w:r>
      <w:r w:rsidRPr="00EB55CE">
        <w:instrText>" "</w:instrText>
      </w:r>
      <w:r w:rsidR="00C353B5">
        <w:fldChar w:fldCharType="begin"/>
      </w:r>
      <w:r w:rsidR="00C353B5">
        <w:instrText xml:space="preserve"> STYLEREF "Heading 6" \l \n </w:instrText>
      </w:r>
      <w:r w:rsidR="00C353B5">
        <w:fldChar w:fldCharType="separate"/>
      </w:r>
      <w:r w:rsidRPr="00EB55CE">
        <w:instrText>B</w:instrText>
      </w:r>
      <w:r w:rsidR="00C353B5">
        <w:fldChar w:fldCharType="end"/>
      </w:r>
      <w:r w:rsidRPr="00EB55CE">
        <w:instrText xml:space="preserve">." </w:instrText>
      </w:r>
      <w:r w:rsidRPr="00EB55CE">
        <w:fldChar w:fldCharType="separate"/>
      </w:r>
      <w:r w:rsidR="00C353B5">
        <w:rPr>
          <w:noProof/>
        </w:rPr>
        <w:instrText>1</w:instrText>
      </w:r>
      <w:r w:rsidR="00C353B5" w:rsidRPr="00EB55CE">
        <w:rPr>
          <w:noProof/>
        </w:rPr>
        <w:instrText>.</w:instrText>
      </w:r>
      <w:r w:rsidRPr="00EB55CE">
        <w:fldChar w:fldCharType="end"/>
      </w:r>
      <w:r w:rsidRPr="00EB55CE">
        <w:fldChar w:fldCharType="begin"/>
      </w:r>
      <w:r w:rsidRPr="00EB55CE">
        <w:instrText xml:space="preserve"> SEQ Item \* ARABIC \s </w:instrText>
      </w:r>
      <w:r w:rsidRPr="00EB55CE">
        <w:fldChar w:fldCharType="begin"/>
      </w:r>
      <w:r w:rsidRPr="00EB55CE">
        <w:instrText xml:space="preserve"> IF </w:instrText>
      </w:r>
      <w:r w:rsidRPr="00EB55CE">
        <w:rPr>
          <w:noProof/>
        </w:rPr>
        <w:fldChar w:fldCharType="begin"/>
      </w:r>
      <w:r w:rsidRPr="00EB55CE">
        <w:rPr>
          <w:noProof/>
        </w:rPr>
        <w:instrText xml:space="preserve"> STYLEREF "Heading 6" \l \n </w:instrText>
      </w:r>
      <w:r w:rsidRPr="00EB55CE">
        <w:rPr>
          <w:noProof/>
        </w:rPr>
        <w:fldChar w:fldCharType="separate"/>
      </w:r>
      <w:r w:rsidR="00AD3561">
        <w:rPr>
          <w:noProof/>
        </w:rPr>
        <w:instrText>0</w:instrText>
      </w:r>
      <w:r w:rsidRPr="00EB55CE">
        <w:rPr>
          <w:noProof/>
        </w:rPr>
        <w:fldChar w:fldCharType="end"/>
      </w:r>
      <w:r w:rsidRPr="00EB55CE">
        <w:instrText xml:space="preserve"> = 0 "</w:instrText>
      </w:r>
      <w:r w:rsidRPr="00EB55CE">
        <w:fldChar w:fldCharType="begin"/>
      </w:r>
      <w:r w:rsidRPr="00EB55CE">
        <w:instrText xml:space="preserve"> IF </w:instrText>
      </w:r>
      <w:r w:rsidRPr="00EB55CE">
        <w:rPr>
          <w:noProof/>
        </w:rPr>
        <w:fldChar w:fldCharType="begin"/>
      </w:r>
      <w:r w:rsidRPr="00EB55CE">
        <w:rPr>
          <w:noProof/>
        </w:rPr>
        <w:instrText xml:space="preserve"> STYLEREF "Heading 1" \l \n </w:instrText>
      </w:r>
      <w:r w:rsidRPr="00EB55CE">
        <w:rPr>
          <w:noProof/>
        </w:rPr>
        <w:fldChar w:fldCharType="separate"/>
      </w:r>
      <w:r w:rsidR="00AD3561">
        <w:rPr>
          <w:noProof/>
        </w:rPr>
        <w:instrText>1</w:instrText>
      </w:r>
      <w:r w:rsidRPr="00EB55CE">
        <w:rPr>
          <w:noProof/>
        </w:rPr>
        <w:fldChar w:fldCharType="end"/>
      </w:r>
      <w:r w:rsidRPr="00EB55CE">
        <w:instrText xml:space="preserve"> = 0 "" "1" </w:instrText>
      </w:r>
      <w:r w:rsidRPr="00EB55CE">
        <w:fldChar w:fldCharType="separate"/>
      </w:r>
      <w:r w:rsidR="00C353B5" w:rsidRPr="00EB55CE">
        <w:rPr>
          <w:noProof/>
        </w:rPr>
        <w:instrText>1</w:instrText>
      </w:r>
      <w:r w:rsidRPr="00EB55CE">
        <w:fldChar w:fldCharType="end"/>
      </w:r>
      <w:r w:rsidRPr="00EB55CE">
        <w:instrText xml:space="preserve">" "6" </w:instrText>
      </w:r>
      <w:r w:rsidRPr="00EB55CE">
        <w:fldChar w:fldCharType="separate"/>
      </w:r>
      <w:r w:rsidR="00C353B5" w:rsidRPr="00EB55CE">
        <w:rPr>
          <w:noProof/>
        </w:rPr>
        <w:instrText>1</w:instrText>
      </w:r>
      <w:r w:rsidRPr="00EB55CE">
        <w:fldChar w:fldCharType="end"/>
      </w:r>
      <w:r w:rsidRPr="00EB55CE">
        <w:instrText xml:space="preserve"> </w:instrText>
      </w:r>
      <w:r w:rsidRPr="00EB55CE">
        <w:fldChar w:fldCharType="separate"/>
      </w:r>
      <w:r w:rsidR="00AD3561">
        <w:rPr>
          <w:noProof/>
        </w:rPr>
        <w:instrText>5</w:instrText>
      </w:r>
      <w:r w:rsidRPr="00EB55CE">
        <w:fldChar w:fldCharType="end"/>
      </w:r>
      <w:r w:rsidRPr="00EB55CE">
        <w:instrText xml:space="preserve">" "" </w:instrText>
      </w:r>
      <w:r w:rsidRPr="00EB55CE">
        <w:fldChar w:fldCharType="separate"/>
      </w:r>
      <w:bookmarkStart w:id="546" w:name="_Caption1227"/>
      <w:bookmarkStart w:id="547" w:name="_Caption5543"/>
      <w:bookmarkStart w:id="548" w:name="_Caption9027"/>
      <w:bookmarkStart w:id="549" w:name="_Caption5780"/>
      <w:bookmarkStart w:id="550" w:name="_Caption9589"/>
      <w:bookmarkStart w:id="551" w:name="_Caption2206"/>
      <w:bookmarkStart w:id="552" w:name="_Caption0140"/>
      <w:bookmarkStart w:id="553" w:name="_Caption2474"/>
      <w:bookmarkStart w:id="554" w:name="_Caption3897"/>
      <w:bookmarkStart w:id="555" w:name="_Caption5424"/>
      <w:bookmarkStart w:id="556" w:name="_Caption3968"/>
      <w:bookmarkStart w:id="557" w:name="_Caption1182"/>
      <w:bookmarkStart w:id="558" w:name="_Caption4849"/>
      <w:bookmarkStart w:id="559" w:name="_Caption4446"/>
      <w:bookmarkStart w:id="560" w:name="_Caption3526"/>
      <w:bookmarkStart w:id="561" w:name="_Caption9545"/>
      <w:bookmarkStart w:id="562" w:name="_Caption0757"/>
      <w:bookmarkStart w:id="563" w:name="_Caption0253"/>
      <w:bookmarkStart w:id="564" w:name="_Caption7996"/>
      <w:bookmarkStart w:id="565" w:name="_Caption6430"/>
      <w:bookmarkStart w:id="566" w:name="_Caption2827"/>
      <w:bookmarkStart w:id="567" w:name="_Caption5914"/>
      <w:bookmarkStart w:id="568" w:name="_Caption7379"/>
      <w:bookmarkStart w:id="569" w:name="_Caption2019"/>
      <w:bookmarkStart w:id="570" w:name="_Caption2951"/>
      <w:bookmarkStart w:id="571" w:name="_Caption8462"/>
      <w:bookmarkStart w:id="572" w:name="_Caption1147"/>
      <w:bookmarkStart w:id="573" w:name="_Caption1419"/>
      <w:bookmarkStart w:id="574" w:name="_Caption1062"/>
      <w:bookmarkStart w:id="575" w:name="_Caption7561"/>
      <w:bookmarkStart w:id="576" w:name="_Caption0561"/>
      <w:bookmarkStart w:id="577" w:name="_Caption2190"/>
      <w:bookmarkStart w:id="578" w:name="_Caption5808"/>
      <w:bookmarkStart w:id="579" w:name="_Caption9559"/>
      <w:bookmarkStart w:id="580" w:name="_Caption2567"/>
      <w:bookmarkStart w:id="581" w:name="_Caption8911"/>
      <w:bookmarkStart w:id="582" w:name="_Caption7443"/>
      <w:bookmarkStart w:id="583" w:name="_Caption1762"/>
      <w:bookmarkStart w:id="584" w:name="_Caption8959"/>
      <w:bookmarkStart w:id="585" w:name="_Caption8353"/>
      <w:bookmarkStart w:id="586" w:name="_Caption0871"/>
      <w:bookmarkStart w:id="587" w:name="_Caption3927"/>
      <w:bookmarkStart w:id="588" w:name="_Caption2415"/>
      <w:bookmarkStart w:id="589" w:name="_Caption2120"/>
      <w:bookmarkStart w:id="590" w:name="_Caption5991"/>
      <w:bookmarkStart w:id="591" w:name="_Toc19275564"/>
      <w:bookmarkStart w:id="592" w:name="_Toc19276174"/>
      <w:bookmarkStart w:id="593" w:name="_Toc19280173"/>
      <w:r w:rsidR="00C353B5">
        <w:rPr>
          <w:noProof/>
        </w:rPr>
        <w:t>1</w:t>
      </w:r>
      <w:r w:rsidR="00C353B5" w:rsidRPr="00EB55CE">
        <w:rPr>
          <w:noProof/>
        </w:rPr>
        <w:t>.</w:t>
      </w:r>
      <w:r w:rsidR="00C353B5">
        <w:rPr>
          <w:noProof/>
        </w:rPr>
        <w:t>5</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sidRPr="00EB55CE">
        <w:fldChar w:fldCharType="end"/>
      </w:r>
      <w:r w:rsidRPr="00EB55CE">
        <w:tab/>
        <w:t>Energy use in commercial buildings</w:t>
      </w:r>
      <w:bookmarkEnd w:id="591"/>
      <w:bookmarkEnd w:id="592"/>
      <w:bookmarkEnd w:id="593"/>
    </w:p>
    <w:tbl>
      <w:tblPr>
        <w:tblW w:w="0" w:type="auto"/>
        <w:tblLayout w:type="fixed"/>
        <w:tblLook w:val="0000" w:firstRow="0" w:lastRow="0" w:firstColumn="0" w:lastColumn="0" w:noHBand="0" w:noVBand="0"/>
      </w:tblPr>
      <w:tblGrid>
        <w:gridCol w:w="3686"/>
        <w:gridCol w:w="1417"/>
        <w:gridCol w:w="1417"/>
        <w:gridCol w:w="1417"/>
      </w:tblGrid>
      <w:tr w:rsidR="00ED0E85" w14:paraId="369B63F7" w14:textId="77777777" w:rsidTr="00ED0E85">
        <w:trPr>
          <w:tblHeader/>
        </w:trPr>
        <w:tc>
          <w:tcPr>
            <w:tcW w:w="3686" w:type="dxa"/>
            <w:shd w:val="clear" w:color="auto" w:fill="6F6652"/>
            <w:tcMar>
              <w:left w:w="57" w:type="dxa"/>
              <w:right w:w="57" w:type="dxa"/>
            </w:tcMar>
          </w:tcPr>
          <w:p w14:paraId="6287E50C" w14:textId="77777777" w:rsidR="00ED0E85" w:rsidRDefault="00ED0E85" w:rsidP="00ED0E85">
            <w:pPr>
              <w:pStyle w:val="TableDataColumnHeading"/>
              <w:jc w:val="left"/>
            </w:pPr>
          </w:p>
        </w:tc>
        <w:tc>
          <w:tcPr>
            <w:tcW w:w="1417" w:type="dxa"/>
            <w:shd w:val="clear" w:color="auto" w:fill="6F6652"/>
            <w:tcMar>
              <w:left w:w="57" w:type="dxa"/>
              <w:right w:w="57" w:type="dxa"/>
            </w:tcMar>
          </w:tcPr>
          <w:p w14:paraId="126ADBC6" w14:textId="77777777" w:rsidR="00ED0E85" w:rsidRDefault="00ED0E85" w:rsidP="00ED0E85">
            <w:pPr>
              <w:pStyle w:val="TableDataColumnHeading"/>
            </w:pPr>
            <w:r>
              <w:t>Area</w:t>
            </w:r>
          </w:p>
        </w:tc>
        <w:tc>
          <w:tcPr>
            <w:tcW w:w="1417" w:type="dxa"/>
            <w:shd w:val="clear" w:color="auto" w:fill="6F6652"/>
          </w:tcPr>
          <w:p w14:paraId="287DE950" w14:textId="77777777" w:rsidR="00ED0E85" w:rsidRDefault="00ED0E85" w:rsidP="00ED0E85">
            <w:pPr>
              <w:pStyle w:val="TableDataColumnHeading"/>
            </w:pPr>
            <w:r>
              <w:t>Energy use</w:t>
            </w:r>
          </w:p>
        </w:tc>
        <w:tc>
          <w:tcPr>
            <w:tcW w:w="1417" w:type="dxa"/>
            <w:shd w:val="clear" w:color="auto" w:fill="6F6652"/>
            <w:tcMar>
              <w:left w:w="57" w:type="dxa"/>
              <w:right w:w="57" w:type="dxa"/>
            </w:tcMar>
          </w:tcPr>
          <w:p w14:paraId="016C6640" w14:textId="77777777" w:rsidR="00ED0E85" w:rsidRDefault="00ED0E85" w:rsidP="00ED0E85">
            <w:pPr>
              <w:pStyle w:val="TableDataColumnHeading"/>
            </w:pPr>
            <w:r>
              <w:t>Share of Australia’s electricity and gas consumption</w:t>
            </w:r>
          </w:p>
        </w:tc>
      </w:tr>
      <w:tr w:rsidR="00ED0E85" w14:paraId="70BB4C7C" w14:textId="77777777" w:rsidTr="00ED0E85">
        <w:trPr>
          <w:tblHeader/>
        </w:trPr>
        <w:tc>
          <w:tcPr>
            <w:tcW w:w="3686" w:type="dxa"/>
            <w:tcBorders>
              <w:bottom w:val="single" w:sz="8" w:space="0" w:color="FFFFFF" w:themeColor="background1"/>
            </w:tcBorders>
            <w:shd w:val="clear" w:color="auto" w:fill="auto"/>
            <w:tcMar>
              <w:left w:w="57" w:type="dxa"/>
              <w:right w:w="57" w:type="dxa"/>
            </w:tcMar>
          </w:tcPr>
          <w:p w14:paraId="0256D5D9" w14:textId="77777777" w:rsidR="00ED0E85" w:rsidRDefault="00ED0E85" w:rsidP="00ED0E85">
            <w:pPr>
              <w:pStyle w:val="TableUnit"/>
              <w:jc w:val="left"/>
            </w:pPr>
          </w:p>
        </w:tc>
        <w:tc>
          <w:tcPr>
            <w:tcW w:w="1417" w:type="dxa"/>
            <w:tcBorders>
              <w:bottom w:val="single" w:sz="8" w:space="0" w:color="FFFFFF" w:themeColor="background1"/>
            </w:tcBorders>
            <w:shd w:val="clear" w:color="auto" w:fill="auto"/>
            <w:tcMar>
              <w:left w:w="57" w:type="dxa"/>
              <w:right w:w="57" w:type="dxa"/>
            </w:tcMar>
          </w:tcPr>
          <w:p w14:paraId="58569FFA" w14:textId="77777777" w:rsidR="00ED0E85" w:rsidRDefault="00ED0E85" w:rsidP="00ED0E85">
            <w:pPr>
              <w:pStyle w:val="TableUnit"/>
            </w:pPr>
            <w:r>
              <w:t>Million m</w:t>
            </w:r>
            <w:r w:rsidRPr="009253DC">
              <w:rPr>
                <w:vertAlign w:val="superscript"/>
              </w:rPr>
              <w:t>2</w:t>
            </w:r>
          </w:p>
        </w:tc>
        <w:tc>
          <w:tcPr>
            <w:tcW w:w="1417" w:type="dxa"/>
            <w:tcBorders>
              <w:bottom w:val="single" w:sz="8" w:space="0" w:color="FFFFFF" w:themeColor="background1"/>
            </w:tcBorders>
            <w:shd w:val="clear" w:color="auto" w:fill="auto"/>
          </w:tcPr>
          <w:p w14:paraId="0E4411DE" w14:textId="77777777" w:rsidR="00ED0E85" w:rsidRDefault="00ED0E85" w:rsidP="00ED0E85">
            <w:pPr>
              <w:pStyle w:val="TableUnit"/>
            </w:pPr>
            <w:r>
              <w:t>PJ/year</w:t>
            </w:r>
          </w:p>
        </w:tc>
        <w:tc>
          <w:tcPr>
            <w:tcW w:w="1417" w:type="dxa"/>
            <w:tcBorders>
              <w:bottom w:val="single" w:sz="8" w:space="0" w:color="FFFFFF" w:themeColor="background1"/>
            </w:tcBorders>
            <w:shd w:val="clear" w:color="auto" w:fill="auto"/>
            <w:tcMar>
              <w:left w:w="57" w:type="dxa"/>
              <w:right w:w="57" w:type="dxa"/>
            </w:tcMar>
          </w:tcPr>
          <w:p w14:paraId="646E262C" w14:textId="77777777" w:rsidR="00ED0E85" w:rsidRDefault="00ED0E85" w:rsidP="00ED0E85">
            <w:pPr>
              <w:pStyle w:val="TableUnit"/>
            </w:pPr>
            <w:r>
              <w:t>Per cent</w:t>
            </w:r>
          </w:p>
        </w:tc>
      </w:tr>
      <w:tr w:rsidR="00ED0E85" w14:paraId="00CD7AD1" w14:textId="77777777" w:rsidTr="00ED0E85">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721D77" w14:textId="77777777" w:rsidR="00ED0E85" w:rsidRDefault="00ED0E85" w:rsidP="00ED0E85">
            <w:pPr>
              <w:pStyle w:val="TableDataEntries"/>
              <w:jc w:val="left"/>
            </w:pPr>
            <w:r>
              <w:t>Buildings rated under CBD Program</w:t>
            </w:r>
            <w:r>
              <w:rPr>
                <w:rStyle w:val="NoteLabel"/>
              </w:rPr>
              <w:t xml:space="preserve"> a</w:t>
            </w:r>
          </w:p>
        </w:tc>
        <w:tc>
          <w:tcPr>
            <w:tcW w:w="14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0E15824" w14:textId="77777777" w:rsidR="00ED0E85" w:rsidRDefault="00ED0E85" w:rsidP="00ED0E85">
            <w:pPr>
              <w:pStyle w:val="TableDataEntries"/>
            </w:pPr>
            <w:r>
              <w:rPr>
                <w:szCs w:val="16"/>
              </w:rPr>
              <w:t>20</w:t>
            </w:r>
          </w:p>
        </w:tc>
        <w:tc>
          <w:tcPr>
            <w:tcW w:w="1417" w:type="dxa"/>
            <w:tcBorders>
              <w:top w:val="single" w:sz="8" w:space="0" w:color="FFFFFF" w:themeColor="background1"/>
              <w:bottom w:val="single" w:sz="8" w:space="0" w:color="FFFFFF" w:themeColor="background1"/>
            </w:tcBorders>
            <w:shd w:val="clear" w:color="auto" w:fill="E9E8E5" w:themeFill="background2"/>
            <w:vAlign w:val="center"/>
          </w:tcPr>
          <w:p w14:paraId="7FFF24DB" w14:textId="77777777" w:rsidR="00ED0E85" w:rsidRDefault="00ED0E85" w:rsidP="00ED0E85">
            <w:pPr>
              <w:pStyle w:val="TableDataEntries"/>
            </w:pPr>
            <w:r>
              <w:rPr>
                <w:szCs w:val="16"/>
              </w:rPr>
              <w:t>11</w:t>
            </w:r>
          </w:p>
        </w:tc>
        <w:tc>
          <w:tcPr>
            <w:tcW w:w="14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A35E635" w14:textId="77777777" w:rsidR="00ED0E85" w:rsidRDefault="00ED0E85" w:rsidP="00ED0E85">
            <w:pPr>
              <w:pStyle w:val="TableDataEntries"/>
            </w:pPr>
            <w:r>
              <w:rPr>
                <w:szCs w:val="16"/>
              </w:rPr>
              <w:t>0.6</w:t>
            </w:r>
          </w:p>
        </w:tc>
      </w:tr>
      <w:tr w:rsidR="00ED0E85" w14:paraId="41ACCCC3" w14:textId="77777777" w:rsidTr="00ED0E85">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ED4544" w14:textId="77777777" w:rsidR="00ED0E85" w:rsidRDefault="00ED0E85" w:rsidP="00ED0E85">
            <w:pPr>
              <w:pStyle w:val="TableDataEntries"/>
              <w:jc w:val="left"/>
            </w:pPr>
            <w:r>
              <w:t>Shopping centres rated under NABERS</w:t>
            </w:r>
            <w:r>
              <w:rPr>
                <w:rStyle w:val="NoteLabel"/>
              </w:rPr>
              <w:t xml:space="preserve"> b</w:t>
            </w:r>
          </w:p>
        </w:tc>
        <w:tc>
          <w:tcPr>
            <w:tcW w:w="14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A873B63" w14:textId="77777777" w:rsidR="00ED0E85" w:rsidRDefault="00ED0E85" w:rsidP="00ED0E85">
            <w:pPr>
              <w:pStyle w:val="TableDataEntries"/>
            </w:pPr>
            <w:r>
              <w:rPr>
                <w:szCs w:val="16"/>
              </w:rPr>
              <w:t>8</w:t>
            </w:r>
          </w:p>
        </w:tc>
        <w:tc>
          <w:tcPr>
            <w:tcW w:w="1417" w:type="dxa"/>
            <w:tcBorders>
              <w:top w:val="single" w:sz="8" w:space="0" w:color="FFFFFF" w:themeColor="background1"/>
              <w:bottom w:val="single" w:sz="8" w:space="0" w:color="FFFFFF" w:themeColor="background1"/>
            </w:tcBorders>
            <w:shd w:val="clear" w:color="auto" w:fill="E9E8E5" w:themeFill="background2"/>
            <w:vAlign w:val="center"/>
          </w:tcPr>
          <w:p w14:paraId="10FE29AC" w14:textId="77777777" w:rsidR="00ED0E85" w:rsidRDefault="00ED0E85" w:rsidP="00ED0E85">
            <w:pPr>
              <w:pStyle w:val="TableDataEntries"/>
            </w:pPr>
            <w:r>
              <w:rPr>
                <w:szCs w:val="16"/>
              </w:rPr>
              <w:t>3</w:t>
            </w:r>
          </w:p>
        </w:tc>
        <w:tc>
          <w:tcPr>
            <w:tcW w:w="14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19163C2" w14:textId="77777777" w:rsidR="00ED0E85" w:rsidRDefault="00ED0E85" w:rsidP="00ED0E85">
            <w:pPr>
              <w:pStyle w:val="TableDataEntries"/>
            </w:pPr>
            <w:r>
              <w:rPr>
                <w:szCs w:val="16"/>
              </w:rPr>
              <w:t>0.2</w:t>
            </w:r>
          </w:p>
        </w:tc>
      </w:tr>
      <w:tr w:rsidR="00ED0E85" w14:paraId="0BC72742" w14:textId="77777777" w:rsidTr="00ED0E85">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383307" w14:textId="77777777" w:rsidR="00ED0E85" w:rsidRDefault="00ED0E85" w:rsidP="00ED0E85">
            <w:pPr>
              <w:pStyle w:val="TableDataEntries"/>
              <w:jc w:val="left"/>
            </w:pPr>
            <w:r>
              <w:t>Shopping centres that could be rated using NABERS but are not currently</w:t>
            </w:r>
            <w:r w:rsidRPr="00E4232C">
              <w:rPr>
                <w:rStyle w:val="NoteLabel"/>
              </w:rPr>
              <w:t xml:space="preserve"> </w:t>
            </w:r>
            <w:r>
              <w:rPr>
                <w:rStyle w:val="NoteLabel"/>
              </w:rPr>
              <w:t>c</w:t>
            </w:r>
          </w:p>
        </w:tc>
        <w:tc>
          <w:tcPr>
            <w:tcW w:w="14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00A5ED9" w14:textId="77777777" w:rsidR="00ED0E85" w:rsidRDefault="00ED0E85" w:rsidP="00ED0E85">
            <w:pPr>
              <w:pStyle w:val="TableDataEntries"/>
            </w:pPr>
            <w:r>
              <w:rPr>
                <w:szCs w:val="16"/>
              </w:rPr>
              <w:t>8</w:t>
            </w:r>
          </w:p>
        </w:tc>
        <w:tc>
          <w:tcPr>
            <w:tcW w:w="1417" w:type="dxa"/>
            <w:tcBorders>
              <w:top w:val="single" w:sz="8" w:space="0" w:color="FFFFFF" w:themeColor="background1"/>
              <w:bottom w:val="single" w:sz="8" w:space="0" w:color="FFFFFF" w:themeColor="background1"/>
            </w:tcBorders>
            <w:shd w:val="clear" w:color="auto" w:fill="E9E8E5" w:themeFill="background2"/>
            <w:vAlign w:val="center"/>
          </w:tcPr>
          <w:p w14:paraId="78E5735C" w14:textId="77777777" w:rsidR="00ED0E85" w:rsidRDefault="00ED0E85" w:rsidP="00ED0E85">
            <w:pPr>
              <w:pStyle w:val="TableDataEntries"/>
            </w:pPr>
            <w:r>
              <w:rPr>
                <w:szCs w:val="16"/>
              </w:rPr>
              <w:t>3</w:t>
            </w:r>
          </w:p>
        </w:tc>
        <w:tc>
          <w:tcPr>
            <w:tcW w:w="14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5878A09" w14:textId="77777777" w:rsidR="00ED0E85" w:rsidRDefault="00ED0E85" w:rsidP="00ED0E85">
            <w:pPr>
              <w:pStyle w:val="TableDataEntries"/>
            </w:pPr>
            <w:r>
              <w:rPr>
                <w:szCs w:val="16"/>
              </w:rPr>
              <w:t>0.2</w:t>
            </w:r>
          </w:p>
        </w:tc>
      </w:tr>
      <w:tr w:rsidR="00ED0E85" w14:paraId="763CC713" w14:textId="77777777" w:rsidTr="00ED0E85">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39B3FD" w14:textId="77777777" w:rsidR="00ED0E85" w:rsidRDefault="00ED0E85" w:rsidP="00ED0E85">
            <w:pPr>
              <w:pStyle w:val="TableDataEntries"/>
              <w:jc w:val="left"/>
            </w:pPr>
            <w:r>
              <w:t>Hotels that could be rated under NABERS with more than 100 rooms</w:t>
            </w:r>
            <w:r>
              <w:rPr>
                <w:rStyle w:val="NoteLabel"/>
              </w:rPr>
              <w:t xml:space="preserve"> d</w:t>
            </w:r>
          </w:p>
        </w:tc>
        <w:tc>
          <w:tcPr>
            <w:tcW w:w="14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ABAE6C6" w14:textId="77777777" w:rsidR="00ED0E85" w:rsidRDefault="00ED0E85" w:rsidP="00ED0E85">
            <w:pPr>
              <w:pStyle w:val="TableDataEntries"/>
            </w:pPr>
            <w:r>
              <w:rPr>
                <w:szCs w:val="16"/>
              </w:rPr>
              <w:t>na</w:t>
            </w:r>
          </w:p>
        </w:tc>
        <w:tc>
          <w:tcPr>
            <w:tcW w:w="1417" w:type="dxa"/>
            <w:tcBorders>
              <w:top w:val="single" w:sz="8" w:space="0" w:color="FFFFFF" w:themeColor="background1"/>
              <w:bottom w:val="single" w:sz="8" w:space="0" w:color="FFFFFF" w:themeColor="background1"/>
            </w:tcBorders>
            <w:shd w:val="clear" w:color="auto" w:fill="E9E8E5" w:themeFill="background2"/>
            <w:vAlign w:val="center"/>
          </w:tcPr>
          <w:p w14:paraId="5F340921" w14:textId="77777777" w:rsidR="00ED0E85" w:rsidRDefault="00ED0E85" w:rsidP="00ED0E85">
            <w:pPr>
              <w:pStyle w:val="TableDataEntries"/>
            </w:pPr>
            <w:r>
              <w:rPr>
                <w:szCs w:val="16"/>
              </w:rPr>
              <w:t>6</w:t>
            </w:r>
          </w:p>
        </w:tc>
        <w:tc>
          <w:tcPr>
            <w:tcW w:w="14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6A4F109A" w14:textId="77777777" w:rsidR="00ED0E85" w:rsidRDefault="00ED0E85" w:rsidP="00ED0E85">
            <w:pPr>
              <w:pStyle w:val="TableDataEntries"/>
            </w:pPr>
            <w:r>
              <w:rPr>
                <w:szCs w:val="16"/>
              </w:rPr>
              <w:t>0.3</w:t>
            </w:r>
          </w:p>
        </w:tc>
      </w:tr>
      <w:tr w:rsidR="00ED0E85" w:rsidRPr="00EB55CE" w14:paraId="0EBC0CA3" w14:textId="77777777" w:rsidTr="00ED0E85">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AE09A8" w14:textId="77777777" w:rsidR="00ED0E85" w:rsidRPr="00EB55CE" w:rsidRDefault="00ED0E85" w:rsidP="00ED0E85">
            <w:pPr>
              <w:pStyle w:val="TableDataEntries"/>
              <w:jc w:val="left"/>
            </w:pPr>
            <w:r w:rsidRPr="00EB55CE">
              <w:t>Data centres that could be rated under NABERS</w:t>
            </w:r>
          </w:p>
        </w:tc>
        <w:tc>
          <w:tcPr>
            <w:tcW w:w="14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3B53F48" w14:textId="77777777" w:rsidR="00ED0E85" w:rsidRPr="00EB55CE" w:rsidRDefault="00ED0E85" w:rsidP="00ED0E85">
            <w:pPr>
              <w:pStyle w:val="TableDataEntries"/>
            </w:pPr>
            <w:r w:rsidRPr="00EB55CE">
              <w:rPr>
                <w:szCs w:val="16"/>
              </w:rPr>
              <w:t>na </w:t>
            </w:r>
          </w:p>
        </w:tc>
        <w:tc>
          <w:tcPr>
            <w:tcW w:w="1417" w:type="dxa"/>
            <w:tcBorders>
              <w:top w:val="single" w:sz="8" w:space="0" w:color="FFFFFF" w:themeColor="background1"/>
              <w:bottom w:val="single" w:sz="8" w:space="0" w:color="FFFFFF" w:themeColor="background1"/>
            </w:tcBorders>
            <w:shd w:val="clear" w:color="auto" w:fill="E9E8E5" w:themeFill="background2"/>
            <w:vAlign w:val="center"/>
          </w:tcPr>
          <w:p w14:paraId="0B49916A" w14:textId="77777777" w:rsidR="00ED0E85" w:rsidRPr="00EB55CE" w:rsidRDefault="00ED0E85" w:rsidP="00ED0E85">
            <w:pPr>
              <w:pStyle w:val="TableDataEntries"/>
            </w:pPr>
            <w:r w:rsidRPr="00EB55CE">
              <w:rPr>
                <w:szCs w:val="16"/>
              </w:rPr>
              <w:t>6+ </w:t>
            </w:r>
          </w:p>
        </w:tc>
        <w:tc>
          <w:tcPr>
            <w:tcW w:w="14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05C447C" w14:textId="77777777" w:rsidR="00ED0E85" w:rsidRPr="00EB55CE" w:rsidRDefault="00ED0E85" w:rsidP="00ED0E85">
            <w:pPr>
              <w:pStyle w:val="TableDataEntries"/>
            </w:pPr>
            <w:r w:rsidRPr="00EB55CE">
              <w:rPr>
                <w:szCs w:val="16"/>
              </w:rPr>
              <w:t>0.3+ </w:t>
            </w:r>
          </w:p>
        </w:tc>
      </w:tr>
      <w:tr w:rsidR="00ED0E85" w14:paraId="05CD55F3" w14:textId="77777777" w:rsidTr="00ED0E85">
        <w:tc>
          <w:tcPr>
            <w:tcW w:w="368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3D768B" w14:textId="77777777" w:rsidR="00ED0E85" w:rsidRPr="00681DC3" w:rsidRDefault="00ED0E85" w:rsidP="00ED0E85">
            <w:pPr>
              <w:pStyle w:val="TableDataEntries"/>
              <w:jc w:val="left"/>
            </w:pPr>
            <w:r w:rsidRPr="00681DC3">
              <w:t>Tenancies that could be rated under NABERS</w:t>
            </w:r>
          </w:p>
        </w:tc>
        <w:tc>
          <w:tcPr>
            <w:tcW w:w="14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3F9AE94" w14:textId="77777777" w:rsidR="00ED0E85" w:rsidRPr="00681DC3" w:rsidRDefault="00ED0E85" w:rsidP="00ED0E85">
            <w:pPr>
              <w:pStyle w:val="TableDataEntries"/>
            </w:pPr>
            <w:r w:rsidRPr="00681DC3">
              <w:rPr>
                <w:szCs w:val="16"/>
              </w:rPr>
              <w:t>20 </w:t>
            </w:r>
          </w:p>
        </w:tc>
        <w:tc>
          <w:tcPr>
            <w:tcW w:w="1417" w:type="dxa"/>
            <w:tcBorders>
              <w:top w:val="single" w:sz="8" w:space="0" w:color="FFFFFF" w:themeColor="background1"/>
              <w:bottom w:val="single" w:sz="8" w:space="0" w:color="FFFFFF" w:themeColor="background1"/>
            </w:tcBorders>
            <w:shd w:val="clear" w:color="auto" w:fill="E9E8E5" w:themeFill="background2"/>
            <w:vAlign w:val="center"/>
          </w:tcPr>
          <w:p w14:paraId="2CAB35D0" w14:textId="77777777" w:rsidR="00ED0E85" w:rsidRPr="00681DC3" w:rsidRDefault="00ED0E85" w:rsidP="00ED0E85">
            <w:pPr>
              <w:pStyle w:val="TableDataEntries"/>
            </w:pPr>
            <w:r w:rsidRPr="00681DC3">
              <w:rPr>
                <w:szCs w:val="16"/>
              </w:rPr>
              <w:t>8 </w:t>
            </w:r>
          </w:p>
        </w:tc>
        <w:tc>
          <w:tcPr>
            <w:tcW w:w="141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F3C426E" w14:textId="77777777" w:rsidR="00ED0E85" w:rsidRPr="00681DC3" w:rsidRDefault="00ED0E85" w:rsidP="00ED0E85">
            <w:pPr>
              <w:pStyle w:val="TableDataEntries"/>
            </w:pPr>
            <w:r w:rsidRPr="00681DC3">
              <w:rPr>
                <w:szCs w:val="16"/>
              </w:rPr>
              <w:t>0.4 </w:t>
            </w:r>
          </w:p>
        </w:tc>
      </w:tr>
      <w:tr w:rsidR="00ED0E85" w:rsidRPr="00D51F68" w14:paraId="7E20D01D" w14:textId="77777777" w:rsidTr="00ED0E85">
        <w:tc>
          <w:tcPr>
            <w:tcW w:w="368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166F28A" w14:textId="77777777" w:rsidR="00ED0E85" w:rsidRPr="00EB55CE" w:rsidRDefault="00ED0E85" w:rsidP="00ED0E85">
            <w:pPr>
              <w:pStyle w:val="TableDataEntries"/>
              <w:jc w:val="left"/>
              <w:rPr>
                <w:rFonts w:ascii="Franklin Gothic Demi" w:hAnsi="Franklin Gothic Demi"/>
              </w:rPr>
            </w:pPr>
            <w:r w:rsidRPr="00EB55CE">
              <w:rPr>
                <w:rFonts w:ascii="Franklin Gothic Demi" w:hAnsi="Franklin Gothic Demi"/>
              </w:rPr>
              <w:t>Total</w:t>
            </w:r>
          </w:p>
        </w:tc>
        <w:tc>
          <w:tcPr>
            <w:tcW w:w="1417"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center"/>
          </w:tcPr>
          <w:p w14:paraId="557378DD" w14:textId="77777777" w:rsidR="00ED0E85" w:rsidRPr="00EB55CE" w:rsidRDefault="00ED0E85" w:rsidP="00ED0E85">
            <w:pPr>
              <w:pStyle w:val="TableDataEntries"/>
              <w:rPr>
                <w:rFonts w:ascii="Franklin Gothic Demi" w:hAnsi="Franklin Gothic Demi"/>
              </w:rPr>
            </w:pPr>
            <w:r w:rsidRPr="00EB55CE">
              <w:rPr>
                <w:rFonts w:ascii="Franklin Gothic Demi" w:hAnsi="Franklin Gothic Demi"/>
              </w:rPr>
              <w:t>na</w:t>
            </w:r>
          </w:p>
        </w:tc>
        <w:tc>
          <w:tcPr>
            <w:tcW w:w="1417" w:type="dxa"/>
            <w:tcBorders>
              <w:top w:val="single" w:sz="8" w:space="0" w:color="FFFFFF" w:themeColor="background1"/>
              <w:bottom w:val="single" w:sz="6" w:space="0" w:color="6F6652"/>
            </w:tcBorders>
            <w:shd w:val="clear" w:color="auto" w:fill="C2DADB" w:themeFill="accent6" w:themeFillTint="99"/>
            <w:vAlign w:val="center"/>
          </w:tcPr>
          <w:p w14:paraId="49F0A33B" w14:textId="77777777" w:rsidR="00ED0E85" w:rsidRPr="00EB55CE" w:rsidRDefault="00ED0E85" w:rsidP="00ED0E85">
            <w:pPr>
              <w:pStyle w:val="TableDataEntries"/>
              <w:rPr>
                <w:rFonts w:ascii="Franklin Gothic Demi" w:hAnsi="Franklin Gothic Demi"/>
              </w:rPr>
            </w:pPr>
            <w:r w:rsidRPr="00EB55CE">
              <w:rPr>
                <w:rFonts w:ascii="Franklin Gothic Demi" w:hAnsi="Franklin Gothic Demi"/>
              </w:rPr>
              <w:t>37+</w:t>
            </w:r>
          </w:p>
        </w:tc>
        <w:tc>
          <w:tcPr>
            <w:tcW w:w="1417"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center"/>
          </w:tcPr>
          <w:p w14:paraId="2FB2EC52" w14:textId="77777777" w:rsidR="00ED0E85" w:rsidRPr="00EB55CE" w:rsidRDefault="00ED0E85" w:rsidP="00ED0E85">
            <w:pPr>
              <w:pStyle w:val="TableDataEntries"/>
              <w:rPr>
                <w:rFonts w:ascii="Franklin Gothic Demi" w:hAnsi="Franklin Gothic Demi"/>
              </w:rPr>
            </w:pPr>
            <w:r w:rsidRPr="00EB55CE">
              <w:rPr>
                <w:rFonts w:ascii="Franklin Gothic Demi" w:hAnsi="Franklin Gothic Demi"/>
              </w:rPr>
              <w:t>2.0+</w:t>
            </w:r>
          </w:p>
        </w:tc>
      </w:tr>
    </w:tbl>
    <w:p w14:paraId="4BDCEFEE" w14:textId="77777777" w:rsidR="00ED0E85" w:rsidRPr="0028740D" w:rsidRDefault="00ED0E85" w:rsidP="00ED0E85">
      <w:pPr>
        <w:pStyle w:val="Note"/>
      </w:pPr>
      <w:r>
        <w:rPr>
          <w:rStyle w:val="NoteLabel"/>
        </w:rPr>
        <w:t>a</w:t>
      </w:r>
      <w:r>
        <w:t xml:space="preserve"> Sum of annual energy use from latest BEEC for each building. Note that the timing of this measure is different for each building and for most buildings only includes base building energy. </w:t>
      </w:r>
      <w:r>
        <w:rPr>
          <w:rStyle w:val="NoteLabel"/>
        </w:rPr>
        <w:t xml:space="preserve">b </w:t>
      </w:r>
      <w:r>
        <w:t xml:space="preserve">For shopping centres rated in 2018. </w:t>
      </w:r>
      <w:r>
        <w:rPr>
          <w:rStyle w:val="NoteLabel"/>
        </w:rPr>
        <w:t xml:space="preserve">c </w:t>
      </w:r>
      <w:r>
        <w:t>Based on dataset of all shopping centres over 15 000m</w:t>
      </w:r>
      <w:r w:rsidRPr="009253DC">
        <w:rPr>
          <w:vertAlign w:val="superscript"/>
        </w:rPr>
        <w:t>2</w:t>
      </w:r>
      <w:r>
        <w:t xml:space="preserve">. </w:t>
      </w:r>
      <w:r>
        <w:rPr>
          <w:rStyle w:val="NoteLabel"/>
        </w:rPr>
        <w:t xml:space="preserve">d </w:t>
      </w:r>
      <w:r>
        <w:t>For hotels only, not motels, private hotels, guesthouses and serviced apartments. CIE estimate using NABERS energy intensity data and ABS data on room numbers.</w:t>
      </w:r>
    </w:p>
    <w:p w14:paraId="75ED5FFD" w14:textId="77777777" w:rsidR="00ED0E85" w:rsidRDefault="00ED0E85" w:rsidP="00ED0E85">
      <w:pPr>
        <w:pStyle w:val="Source"/>
      </w:pPr>
      <w:r>
        <w:rPr>
          <w:i/>
        </w:rPr>
        <w:t>Source</w:t>
      </w:r>
      <w:r w:rsidRPr="00E4232C">
        <w:rPr>
          <w:i/>
        </w:rPr>
        <w:t>:</w:t>
      </w:r>
      <w:r>
        <w:t xml:space="preserve"> CIE analysis of CBD dataset, NABERS datasets and other as set out above.</w:t>
      </w:r>
    </w:p>
    <w:p w14:paraId="2E8867A5" w14:textId="08C8EDCD" w:rsidR="00ED0E85" w:rsidRPr="000143AD" w:rsidRDefault="00ED0E85" w:rsidP="00ED0E85">
      <w:pPr>
        <w:pStyle w:val="BodyText"/>
        <w:rPr>
          <w:lang w:eastAsia="en-US"/>
        </w:rPr>
      </w:pPr>
      <w:r w:rsidRPr="000143AD">
        <w:rPr>
          <w:lang w:eastAsia="en-US"/>
        </w:rPr>
        <w:t xml:space="preserve">The NABERS scheme has fairly wide coverage in </w:t>
      </w:r>
      <w:r>
        <w:rPr>
          <w:lang w:eastAsia="en-US"/>
        </w:rPr>
        <w:t>central business district</w:t>
      </w:r>
      <w:r w:rsidRPr="000143AD">
        <w:rPr>
          <w:lang w:eastAsia="en-US"/>
        </w:rPr>
        <w:t xml:space="preserve"> areas,</w:t>
      </w:r>
      <w:r>
        <w:rPr>
          <w:lang w:eastAsia="en-US"/>
        </w:rPr>
        <w:t xml:space="preserve"> particularly in Sydney,</w:t>
      </w:r>
      <w:r w:rsidRPr="000143AD">
        <w:rPr>
          <w:lang w:eastAsia="en-US"/>
        </w:rPr>
        <w:t xml:space="preserve"> largely reflecting buildings under the CBD </w:t>
      </w:r>
      <w:r>
        <w:rPr>
          <w:lang w:eastAsia="en-US"/>
        </w:rPr>
        <w:t>P</w:t>
      </w:r>
      <w:r w:rsidRPr="000143AD">
        <w:rPr>
          <w:lang w:eastAsia="en-US"/>
        </w:rPr>
        <w:t xml:space="preserve">rogram as well. </w:t>
      </w:r>
      <w:r w:rsidRPr="006A46AB">
        <w:rPr>
          <w:lang w:eastAsia="en-US"/>
        </w:rPr>
        <w:t>In charts</w:t>
      </w:r>
      <w:r w:rsidRPr="00836406">
        <w:rPr>
          <w:lang w:eastAsia="en-US"/>
        </w:rPr>
        <w:t> </w:t>
      </w:r>
      <w:r w:rsidRPr="006A46AB">
        <w:rPr>
          <w:lang w:eastAsia="en-US"/>
        </w:rPr>
        <w:fldChar w:fldCharType="begin"/>
      </w:r>
      <w:r w:rsidRPr="006A46AB">
        <w:rPr>
          <w:lang w:eastAsia="en-US"/>
        </w:rPr>
        <w:instrText xml:space="preserve"> REF _Caption9199  \* MERGEFORMAT </w:instrText>
      </w:r>
      <w:r w:rsidRPr="006A46AB">
        <w:rPr>
          <w:lang w:eastAsia="en-US"/>
        </w:rPr>
        <w:fldChar w:fldCharType="separate"/>
      </w:r>
      <w:r w:rsidR="00AD3561">
        <w:rPr>
          <w:noProof/>
        </w:rPr>
        <w:t>1</w:t>
      </w:r>
      <w:r w:rsidR="00AD3561" w:rsidRPr="00695C93">
        <w:rPr>
          <w:noProof/>
        </w:rPr>
        <w:t>.</w:t>
      </w:r>
      <w:r w:rsidR="00AD3561">
        <w:rPr>
          <w:noProof/>
        </w:rPr>
        <w:t>6</w:t>
      </w:r>
      <w:r w:rsidRPr="006A46AB">
        <w:rPr>
          <w:lang w:eastAsia="en-US"/>
        </w:rPr>
        <w:fldChar w:fldCharType="end"/>
      </w:r>
      <w:r w:rsidRPr="006A46AB">
        <w:rPr>
          <w:lang w:eastAsia="en-US"/>
        </w:rPr>
        <w:t xml:space="preserve"> and </w:t>
      </w:r>
      <w:r w:rsidRPr="006A46AB">
        <w:rPr>
          <w:lang w:eastAsia="en-US"/>
        </w:rPr>
        <w:fldChar w:fldCharType="begin"/>
      </w:r>
      <w:r w:rsidRPr="006A46AB">
        <w:rPr>
          <w:lang w:eastAsia="en-US"/>
        </w:rPr>
        <w:instrText xml:space="preserve"> REF _Caption8656 </w:instrText>
      </w:r>
      <w:r w:rsidRPr="009253DC">
        <w:rPr>
          <w:lang w:eastAsia="en-US"/>
        </w:rPr>
        <w:instrText xml:space="preserve"> \* MERGEFORMAT </w:instrText>
      </w:r>
      <w:r w:rsidRPr="006A46AB">
        <w:rPr>
          <w:lang w:eastAsia="en-US"/>
        </w:rPr>
        <w:fldChar w:fldCharType="separate"/>
      </w:r>
      <w:r w:rsidR="00AD3561">
        <w:rPr>
          <w:noProof/>
        </w:rPr>
        <w:t>1</w:t>
      </w:r>
      <w:r w:rsidR="00AD3561" w:rsidRPr="00695C93">
        <w:rPr>
          <w:noProof/>
        </w:rPr>
        <w:t>.</w:t>
      </w:r>
      <w:r w:rsidR="00AD3561">
        <w:rPr>
          <w:noProof/>
        </w:rPr>
        <w:t>7</w:t>
      </w:r>
      <w:r w:rsidRPr="006A46AB">
        <w:rPr>
          <w:lang w:eastAsia="en-US"/>
        </w:rPr>
        <w:fldChar w:fldCharType="end"/>
      </w:r>
      <w:r w:rsidRPr="006A46AB">
        <w:rPr>
          <w:lang w:eastAsia="en-US"/>
        </w:rPr>
        <w:t xml:space="preserve">, </w:t>
      </w:r>
      <w:r w:rsidRPr="00495DBF">
        <w:rPr>
          <w:lang w:eastAsia="en-US"/>
        </w:rPr>
        <w:t xml:space="preserve">we show the </w:t>
      </w:r>
      <w:r w:rsidRPr="00836406">
        <w:rPr>
          <w:lang w:eastAsia="en-US"/>
        </w:rPr>
        <w:t xml:space="preserve">NABERS and CBD </w:t>
      </w:r>
      <w:r w:rsidRPr="00E069C8">
        <w:rPr>
          <w:lang w:eastAsia="en-US"/>
        </w:rPr>
        <w:t>c</w:t>
      </w:r>
      <w:r w:rsidRPr="00062340">
        <w:rPr>
          <w:lang w:eastAsia="en-US"/>
        </w:rPr>
        <w:t xml:space="preserve">overage in </w:t>
      </w:r>
      <w:r w:rsidRPr="006A46AB">
        <w:rPr>
          <w:lang w:eastAsia="en-US"/>
        </w:rPr>
        <w:t xml:space="preserve">the central business districts of Sydney and Melbourne (respectively) where </w:t>
      </w:r>
      <w:r w:rsidRPr="00E069C8">
        <w:rPr>
          <w:lang w:eastAsia="en-US"/>
        </w:rPr>
        <w:t>g</w:t>
      </w:r>
      <w:r w:rsidRPr="00062340">
        <w:rPr>
          <w:lang w:eastAsia="en-US"/>
        </w:rPr>
        <w:t xml:space="preserve">reen </w:t>
      </w:r>
      <w:r w:rsidRPr="006A46AB">
        <w:rPr>
          <w:lang w:eastAsia="en-US"/>
        </w:rPr>
        <w:t>indicates CBD rated buildings and blue indicates other NABERS rated buildings.</w:t>
      </w:r>
    </w:p>
    <w:p w14:paraId="41FCECCC" w14:textId="530F34F3"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1</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1</w:instrText>
      </w:r>
      <w:r>
        <w:rPr>
          <w:noProof/>
        </w:rPr>
        <w:fldChar w:fldCharType="end"/>
      </w:r>
      <w:r w:rsidRPr="00695C93">
        <w:instrText xml:space="preserve">." </w:instrText>
      </w:r>
      <w:r w:rsidRPr="00695C93">
        <w:fldChar w:fldCharType="separate"/>
      </w:r>
      <w:r w:rsidR="00AD3561">
        <w:rPr>
          <w:noProof/>
        </w:rPr>
        <w:instrText>1</w:instrText>
      </w:r>
      <w:r w:rsidR="00AD3561"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sidR="00C353B5">
        <w:rPr>
          <w:noProof/>
        </w:rPr>
        <w:instrText>1</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1</w:instrText>
      </w:r>
      <w:r>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6</w:instrText>
      </w:r>
      <w:r w:rsidRPr="00695C93">
        <w:fldChar w:fldCharType="end"/>
      </w:r>
      <w:r w:rsidRPr="00695C93">
        <w:instrText xml:space="preserve">" "" </w:instrText>
      </w:r>
      <w:r w:rsidRPr="00695C93">
        <w:fldChar w:fldCharType="separate"/>
      </w:r>
      <w:bookmarkStart w:id="594" w:name="_Caption4244"/>
      <w:bookmarkStart w:id="595" w:name="_Caption9763"/>
      <w:bookmarkStart w:id="596" w:name="_Caption2552"/>
      <w:bookmarkStart w:id="597" w:name="_Caption6073"/>
      <w:bookmarkStart w:id="598" w:name="_Caption4130"/>
      <w:bookmarkStart w:id="599" w:name="_Caption9698"/>
      <w:bookmarkStart w:id="600" w:name="_Caption8387"/>
      <w:bookmarkStart w:id="601" w:name="_Caption2142"/>
      <w:bookmarkStart w:id="602" w:name="_Caption8236"/>
      <w:bookmarkStart w:id="603" w:name="_Caption1472"/>
      <w:bookmarkStart w:id="604" w:name="_Caption6598"/>
      <w:bookmarkStart w:id="605" w:name="_Caption8847"/>
      <w:bookmarkStart w:id="606" w:name="_Caption4915"/>
      <w:bookmarkStart w:id="607" w:name="_Caption0262"/>
      <w:bookmarkStart w:id="608" w:name="_Caption2426"/>
      <w:bookmarkStart w:id="609" w:name="_Caption8971"/>
      <w:bookmarkStart w:id="610" w:name="_Caption5617"/>
      <w:bookmarkStart w:id="611" w:name="_Caption3513"/>
      <w:bookmarkStart w:id="612" w:name="_Caption3657"/>
      <w:bookmarkStart w:id="613" w:name="_Caption9505"/>
      <w:bookmarkStart w:id="614" w:name="_Caption3281"/>
      <w:bookmarkStart w:id="615" w:name="_Caption3711"/>
      <w:bookmarkStart w:id="616" w:name="_Caption7544"/>
      <w:bookmarkStart w:id="617" w:name="_Caption6518"/>
      <w:bookmarkStart w:id="618" w:name="_Caption6049"/>
      <w:bookmarkStart w:id="619" w:name="_Caption7289"/>
      <w:bookmarkStart w:id="620" w:name="_Caption9938"/>
      <w:bookmarkStart w:id="621" w:name="_Caption3025"/>
      <w:bookmarkStart w:id="622" w:name="_Caption7584"/>
      <w:bookmarkStart w:id="623" w:name="_Caption0431"/>
      <w:bookmarkStart w:id="624" w:name="_Caption7813"/>
      <w:bookmarkStart w:id="625" w:name="_Caption7082"/>
      <w:bookmarkStart w:id="626" w:name="_Caption1186"/>
      <w:bookmarkStart w:id="627" w:name="_Caption4309"/>
      <w:bookmarkStart w:id="628" w:name="_Caption8200"/>
      <w:bookmarkStart w:id="629" w:name="_Caption8874"/>
      <w:bookmarkStart w:id="630" w:name="_Caption5836"/>
      <w:bookmarkStart w:id="631" w:name="_Caption6029"/>
      <w:bookmarkStart w:id="632" w:name="_Caption8117"/>
      <w:bookmarkStart w:id="633" w:name="_Caption3104"/>
      <w:bookmarkStart w:id="634" w:name="_Caption9729"/>
      <w:bookmarkStart w:id="635" w:name="_Caption6545"/>
      <w:bookmarkStart w:id="636" w:name="_Caption7091"/>
      <w:bookmarkStart w:id="637" w:name="_Caption9199"/>
      <w:bookmarkStart w:id="638" w:name="_Caption5025"/>
      <w:bookmarkStart w:id="639" w:name="_Caption0177"/>
      <w:bookmarkStart w:id="640" w:name="_Caption9605"/>
      <w:bookmarkStart w:id="641" w:name="_Caption5871"/>
      <w:bookmarkStart w:id="642" w:name="_Caption3930"/>
      <w:bookmarkStart w:id="643" w:name="_Caption0103"/>
      <w:bookmarkStart w:id="644" w:name="_Caption8780"/>
      <w:bookmarkStart w:id="645" w:name="_Caption8081"/>
      <w:bookmarkStart w:id="646" w:name="_Caption7856"/>
      <w:bookmarkStart w:id="647" w:name="_Caption2659"/>
      <w:bookmarkStart w:id="648" w:name="_Caption6552"/>
      <w:bookmarkStart w:id="649" w:name="_Caption0690"/>
      <w:bookmarkStart w:id="650" w:name="_Caption2060"/>
      <w:bookmarkStart w:id="651" w:name="_Caption9762"/>
      <w:bookmarkStart w:id="652" w:name="_Caption4222"/>
      <w:bookmarkStart w:id="653" w:name="_Caption4968"/>
      <w:bookmarkStart w:id="654" w:name="_Caption7149"/>
      <w:bookmarkStart w:id="655" w:name="_Caption0099"/>
      <w:bookmarkStart w:id="656" w:name="_Caption8019"/>
      <w:bookmarkStart w:id="657" w:name="_Caption1423"/>
      <w:bookmarkStart w:id="658" w:name="_Caption4443"/>
      <w:bookmarkStart w:id="659" w:name="_Caption3696"/>
      <w:bookmarkStart w:id="660" w:name="_Caption0908"/>
      <w:bookmarkStart w:id="661" w:name="_Caption1006"/>
      <w:bookmarkStart w:id="662" w:name="_Caption4504"/>
      <w:bookmarkStart w:id="663" w:name="_Caption1867"/>
      <w:bookmarkStart w:id="664" w:name="_Caption1295"/>
      <w:bookmarkStart w:id="665" w:name="_Caption8197"/>
      <w:bookmarkStart w:id="666" w:name="_Caption2220"/>
      <w:bookmarkStart w:id="667" w:name="_Caption0624"/>
      <w:bookmarkStart w:id="668" w:name="_Caption5820"/>
      <w:bookmarkStart w:id="669" w:name="_Caption7242"/>
      <w:bookmarkStart w:id="670" w:name="_Caption7435"/>
      <w:bookmarkStart w:id="671" w:name="_Caption4804"/>
      <w:bookmarkStart w:id="672" w:name="_Caption3803"/>
      <w:bookmarkStart w:id="673" w:name="_Caption2651"/>
      <w:bookmarkStart w:id="674" w:name="_Caption5623"/>
      <w:bookmarkStart w:id="675" w:name="_Caption2446"/>
      <w:bookmarkStart w:id="676" w:name="_Caption5003"/>
      <w:bookmarkStart w:id="677" w:name="_Caption6845"/>
      <w:bookmarkStart w:id="678" w:name="_Caption4035"/>
      <w:bookmarkStart w:id="679" w:name="_Toc19275565"/>
      <w:bookmarkStart w:id="680" w:name="_Toc19276175"/>
      <w:bookmarkStart w:id="681" w:name="_Toc19280174"/>
      <w:r w:rsidR="00C353B5">
        <w:rPr>
          <w:noProof/>
        </w:rPr>
        <w:t>1</w:t>
      </w:r>
      <w:r w:rsidR="00C353B5" w:rsidRPr="00695C93">
        <w:rPr>
          <w:noProof/>
        </w:rPr>
        <w:t>.</w:t>
      </w:r>
      <w:r w:rsidR="00C353B5">
        <w:rPr>
          <w:noProof/>
        </w:rPr>
        <w:t>6</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r w:rsidRPr="00695C93">
        <w:fldChar w:fldCharType="end"/>
      </w:r>
      <w:r w:rsidRPr="00695C93">
        <w:tab/>
      </w:r>
      <w:r>
        <w:t>NABERS and CBD coverage — Sydney central business district</w:t>
      </w:r>
      <w:bookmarkEnd w:id="679"/>
      <w:bookmarkEnd w:id="680"/>
      <w:bookmarkEnd w:id="681"/>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0AC6FA26" w14:textId="77777777" w:rsidTr="00ED0E85">
        <w:trPr>
          <w:cantSplit/>
        </w:trPr>
        <w:tc>
          <w:tcPr>
            <w:tcW w:w="7938" w:type="dxa"/>
            <w:shd w:val="clear" w:color="auto" w:fill="E9E8E5" w:themeFill="background2"/>
          </w:tcPr>
          <w:p w14:paraId="1F152F5E" w14:textId="77777777" w:rsidR="00ED0E85" w:rsidRDefault="00ED0E85" w:rsidP="00ED0E85">
            <w:pPr>
              <w:pStyle w:val="Chart"/>
              <w:spacing w:before="120" w:after="120"/>
              <w:jc w:val="center"/>
            </w:pPr>
            <w:r>
              <w:rPr>
                <w:noProof/>
                <w:lang w:eastAsia="en-AU"/>
              </w:rPr>
              <w:drawing>
                <wp:inline distT="0" distB="0" distL="0" distR="0" wp14:anchorId="72D7E166" wp14:editId="5EEF0641">
                  <wp:extent cx="4591050" cy="6619443"/>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yd 2.BMP"/>
                          <pic:cNvPicPr/>
                        </pic:nvPicPr>
                        <pic:blipFill rotWithShape="1">
                          <a:blip r:embed="rId35" cstate="print">
                            <a:extLst>
                              <a:ext uri="{28A0092B-C50C-407E-A947-70E740481C1C}">
                                <a14:useLocalDpi xmlns:a14="http://schemas.microsoft.com/office/drawing/2010/main" val="0"/>
                              </a:ext>
                            </a:extLst>
                          </a:blip>
                          <a:srcRect l="1693" t="666" r="2944" b="1971"/>
                          <a:stretch/>
                        </pic:blipFill>
                        <pic:spPr bwMode="auto">
                          <a:xfrm>
                            <a:off x="0" y="0"/>
                            <a:ext cx="4597714" cy="662905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7744D9" w14:textId="77777777" w:rsidR="00ED0E85" w:rsidRPr="004674DE" w:rsidRDefault="00ED0E85" w:rsidP="00ED0E85">
      <w:pPr>
        <w:pStyle w:val="Note"/>
      </w:pPr>
      <w:r w:rsidRPr="00A97BEC">
        <w:rPr>
          <w:i/>
        </w:rPr>
        <w:t xml:space="preserve">Note: </w:t>
      </w:r>
      <w:r>
        <w:t>Green is buildings rated under the CBD Program and blue is buildings rated under NABERS but that were not required to be rated under the CBD Program.</w:t>
      </w:r>
    </w:p>
    <w:p w14:paraId="1098DF6C" w14:textId="77777777" w:rsidR="00ED0E85" w:rsidRDefault="00ED0E85" w:rsidP="00ED0E85">
      <w:pPr>
        <w:pStyle w:val="Source"/>
      </w:pPr>
      <w:r>
        <w:rPr>
          <w:i/>
        </w:rPr>
        <w:t>Data source</w:t>
      </w:r>
      <w:r w:rsidRPr="00A67576">
        <w:rPr>
          <w:i/>
        </w:rPr>
        <w:t>:</w:t>
      </w:r>
      <w:r>
        <w:t xml:space="preserve"> The CIE.</w:t>
      </w:r>
    </w:p>
    <w:p w14:paraId="53BFFA9D" w14:textId="166591EB"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1</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1</w:instrText>
      </w:r>
      <w:r>
        <w:rPr>
          <w:noProof/>
        </w:rPr>
        <w:fldChar w:fldCharType="end"/>
      </w:r>
      <w:r w:rsidRPr="00695C93">
        <w:instrText xml:space="preserve">." </w:instrText>
      </w:r>
      <w:r w:rsidRPr="00695C93">
        <w:fldChar w:fldCharType="separate"/>
      </w:r>
      <w:r w:rsidR="00AD3561">
        <w:rPr>
          <w:noProof/>
        </w:rPr>
        <w:instrText>1</w:instrText>
      </w:r>
      <w:r w:rsidR="00AD3561"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sidR="00C353B5">
        <w:rPr>
          <w:noProof/>
        </w:rPr>
        <w:instrText>1</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1</w:instrText>
      </w:r>
      <w:r>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7</w:instrText>
      </w:r>
      <w:r w:rsidRPr="00695C93">
        <w:fldChar w:fldCharType="end"/>
      </w:r>
      <w:r w:rsidRPr="00695C93">
        <w:instrText xml:space="preserve">" "" </w:instrText>
      </w:r>
      <w:r w:rsidRPr="00695C93">
        <w:fldChar w:fldCharType="separate"/>
      </w:r>
      <w:bookmarkStart w:id="682" w:name="_Caption1721"/>
      <w:bookmarkStart w:id="683" w:name="_Caption9726"/>
      <w:bookmarkStart w:id="684" w:name="_Caption5288"/>
      <w:bookmarkStart w:id="685" w:name="_Caption3963"/>
      <w:bookmarkStart w:id="686" w:name="_Caption8469"/>
      <w:bookmarkStart w:id="687" w:name="_Caption1101"/>
      <w:bookmarkStart w:id="688" w:name="_Caption9444"/>
      <w:bookmarkStart w:id="689" w:name="_Caption8190"/>
      <w:bookmarkStart w:id="690" w:name="_Caption2935"/>
      <w:bookmarkStart w:id="691" w:name="_Caption9457"/>
      <w:bookmarkStart w:id="692" w:name="_Caption2089"/>
      <w:bookmarkStart w:id="693" w:name="_Caption1705"/>
      <w:bookmarkStart w:id="694" w:name="_Caption6930"/>
      <w:bookmarkStart w:id="695" w:name="_Caption9595"/>
      <w:bookmarkStart w:id="696" w:name="_Caption1505"/>
      <w:bookmarkStart w:id="697" w:name="_Caption3350"/>
      <w:bookmarkStart w:id="698" w:name="_Caption4442"/>
      <w:bookmarkStart w:id="699" w:name="_Caption0456"/>
      <w:bookmarkStart w:id="700" w:name="_Caption6674"/>
      <w:bookmarkStart w:id="701" w:name="_Caption6381"/>
      <w:bookmarkStart w:id="702" w:name="_Caption7233"/>
      <w:bookmarkStart w:id="703" w:name="_Caption9187"/>
      <w:bookmarkStart w:id="704" w:name="_Caption2524"/>
      <w:bookmarkStart w:id="705" w:name="_Caption1177"/>
      <w:bookmarkStart w:id="706" w:name="_Caption4100"/>
      <w:bookmarkStart w:id="707" w:name="_Caption2523"/>
      <w:bookmarkStart w:id="708" w:name="_Caption5599"/>
      <w:bookmarkStart w:id="709" w:name="_Caption0594"/>
      <w:bookmarkStart w:id="710" w:name="_Caption7180"/>
      <w:bookmarkStart w:id="711" w:name="_Caption0884"/>
      <w:bookmarkStart w:id="712" w:name="_Caption8521"/>
      <w:bookmarkStart w:id="713" w:name="_Caption5052"/>
      <w:bookmarkStart w:id="714" w:name="_Caption1547"/>
      <w:bookmarkStart w:id="715" w:name="_Caption6125"/>
      <w:bookmarkStart w:id="716" w:name="_Caption2782"/>
      <w:bookmarkStart w:id="717" w:name="_Caption2318"/>
      <w:bookmarkStart w:id="718" w:name="_Caption8426"/>
      <w:bookmarkStart w:id="719" w:name="_Caption8018"/>
      <w:bookmarkStart w:id="720" w:name="_Caption4806"/>
      <w:bookmarkStart w:id="721" w:name="_Caption3638"/>
      <w:bookmarkStart w:id="722" w:name="_Caption9662"/>
      <w:bookmarkStart w:id="723" w:name="_Caption1901"/>
      <w:bookmarkStart w:id="724" w:name="_Caption8656"/>
      <w:bookmarkStart w:id="725" w:name="_Caption1594"/>
      <w:bookmarkStart w:id="726" w:name="_Caption5204"/>
      <w:bookmarkStart w:id="727" w:name="_Caption5919"/>
      <w:bookmarkStart w:id="728" w:name="_Caption7381"/>
      <w:bookmarkStart w:id="729" w:name="_Caption9660"/>
      <w:bookmarkStart w:id="730" w:name="_Caption7360"/>
      <w:bookmarkStart w:id="731" w:name="_Caption4648"/>
      <w:bookmarkStart w:id="732" w:name="_Caption5248"/>
      <w:bookmarkStart w:id="733" w:name="_Caption0077"/>
      <w:bookmarkStart w:id="734" w:name="_Caption9769"/>
      <w:bookmarkStart w:id="735" w:name="_Caption2994"/>
      <w:bookmarkStart w:id="736" w:name="_Caption7051"/>
      <w:bookmarkStart w:id="737" w:name="_Caption4156"/>
      <w:bookmarkStart w:id="738" w:name="_Caption9174"/>
      <w:bookmarkStart w:id="739" w:name="_Caption5385"/>
      <w:bookmarkStart w:id="740" w:name="_Caption1200"/>
      <w:bookmarkStart w:id="741" w:name="_Caption0793"/>
      <w:bookmarkStart w:id="742" w:name="_Caption0837"/>
      <w:bookmarkStart w:id="743" w:name="_Caption8395"/>
      <w:bookmarkStart w:id="744" w:name="_Caption8618"/>
      <w:bookmarkStart w:id="745" w:name="_Caption4282"/>
      <w:bookmarkStart w:id="746" w:name="_Caption8966"/>
      <w:bookmarkStart w:id="747" w:name="_Caption4290"/>
      <w:bookmarkStart w:id="748" w:name="_Caption8729"/>
      <w:bookmarkStart w:id="749" w:name="_Caption2602"/>
      <w:bookmarkStart w:id="750" w:name="_Caption6275"/>
      <w:bookmarkStart w:id="751" w:name="_Caption9631"/>
      <w:bookmarkStart w:id="752" w:name="_Caption3762"/>
      <w:bookmarkStart w:id="753" w:name="_Caption3403"/>
      <w:bookmarkStart w:id="754" w:name="_Caption0767"/>
      <w:bookmarkStart w:id="755" w:name="_Caption9037"/>
      <w:bookmarkStart w:id="756" w:name="_Caption2974"/>
      <w:bookmarkStart w:id="757" w:name="_Caption8875"/>
      <w:bookmarkStart w:id="758" w:name="_Caption6909"/>
      <w:bookmarkStart w:id="759" w:name="_Caption1711"/>
      <w:bookmarkStart w:id="760" w:name="_Caption6346"/>
      <w:bookmarkStart w:id="761" w:name="_Caption6605"/>
      <w:bookmarkStart w:id="762" w:name="_Caption6742"/>
      <w:bookmarkStart w:id="763" w:name="_Caption8414"/>
      <w:bookmarkStart w:id="764" w:name="_Toc19275566"/>
      <w:bookmarkStart w:id="765" w:name="_Toc19276176"/>
      <w:bookmarkStart w:id="766" w:name="_Toc19280175"/>
      <w:r w:rsidR="00C353B5">
        <w:rPr>
          <w:noProof/>
        </w:rPr>
        <w:t>1</w:t>
      </w:r>
      <w:r w:rsidR="00C353B5" w:rsidRPr="00695C93">
        <w:rPr>
          <w:noProof/>
        </w:rPr>
        <w:t>.</w:t>
      </w:r>
      <w:r w:rsidR="00C353B5">
        <w:rPr>
          <w:noProof/>
        </w:rPr>
        <w:t>7</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r w:rsidRPr="00695C93">
        <w:fldChar w:fldCharType="end"/>
      </w:r>
      <w:r w:rsidRPr="00695C93">
        <w:tab/>
      </w:r>
      <w:r>
        <w:t>NABERS and CBD coverage — Melbourne central business district</w:t>
      </w:r>
      <w:bookmarkEnd w:id="764"/>
      <w:bookmarkEnd w:id="765"/>
      <w:bookmarkEnd w:id="766"/>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639EAE44" w14:textId="77777777" w:rsidTr="00ED0E85">
        <w:trPr>
          <w:cantSplit/>
        </w:trPr>
        <w:tc>
          <w:tcPr>
            <w:tcW w:w="7938" w:type="dxa"/>
            <w:shd w:val="clear" w:color="auto" w:fill="E9E8E5" w:themeFill="background2"/>
          </w:tcPr>
          <w:p w14:paraId="06FE44B6" w14:textId="77777777" w:rsidR="00ED0E85" w:rsidRDefault="00ED0E85" w:rsidP="00ED0E85">
            <w:pPr>
              <w:pStyle w:val="Chart"/>
              <w:spacing w:before="120" w:after="120"/>
              <w:jc w:val="center"/>
            </w:pPr>
            <w:r>
              <w:rPr>
                <w:noProof/>
                <w:lang w:eastAsia="en-AU"/>
              </w:rPr>
              <w:drawing>
                <wp:inline distT="0" distB="0" distL="0" distR="0" wp14:anchorId="12CFE3BA" wp14:editId="4C601090">
                  <wp:extent cx="4859647" cy="66198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Vic Map.BMP"/>
                          <pic:cNvPicPr/>
                        </pic:nvPicPr>
                        <pic:blipFill rotWithShape="1">
                          <a:blip r:embed="rId36" cstate="print">
                            <a:extLst>
                              <a:ext uri="{28A0092B-C50C-407E-A947-70E740481C1C}">
                                <a14:useLocalDpi xmlns:a14="http://schemas.microsoft.com/office/drawing/2010/main" val="0"/>
                              </a:ext>
                            </a:extLst>
                          </a:blip>
                          <a:srcRect l="1701" t="669" r="1726" b="6176"/>
                          <a:stretch/>
                        </pic:blipFill>
                        <pic:spPr bwMode="auto">
                          <a:xfrm>
                            <a:off x="0" y="0"/>
                            <a:ext cx="4860152" cy="66205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99050BA" w14:textId="77777777" w:rsidR="00ED0E85" w:rsidRPr="004674DE" w:rsidRDefault="00ED0E85" w:rsidP="00ED0E85">
      <w:pPr>
        <w:pStyle w:val="Note"/>
      </w:pPr>
      <w:r w:rsidRPr="00A97BEC">
        <w:rPr>
          <w:i/>
        </w:rPr>
        <w:t xml:space="preserve">Note: </w:t>
      </w:r>
      <w:r>
        <w:t>Green is buildings rated under the CBD Program and blue is buildings rated under NABERS but that were not required to be rated under the CBD Program.</w:t>
      </w:r>
    </w:p>
    <w:p w14:paraId="1075CA3D" w14:textId="77777777" w:rsidR="00ED0E85" w:rsidRDefault="00ED0E85" w:rsidP="00ED0E85">
      <w:pPr>
        <w:pStyle w:val="Source"/>
      </w:pPr>
      <w:r>
        <w:rPr>
          <w:i/>
        </w:rPr>
        <w:t>Data source</w:t>
      </w:r>
      <w:r w:rsidRPr="00A67576">
        <w:rPr>
          <w:i/>
        </w:rPr>
        <w:t>:</w:t>
      </w:r>
      <w:r>
        <w:t xml:space="preserve"> The CIE.</w:t>
      </w:r>
    </w:p>
    <w:p w14:paraId="11DC3166" w14:textId="77777777" w:rsidR="00ED0E85" w:rsidRPr="005754F8" w:rsidRDefault="00ED0E85" w:rsidP="00ED0E85">
      <w:pPr>
        <w:pStyle w:val="BodyText"/>
        <w:rPr>
          <w:lang w:eastAsia="en-US"/>
        </w:rPr>
      </w:pPr>
    </w:p>
    <w:p w14:paraId="475FC21D" w14:textId="77777777" w:rsidR="00ED0E85" w:rsidRDefault="00ED0E85" w:rsidP="00ED0E85">
      <w:pPr>
        <w:pStyle w:val="Heading2"/>
        <w:numPr>
          <w:ilvl w:val="1"/>
          <w:numId w:val="5"/>
        </w:numPr>
        <w:rPr>
          <w:lang w:bidi="fa-IR"/>
        </w:rPr>
      </w:pPr>
      <w:bookmarkStart w:id="767" w:name="_Toc19275492"/>
      <w:bookmarkStart w:id="768" w:name="_Toc19276102"/>
      <w:bookmarkStart w:id="769" w:name="_Toc19280101"/>
      <w:r>
        <w:rPr>
          <w:lang w:bidi="fa-IR"/>
        </w:rPr>
        <w:t>Review of the CBD Program</w:t>
      </w:r>
      <w:bookmarkEnd w:id="767"/>
      <w:bookmarkEnd w:id="768"/>
      <w:bookmarkEnd w:id="769"/>
    </w:p>
    <w:p w14:paraId="3FA6A4E2" w14:textId="77777777" w:rsidR="00ED0E85" w:rsidRPr="006A46AB" w:rsidRDefault="00ED0E85" w:rsidP="00ED0E85">
      <w:pPr>
        <w:pStyle w:val="BodyText"/>
        <w:rPr>
          <w:lang w:bidi="fa-IR"/>
        </w:rPr>
      </w:pPr>
      <w:r w:rsidRPr="006A46AB">
        <w:rPr>
          <w:lang w:bidi="fa-IR"/>
        </w:rPr>
        <w:t xml:space="preserve">The CBD Program was previously reviewed in 2015, with the review focusing mostly on whether the benefits of the existing program outweighed the costs. The </w:t>
      </w:r>
      <w:r w:rsidRPr="009253DC">
        <w:rPr>
          <w:lang w:bidi="fa-IR"/>
        </w:rPr>
        <w:t xml:space="preserve">2015 </w:t>
      </w:r>
      <w:r w:rsidRPr="006A46AB">
        <w:rPr>
          <w:lang w:bidi="fa-IR"/>
        </w:rPr>
        <w:t>review found that the CBD Program:</w:t>
      </w:r>
      <w:r w:rsidRPr="006A46AB">
        <w:rPr>
          <w:rStyle w:val="FootnoteReference"/>
          <w:lang w:bidi="fa-IR"/>
        </w:rPr>
        <w:footnoteReference w:id="8"/>
      </w:r>
      <w:r w:rsidRPr="006A46AB">
        <w:rPr>
          <w:lang w:bidi="fa-IR"/>
        </w:rPr>
        <w:t xml:space="preserve"> </w:t>
      </w:r>
    </w:p>
    <w:p w14:paraId="77103D7A" w14:textId="77777777" w:rsidR="00ED0E85" w:rsidRPr="00D72830" w:rsidRDefault="00ED0E85" w:rsidP="00ED0E85">
      <w:pPr>
        <w:pStyle w:val="ListBullet"/>
        <w:rPr>
          <w:lang w:bidi="fa-IR"/>
        </w:rPr>
      </w:pPr>
      <w:r w:rsidRPr="00836406">
        <w:rPr>
          <w:lang w:bidi="fa-IR"/>
        </w:rPr>
        <w:t>is appropriate,</w:t>
      </w:r>
      <w:r w:rsidRPr="00E069C8">
        <w:rPr>
          <w:lang w:bidi="fa-IR"/>
        </w:rPr>
        <w:t xml:space="preserve"> complements related government policies and programs</w:t>
      </w:r>
      <w:r w:rsidRPr="00062340">
        <w:rPr>
          <w:lang w:bidi="fa-IR"/>
        </w:rPr>
        <w:t xml:space="preserve"> </w:t>
      </w:r>
    </w:p>
    <w:p w14:paraId="4513672F" w14:textId="77777777" w:rsidR="00ED0E85" w:rsidRPr="00D72830" w:rsidRDefault="00ED0E85" w:rsidP="00ED0E85">
      <w:pPr>
        <w:pStyle w:val="ListBullet"/>
        <w:rPr>
          <w:lang w:bidi="fa-IR"/>
        </w:rPr>
      </w:pPr>
      <w:r w:rsidRPr="00D72830">
        <w:rPr>
          <w:lang w:bidi="fa-IR"/>
        </w:rPr>
        <w:t xml:space="preserve">has been effective in inducing positive behaviour change in relation to commercial building energy efficiency </w:t>
      </w:r>
    </w:p>
    <w:p w14:paraId="146A4547" w14:textId="77777777" w:rsidR="00ED0E85" w:rsidRPr="00D72830" w:rsidRDefault="00ED0E85" w:rsidP="00ED0E85">
      <w:pPr>
        <w:pStyle w:val="ListBullet"/>
        <w:rPr>
          <w:lang w:bidi="fa-IR"/>
        </w:rPr>
      </w:pPr>
      <w:r w:rsidRPr="00D72830">
        <w:rPr>
          <w:lang w:bidi="fa-IR"/>
        </w:rPr>
        <w:t xml:space="preserve">is the principal program for driving energy efficiency improvements in the office sector. </w:t>
      </w:r>
    </w:p>
    <w:p w14:paraId="4BF0680B" w14:textId="77777777" w:rsidR="00ED0E85" w:rsidRPr="006A46AB" w:rsidRDefault="00ED0E85" w:rsidP="00ED0E85">
      <w:pPr>
        <w:pStyle w:val="ListBullet"/>
        <w:numPr>
          <w:ilvl w:val="0"/>
          <w:numId w:val="0"/>
        </w:numPr>
        <w:rPr>
          <w:lang w:bidi="fa-IR"/>
        </w:rPr>
      </w:pPr>
      <w:r w:rsidRPr="00D72830">
        <w:rPr>
          <w:lang w:bidi="fa-IR"/>
        </w:rPr>
        <w:t>The report made a number of recommendations, including that the Program should:</w:t>
      </w:r>
      <w:r w:rsidRPr="006A46AB">
        <w:rPr>
          <w:rStyle w:val="FootnoteReference"/>
          <w:lang w:bidi="fa-IR"/>
        </w:rPr>
        <w:footnoteReference w:id="9"/>
      </w:r>
      <w:r w:rsidRPr="006A46AB">
        <w:rPr>
          <w:lang w:bidi="fa-IR"/>
        </w:rPr>
        <w:t xml:space="preserve"> </w:t>
      </w:r>
    </w:p>
    <w:p w14:paraId="60D45120" w14:textId="77777777" w:rsidR="00ED0E85" w:rsidRPr="00836406" w:rsidRDefault="00ED0E85" w:rsidP="00ED0E85">
      <w:pPr>
        <w:pStyle w:val="ListBullet"/>
        <w:rPr>
          <w:lang w:bidi="fa-IR"/>
        </w:rPr>
      </w:pPr>
      <w:r w:rsidRPr="00836406">
        <w:rPr>
          <w:lang w:bidi="fa-IR"/>
        </w:rPr>
        <w:t>continue</w:t>
      </w:r>
    </w:p>
    <w:p w14:paraId="4C391E61" w14:textId="77777777" w:rsidR="00ED0E85" w:rsidRPr="00D72830" w:rsidRDefault="00ED0E85" w:rsidP="00ED0E85">
      <w:pPr>
        <w:pStyle w:val="ListBullet"/>
        <w:rPr>
          <w:lang w:bidi="fa-IR"/>
        </w:rPr>
      </w:pPr>
      <w:r w:rsidRPr="00062340">
        <w:rPr>
          <w:lang w:bidi="fa-IR"/>
        </w:rPr>
        <w:t xml:space="preserve">remain </w:t>
      </w:r>
      <w:r w:rsidRPr="00D72830">
        <w:rPr>
          <w:lang w:bidi="fa-IR"/>
        </w:rPr>
        <w:t>focused on office buildings</w:t>
      </w:r>
    </w:p>
    <w:p w14:paraId="464F3C57" w14:textId="77777777" w:rsidR="00ED0E85" w:rsidRPr="00D72830" w:rsidRDefault="00ED0E85" w:rsidP="00ED0E85">
      <w:pPr>
        <w:pStyle w:val="ListBullet"/>
        <w:rPr>
          <w:lang w:bidi="fa-IR"/>
        </w:rPr>
      </w:pPr>
      <w:r w:rsidRPr="00D72830">
        <w:rPr>
          <w:lang w:bidi="fa-IR"/>
        </w:rPr>
        <w:t>be expanded to include smaller office spaces</w:t>
      </w:r>
    </w:p>
    <w:p w14:paraId="68CAABEC" w14:textId="77777777" w:rsidR="00ED0E85" w:rsidRPr="00D72830" w:rsidRDefault="00ED0E85" w:rsidP="00ED0E85">
      <w:pPr>
        <w:pStyle w:val="ListBullet"/>
        <w:rPr>
          <w:lang w:bidi="fa-IR"/>
        </w:rPr>
      </w:pPr>
      <w:r w:rsidRPr="00D72830">
        <w:rPr>
          <w:lang w:bidi="fa-IR"/>
        </w:rPr>
        <w:t xml:space="preserve">continue to harness opportunities for further process and administrative efficiency improvements </w:t>
      </w:r>
    </w:p>
    <w:p w14:paraId="4232602A" w14:textId="77777777" w:rsidR="00ED0E85" w:rsidRPr="00D72830" w:rsidRDefault="00ED0E85" w:rsidP="00ED0E85">
      <w:pPr>
        <w:pStyle w:val="ListBullet"/>
        <w:rPr>
          <w:lang w:bidi="fa-IR"/>
        </w:rPr>
      </w:pPr>
      <w:r w:rsidRPr="00D72830">
        <w:rPr>
          <w:lang w:bidi="fa-IR"/>
        </w:rPr>
        <w:t xml:space="preserve">utilise opportunities to accelerate awareness and appreciation of Tenant Lighting Assessment by clients. </w:t>
      </w:r>
    </w:p>
    <w:p w14:paraId="21A00686" w14:textId="351C69F8" w:rsidR="00ED0E85" w:rsidRDefault="00ED0E85" w:rsidP="00ED0E85">
      <w:pPr>
        <w:pStyle w:val="BodyText"/>
        <w:rPr>
          <w:lang w:bidi="fa-IR"/>
        </w:rPr>
      </w:pPr>
      <w:r w:rsidRPr="00D72830">
        <w:rPr>
          <w:lang w:bidi="fa-IR"/>
        </w:rPr>
        <w:t xml:space="preserve">Measure 9 of the NEPP work plan focuses on expanding commercial building ratings and disclosure. Although the 2015 review did not recommend that the CBD Program be expanded to other buildings, subsequent feasibility studies have looked at expanding the CBD Program to cover: office tenancies, shopping centres, hotels and data centres. This is a key focus of </w:t>
      </w:r>
      <w:r w:rsidRPr="009253DC">
        <w:rPr>
          <w:lang w:bidi="fa-IR"/>
        </w:rPr>
        <w:t xml:space="preserve">current </w:t>
      </w:r>
      <w:r w:rsidRPr="006A46AB">
        <w:rPr>
          <w:lang w:bidi="fa-IR"/>
        </w:rPr>
        <w:t>review (the terms of reference are shown in box </w:t>
      </w:r>
      <w:r w:rsidRPr="006A46AB">
        <w:rPr>
          <w:lang w:bidi="fa-IR"/>
        </w:rPr>
        <w:fldChar w:fldCharType="begin"/>
      </w:r>
      <w:r w:rsidRPr="00D72830">
        <w:rPr>
          <w:lang w:bidi="fa-IR"/>
        </w:rPr>
        <w:instrText xml:space="preserve"> REF _Caption9666 </w:instrText>
      </w:r>
      <w:r w:rsidRPr="009253DC">
        <w:rPr>
          <w:lang w:bidi="fa-IR"/>
        </w:rPr>
        <w:instrText xml:space="preserve"> \* MERGEFORMAT </w:instrText>
      </w:r>
      <w:r w:rsidRPr="006A46AB">
        <w:rPr>
          <w:lang w:bidi="fa-IR"/>
        </w:rPr>
        <w:fldChar w:fldCharType="separate"/>
      </w:r>
      <w:r w:rsidR="00AD3561">
        <w:rPr>
          <w:noProof/>
        </w:rPr>
        <w:t>1</w:t>
      </w:r>
      <w:r w:rsidR="00AD3561" w:rsidRPr="00E05C8C">
        <w:rPr>
          <w:noProof/>
        </w:rPr>
        <w:t>.</w:t>
      </w:r>
      <w:r w:rsidR="00AD3561">
        <w:rPr>
          <w:noProof/>
        </w:rPr>
        <w:t>8</w:t>
      </w:r>
      <w:r w:rsidRPr="006A46AB">
        <w:rPr>
          <w:lang w:bidi="fa-IR"/>
        </w:rPr>
        <w:fldChar w:fldCharType="end"/>
      </w:r>
      <w:r w:rsidRPr="006A46AB">
        <w:rPr>
          <w:lang w:bidi="fa-IR"/>
        </w:rPr>
        <w:t>).</w:t>
      </w:r>
    </w:p>
    <w:p w14:paraId="1326FF4D" w14:textId="77777777" w:rsidR="00ED0E85" w:rsidRDefault="00ED0E85" w:rsidP="00ED0E85">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Pr>
      <w:tblGrid>
        <w:gridCol w:w="7938"/>
      </w:tblGrid>
      <w:tr w:rsidR="00ED0E85" w:rsidRPr="00E05C8C" w14:paraId="208DD0F1" w14:textId="77777777" w:rsidTr="00ED0E85">
        <w:trPr>
          <w:cantSplit/>
        </w:trPr>
        <w:tc>
          <w:tcPr>
            <w:tcW w:w="7938" w:type="dxa"/>
            <w:tcBorders>
              <w:top w:val="nil"/>
              <w:left w:val="nil"/>
              <w:bottom w:val="nil"/>
              <w:right w:val="nil"/>
            </w:tcBorders>
            <w:shd w:val="clear" w:color="auto" w:fill="C6BFAB" w:themeFill="accent3"/>
          </w:tcPr>
          <w:p w14:paraId="5A1CDE6D" w14:textId="63DCA1BF" w:rsidR="00ED0E85" w:rsidRPr="00E05C8C" w:rsidRDefault="00ED0E85" w:rsidP="001F5383">
            <w:pPr>
              <w:pStyle w:val="Caption"/>
              <w:numPr>
                <w:ilvl w:val="0"/>
                <w:numId w:val="13"/>
              </w:numPr>
              <w:spacing w:before="120" w:after="100"/>
            </w:pPr>
            <w:r w:rsidRPr="00E05C8C">
              <w:fldChar w:fldCharType="begin"/>
            </w:r>
            <w:r w:rsidRPr="00E05C8C">
              <w:instrText xml:space="preserve"> IF 1 = 1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1</w:instrText>
            </w:r>
            <w:r>
              <w:rPr>
                <w:noProof/>
              </w:rPr>
              <w:fldChar w:fldCharType="end"/>
            </w:r>
            <w:r w:rsidRPr="00E05C8C">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1</w:instrText>
            </w:r>
            <w:r>
              <w:rPr>
                <w:noProof/>
              </w:rPr>
              <w:fldChar w:fldCharType="end"/>
            </w:r>
            <w:r w:rsidRPr="00E05C8C">
              <w:instrText xml:space="preserve">." </w:instrText>
            </w:r>
            <w:r w:rsidRPr="00E05C8C">
              <w:fldChar w:fldCharType="separate"/>
            </w:r>
            <w:r w:rsidR="00AD3561">
              <w:rPr>
                <w:noProof/>
              </w:rPr>
              <w:instrText>1</w:instrText>
            </w:r>
            <w:r w:rsidR="00AD3561" w:rsidRPr="00E05C8C">
              <w:rPr>
                <w:noProof/>
              </w:rPr>
              <w:instrText>.</w:instrText>
            </w:r>
            <w:r w:rsidRPr="00E05C8C">
              <w:fldChar w:fldCharType="end"/>
            </w:r>
            <w:r w:rsidRPr="00E05C8C">
              <w:instrText>" "</w:instrText>
            </w:r>
            <w:r w:rsidR="00C353B5">
              <w:fldChar w:fldCharType="begin"/>
            </w:r>
            <w:r w:rsidR="00C353B5">
              <w:instrText xml:space="preserve"> STYLEREF "Heading 6" \l \n </w:instrText>
            </w:r>
            <w:r w:rsidR="00C353B5">
              <w:fldChar w:fldCharType="separate"/>
            </w:r>
            <w:r w:rsidRPr="00E05C8C">
              <w:instrText>B</w:instrText>
            </w:r>
            <w:r w:rsidR="00C353B5">
              <w:fldChar w:fldCharType="end"/>
            </w:r>
            <w:r w:rsidRPr="00E05C8C">
              <w:instrText xml:space="preserve">." </w:instrText>
            </w:r>
            <w:r w:rsidRPr="00E05C8C">
              <w:fldChar w:fldCharType="separate"/>
            </w:r>
            <w:r w:rsidR="00C353B5">
              <w:rPr>
                <w:noProof/>
              </w:rPr>
              <w:instrText>1</w:instrText>
            </w:r>
            <w:r w:rsidR="00C353B5"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1</w:instrText>
            </w:r>
            <w:r>
              <w:rPr>
                <w:noProof/>
              </w:rPr>
              <w:fldChar w:fldCharType="end"/>
            </w:r>
            <w:r w:rsidRPr="00E05C8C">
              <w:instrText xml:space="preserve"> = 0 "" "1" </w:instrText>
            </w:r>
            <w:r w:rsidRPr="00E05C8C">
              <w:fldChar w:fldCharType="separate"/>
            </w:r>
            <w:r w:rsidR="00C353B5" w:rsidRPr="00E05C8C">
              <w:rPr>
                <w:noProof/>
              </w:rPr>
              <w:instrText>1</w:instrText>
            </w:r>
            <w:r w:rsidRPr="00E05C8C">
              <w:fldChar w:fldCharType="end"/>
            </w:r>
            <w:r w:rsidRPr="00E05C8C">
              <w:instrText xml:space="preserve">" "6" </w:instrText>
            </w:r>
            <w:r w:rsidRPr="00E05C8C">
              <w:fldChar w:fldCharType="separate"/>
            </w:r>
            <w:r w:rsidR="00C353B5" w:rsidRPr="00E05C8C">
              <w:rPr>
                <w:noProof/>
              </w:rPr>
              <w:instrText>1</w:instrText>
            </w:r>
            <w:r w:rsidRPr="00E05C8C">
              <w:fldChar w:fldCharType="end"/>
            </w:r>
            <w:r w:rsidRPr="00E05C8C">
              <w:instrText xml:space="preserve"> </w:instrText>
            </w:r>
            <w:r w:rsidRPr="00E05C8C">
              <w:fldChar w:fldCharType="separate"/>
            </w:r>
            <w:r w:rsidR="00AD3561">
              <w:rPr>
                <w:noProof/>
              </w:rPr>
              <w:instrText>8</w:instrText>
            </w:r>
            <w:r w:rsidRPr="00E05C8C">
              <w:fldChar w:fldCharType="end"/>
            </w:r>
            <w:r w:rsidRPr="00E05C8C">
              <w:instrText xml:space="preserve">" "" </w:instrText>
            </w:r>
            <w:r w:rsidRPr="00E05C8C">
              <w:fldChar w:fldCharType="separate"/>
            </w:r>
            <w:bookmarkStart w:id="770" w:name="_Caption5419"/>
            <w:bookmarkStart w:id="771" w:name="_Caption8511"/>
            <w:bookmarkStart w:id="772" w:name="_Caption6423"/>
            <w:bookmarkStart w:id="773" w:name="_Caption3429"/>
            <w:bookmarkStart w:id="774" w:name="_Caption5498"/>
            <w:bookmarkStart w:id="775" w:name="_Caption6508"/>
            <w:bookmarkStart w:id="776" w:name="_Caption4103"/>
            <w:bookmarkStart w:id="777" w:name="_Caption4371"/>
            <w:bookmarkStart w:id="778" w:name="_Caption9823"/>
            <w:bookmarkStart w:id="779" w:name="_Caption2901"/>
            <w:bookmarkStart w:id="780" w:name="_Caption2863"/>
            <w:bookmarkStart w:id="781" w:name="_Caption0876"/>
            <w:bookmarkStart w:id="782" w:name="_Caption8746"/>
            <w:bookmarkStart w:id="783" w:name="_Caption8873"/>
            <w:bookmarkStart w:id="784" w:name="_Caption1611"/>
            <w:bookmarkStart w:id="785" w:name="_Caption0212"/>
            <w:bookmarkStart w:id="786" w:name="_Caption7967"/>
            <w:bookmarkStart w:id="787" w:name="_Caption9627"/>
            <w:bookmarkStart w:id="788" w:name="_Caption4479"/>
            <w:bookmarkStart w:id="789" w:name="_Caption2470"/>
            <w:bookmarkStart w:id="790" w:name="_Caption2721"/>
            <w:bookmarkStart w:id="791" w:name="_Caption1858"/>
            <w:bookmarkStart w:id="792" w:name="_Caption0240"/>
            <w:bookmarkStart w:id="793" w:name="_Caption5210"/>
            <w:bookmarkStart w:id="794" w:name="_Caption3032"/>
            <w:bookmarkStart w:id="795" w:name="_Caption4166"/>
            <w:bookmarkStart w:id="796" w:name="_Caption8749"/>
            <w:bookmarkStart w:id="797" w:name="_Caption0126"/>
            <w:bookmarkStart w:id="798" w:name="_Caption1239"/>
            <w:bookmarkStart w:id="799" w:name="_Caption3293"/>
            <w:bookmarkStart w:id="800" w:name="_Caption9055"/>
            <w:bookmarkStart w:id="801" w:name="_Caption7862"/>
            <w:bookmarkStart w:id="802" w:name="_Caption7809"/>
            <w:bookmarkStart w:id="803" w:name="_Caption8022"/>
            <w:bookmarkStart w:id="804" w:name="_Caption1780"/>
            <w:bookmarkStart w:id="805" w:name="_Caption1986"/>
            <w:bookmarkStart w:id="806" w:name="_Caption5969"/>
            <w:bookmarkStart w:id="807" w:name="_Caption9395"/>
            <w:bookmarkStart w:id="808" w:name="_Caption4740"/>
            <w:bookmarkStart w:id="809" w:name="_Caption0626"/>
            <w:bookmarkStart w:id="810" w:name="_Caption7206"/>
            <w:bookmarkStart w:id="811" w:name="_Caption2758"/>
            <w:bookmarkStart w:id="812" w:name="_Caption7076"/>
            <w:bookmarkStart w:id="813" w:name="_Caption9666"/>
            <w:bookmarkStart w:id="814" w:name="_Caption3260"/>
            <w:bookmarkStart w:id="815" w:name="_Caption1937"/>
            <w:bookmarkStart w:id="816" w:name="_Caption0844"/>
            <w:bookmarkStart w:id="817" w:name="_Caption8645"/>
            <w:bookmarkStart w:id="818" w:name="_Caption6524"/>
            <w:bookmarkStart w:id="819" w:name="_Caption5899"/>
            <w:bookmarkStart w:id="820" w:name="_Caption6379"/>
            <w:bookmarkStart w:id="821" w:name="_Caption0195"/>
            <w:bookmarkStart w:id="822" w:name="_Caption2242"/>
            <w:bookmarkStart w:id="823" w:name="_Caption6592"/>
            <w:bookmarkStart w:id="824" w:name="_Caption1471"/>
            <w:bookmarkStart w:id="825" w:name="_Caption5608"/>
            <w:bookmarkStart w:id="826" w:name="_Caption6607"/>
            <w:bookmarkStart w:id="827" w:name="_Caption7126"/>
            <w:bookmarkStart w:id="828" w:name="_Caption5358"/>
            <w:bookmarkStart w:id="829" w:name="_Caption8112"/>
            <w:bookmarkStart w:id="830" w:name="_Caption6220"/>
            <w:bookmarkStart w:id="831" w:name="_Caption1405"/>
            <w:bookmarkStart w:id="832" w:name="_Caption0948"/>
            <w:bookmarkStart w:id="833" w:name="_Caption3078"/>
            <w:bookmarkStart w:id="834" w:name="_Caption0089"/>
            <w:bookmarkStart w:id="835" w:name="_Caption1784"/>
            <w:bookmarkStart w:id="836" w:name="_Caption8413"/>
            <w:bookmarkStart w:id="837" w:name="_Caption9127"/>
            <w:bookmarkStart w:id="838" w:name="_Caption0988"/>
            <w:bookmarkStart w:id="839" w:name="_Caption1870"/>
            <w:bookmarkStart w:id="840" w:name="_Caption4711"/>
            <w:bookmarkStart w:id="841" w:name="_Caption7908"/>
            <w:bookmarkStart w:id="842" w:name="_Caption5627"/>
            <w:bookmarkStart w:id="843" w:name="_Caption9237"/>
            <w:bookmarkStart w:id="844" w:name="_Caption2607"/>
            <w:bookmarkStart w:id="845" w:name="_Caption4924"/>
            <w:bookmarkStart w:id="846" w:name="_Caption0921"/>
            <w:bookmarkStart w:id="847" w:name="_Caption4903"/>
            <w:bookmarkStart w:id="848" w:name="_Caption1978"/>
            <w:bookmarkStart w:id="849" w:name="_Caption2791"/>
            <w:bookmarkStart w:id="850" w:name="_Caption9503"/>
            <w:bookmarkStart w:id="851" w:name="_Caption9556"/>
            <w:bookmarkStart w:id="852" w:name="_Caption1218"/>
            <w:bookmarkStart w:id="853" w:name="_Caption5184"/>
            <w:bookmarkStart w:id="854" w:name="_Caption5790"/>
            <w:bookmarkStart w:id="855" w:name="_Caption9723"/>
            <w:bookmarkStart w:id="856" w:name="_Caption0899"/>
            <w:bookmarkStart w:id="857" w:name="_Caption0132"/>
            <w:bookmarkStart w:id="858" w:name="_Caption3717"/>
            <w:bookmarkStart w:id="859" w:name="_Caption1972"/>
            <w:bookmarkStart w:id="860" w:name="_Caption5401"/>
            <w:bookmarkStart w:id="861" w:name="_Caption3690"/>
            <w:bookmarkStart w:id="862" w:name="_Caption5405"/>
            <w:bookmarkStart w:id="863" w:name="_Caption1809"/>
            <w:bookmarkStart w:id="864" w:name="_Caption2367"/>
            <w:bookmarkStart w:id="865" w:name="_Caption3455"/>
            <w:bookmarkStart w:id="866" w:name="_Caption3991"/>
            <w:bookmarkStart w:id="867" w:name="_Caption3910"/>
            <w:bookmarkStart w:id="868" w:name="_Caption9094"/>
            <w:bookmarkStart w:id="869" w:name="_Caption3869"/>
            <w:bookmarkStart w:id="870" w:name="_Caption3683"/>
            <w:bookmarkStart w:id="871" w:name="_Caption0815"/>
            <w:bookmarkStart w:id="872" w:name="_Caption5045"/>
            <w:bookmarkStart w:id="873" w:name="_Caption6591"/>
            <w:bookmarkStart w:id="874" w:name="_Caption3174"/>
            <w:bookmarkStart w:id="875" w:name="_Caption5547"/>
            <w:bookmarkStart w:id="876" w:name="_Caption2617"/>
            <w:bookmarkStart w:id="877" w:name="_Caption5625"/>
            <w:bookmarkStart w:id="878" w:name="_Caption8863"/>
            <w:bookmarkStart w:id="879" w:name="_Caption5913"/>
            <w:bookmarkStart w:id="880" w:name="_Caption9976"/>
            <w:bookmarkStart w:id="881" w:name="_Toc19275567"/>
            <w:bookmarkStart w:id="882" w:name="_Toc19276177"/>
            <w:bookmarkStart w:id="883" w:name="_Toc19280176"/>
            <w:r w:rsidR="00C353B5">
              <w:rPr>
                <w:noProof/>
              </w:rPr>
              <w:t>1</w:t>
            </w:r>
            <w:r w:rsidR="00C353B5" w:rsidRPr="00E05C8C">
              <w:rPr>
                <w:noProof/>
              </w:rPr>
              <w:t>.</w:t>
            </w:r>
            <w:r w:rsidR="00C353B5">
              <w:rPr>
                <w:noProof/>
              </w:rPr>
              <w:t>8</w:t>
            </w:r>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r w:rsidRPr="00E05C8C">
              <w:fldChar w:fldCharType="end"/>
            </w:r>
            <w:r w:rsidRPr="00E05C8C">
              <w:tab/>
            </w:r>
            <w:r>
              <w:t>Terms of Reference</w:t>
            </w:r>
            <w:bookmarkEnd w:id="881"/>
            <w:bookmarkEnd w:id="882"/>
            <w:bookmarkEnd w:id="883"/>
          </w:p>
        </w:tc>
      </w:tr>
      <w:tr w:rsidR="00ED0E85" w14:paraId="0D7ADFFF" w14:textId="77777777" w:rsidTr="00ED0E85">
        <w:tblPrEx>
          <w:tblBorders>
            <w:top w:val="none" w:sz="0" w:space="0" w:color="auto"/>
            <w:left w:val="none" w:sz="0" w:space="0" w:color="auto"/>
            <w:bottom w:val="none" w:sz="0" w:space="0" w:color="auto"/>
            <w:right w:val="none" w:sz="0" w:space="0" w:color="auto"/>
          </w:tblBorders>
          <w:shd w:val="clear" w:color="6F6652" w:fill="F1EFEA"/>
        </w:tblPrEx>
        <w:tc>
          <w:tcPr>
            <w:tcW w:w="7938" w:type="dxa"/>
            <w:shd w:val="clear" w:color="auto" w:fill="E9E8E5" w:themeFill="background2"/>
          </w:tcPr>
          <w:p w14:paraId="7B95831E" w14:textId="77777777" w:rsidR="00ED0E85" w:rsidRDefault="00ED0E85" w:rsidP="00ED0E85">
            <w:pPr>
              <w:pStyle w:val="BodyText"/>
            </w:pPr>
            <w:r>
              <w:t>The review will assess and provide recommendations on:</w:t>
            </w:r>
          </w:p>
          <w:p w14:paraId="31D4005F" w14:textId="77777777" w:rsidR="00ED0E85" w:rsidRDefault="00ED0E85" w:rsidP="001F5383">
            <w:pPr>
              <w:pStyle w:val="ListNumber"/>
              <w:numPr>
                <w:ilvl w:val="0"/>
                <w:numId w:val="22"/>
              </w:numPr>
            </w:pPr>
            <w:r>
              <w:t xml:space="preserve">Whether the CBD Program’s objectives are clear, remain relevant and are being met. </w:t>
            </w:r>
          </w:p>
          <w:p w14:paraId="2D1F1AB3" w14:textId="77777777" w:rsidR="00ED0E85" w:rsidRDefault="00ED0E85" w:rsidP="001F5383">
            <w:pPr>
              <w:pStyle w:val="ListNumber"/>
              <w:numPr>
                <w:ilvl w:val="0"/>
                <w:numId w:val="10"/>
              </w:numPr>
            </w:pPr>
            <w:r>
              <w:t xml:space="preserve">Whether the CBD Program is the most effective, appropriate and least-cost way to achieve energy efficiency outcomes including the benefits and costs imposed on industry. </w:t>
            </w:r>
          </w:p>
          <w:p w14:paraId="1D5004DE" w14:textId="77777777" w:rsidR="00ED0E85" w:rsidRDefault="00ED0E85" w:rsidP="001F5383">
            <w:pPr>
              <w:pStyle w:val="ListNumber"/>
              <w:numPr>
                <w:ilvl w:val="0"/>
                <w:numId w:val="10"/>
              </w:numPr>
            </w:pPr>
            <w:r>
              <w:t>The effectiveness of the Program in promoting energy efficiency and emissions abatement, both in its own right and in the context of the current framework of energy efficiency measures.</w:t>
            </w:r>
          </w:p>
          <w:p w14:paraId="21D78933" w14:textId="77777777" w:rsidR="00ED0E85" w:rsidRDefault="00ED0E85" w:rsidP="001F5383">
            <w:pPr>
              <w:pStyle w:val="ListNumber"/>
              <w:numPr>
                <w:ilvl w:val="0"/>
                <w:numId w:val="10"/>
              </w:numPr>
            </w:pPr>
            <w:r>
              <w:t>The case for expansion of the Program to other high energy-using classes of buildings including shopping centres, data centres, hotels (and apartment accommodation), and office tenancies, including the most appropriate form of disclosure in each sector and cost benefit analyses of the preferred options.</w:t>
            </w:r>
          </w:p>
          <w:p w14:paraId="64B7271E" w14:textId="77777777" w:rsidR="00ED0E85" w:rsidRDefault="00ED0E85" w:rsidP="001F5383">
            <w:pPr>
              <w:pStyle w:val="ListNumber"/>
              <w:numPr>
                <w:ilvl w:val="0"/>
                <w:numId w:val="10"/>
              </w:numPr>
            </w:pPr>
            <w:r>
              <w:t>The impact of changes made in response to the previous review, including lowering the mandatory disclosure threshold for commercial office buildings from 2000 m</w:t>
            </w:r>
            <w:r w:rsidRPr="009253DC">
              <w:rPr>
                <w:vertAlign w:val="superscript"/>
              </w:rPr>
              <w:t>2</w:t>
            </w:r>
            <w:r>
              <w:t xml:space="preserve"> to 1000 m</w:t>
            </w:r>
            <w:r w:rsidRPr="0051635B">
              <w:rPr>
                <w:vertAlign w:val="superscript"/>
              </w:rPr>
              <w:t>2</w:t>
            </w:r>
            <w:r>
              <w:t xml:space="preserve"> and the extension of the Tenancy Lighting Assessment to five years.</w:t>
            </w:r>
          </w:p>
          <w:p w14:paraId="61648F93" w14:textId="77777777" w:rsidR="00ED0E85" w:rsidRDefault="00ED0E85" w:rsidP="001F5383">
            <w:pPr>
              <w:pStyle w:val="ListNumber"/>
              <w:numPr>
                <w:ilvl w:val="0"/>
                <w:numId w:val="10"/>
              </w:numPr>
            </w:pPr>
            <w:r>
              <w:t>Whether operational elements of the Program are delivering the best outcomes for stakeholders and the Program’s objectives, including the merits of the Tenancy Lighting Assessment and whether it should be continued or improved, and the merits of requiring periodic ratings instead of ratings triggered by property being offered for sale or lease.</w:t>
            </w:r>
          </w:p>
          <w:p w14:paraId="69E4E6E5" w14:textId="77777777" w:rsidR="00ED0E85" w:rsidRPr="00BF2F67" w:rsidRDefault="00ED0E85" w:rsidP="001F5383">
            <w:pPr>
              <w:pStyle w:val="BodyText"/>
              <w:numPr>
                <w:ilvl w:val="0"/>
                <w:numId w:val="10"/>
              </w:numPr>
              <w:spacing w:before="70"/>
            </w:pPr>
            <w:r>
              <w:t>Any legislative or regulatory changes required to improve the existing Program.</w:t>
            </w:r>
          </w:p>
        </w:tc>
      </w:tr>
      <w:tr w:rsidR="00ED0E85" w14:paraId="39C9D34D" w14:textId="77777777" w:rsidTr="00ED0E85">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tcBorders>
              <w:bottom w:val="single" w:sz="6" w:space="0" w:color="9B917E" w:themeColor="accent4"/>
            </w:tcBorders>
            <w:shd w:val="clear" w:color="auto" w:fill="E9E8E5" w:themeFill="background2"/>
          </w:tcPr>
          <w:p w14:paraId="3DEFF654" w14:textId="77777777" w:rsidR="00ED0E85" w:rsidRDefault="00ED0E85" w:rsidP="00ED0E85"/>
        </w:tc>
      </w:tr>
    </w:tbl>
    <w:p w14:paraId="0EBC0233" w14:textId="77777777" w:rsidR="00ED0E85" w:rsidRDefault="00ED0E85" w:rsidP="00ED0E85">
      <w:pPr>
        <w:pStyle w:val="Heading3"/>
        <w:numPr>
          <w:ilvl w:val="2"/>
          <w:numId w:val="5"/>
        </w:numPr>
        <w:rPr>
          <w:lang w:bidi="fa-IR"/>
        </w:rPr>
      </w:pPr>
      <w:r>
        <w:rPr>
          <w:lang w:bidi="fa-IR"/>
        </w:rPr>
        <w:t>This report</w:t>
      </w:r>
    </w:p>
    <w:p w14:paraId="5DAD0E1B" w14:textId="77777777" w:rsidR="00ED0E85" w:rsidRDefault="00ED0E85" w:rsidP="00ED0E85">
      <w:pPr>
        <w:pStyle w:val="BodyText"/>
        <w:rPr>
          <w:lang w:bidi="fa-IR"/>
        </w:rPr>
      </w:pPr>
      <w:r>
        <w:rPr>
          <w:lang w:bidi="fa-IR"/>
        </w:rPr>
        <w:t>This preliminary draft report presents our preliminary views based on our analysis and the information we have gathered so far. The remainder of the report is structured as follows.</w:t>
      </w:r>
    </w:p>
    <w:p w14:paraId="530308C2" w14:textId="77777777" w:rsidR="00ED0E85" w:rsidRPr="007347F0" w:rsidRDefault="00ED0E85" w:rsidP="00ED0E85">
      <w:pPr>
        <w:pStyle w:val="ListBullet"/>
        <w:rPr>
          <w:lang w:bidi="fa-IR"/>
        </w:rPr>
      </w:pPr>
      <w:r w:rsidRPr="007347F0">
        <w:rPr>
          <w:lang w:bidi="fa-IR"/>
        </w:rPr>
        <w:t>Chapter 2 sets out the rationale for mandatory disclosure</w:t>
      </w:r>
    </w:p>
    <w:p w14:paraId="3673EA58" w14:textId="77777777" w:rsidR="00ED0E85" w:rsidRPr="007347F0" w:rsidRDefault="00ED0E85" w:rsidP="00ED0E85">
      <w:pPr>
        <w:pStyle w:val="ListBullet"/>
        <w:rPr>
          <w:lang w:bidi="fa-IR"/>
        </w:rPr>
      </w:pPr>
      <w:r w:rsidRPr="007347F0">
        <w:rPr>
          <w:lang w:bidi="fa-IR"/>
        </w:rPr>
        <w:t>Chapter 3 reviews the objectives of the CBD Program</w:t>
      </w:r>
    </w:p>
    <w:p w14:paraId="17F21314" w14:textId="77777777" w:rsidR="00ED0E85" w:rsidRPr="007347F0" w:rsidRDefault="00ED0E85" w:rsidP="00ED0E85">
      <w:pPr>
        <w:pStyle w:val="ListBullet"/>
        <w:rPr>
          <w:lang w:bidi="fa-IR"/>
        </w:rPr>
      </w:pPr>
      <w:r w:rsidRPr="007347F0">
        <w:rPr>
          <w:lang w:bidi="fa-IR"/>
        </w:rPr>
        <w:t>Chapter 4 presents our analysis of the impacts the CBD Program, including the impacts of the recent changes</w:t>
      </w:r>
    </w:p>
    <w:p w14:paraId="3CD2A954" w14:textId="77777777" w:rsidR="00ED0E85" w:rsidRPr="007347F0" w:rsidRDefault="00ED0E85" w:rsidP="00ED0E85">
      <w:pPr>
        <w:pStyle w:val="ListBullet"/>
        <w:rPr>
          <w:lang w:bidi="fa-IR"/>
        </w:rPr>
      </w:pPr>
      <w:r w:rsidRPr="007347F0">
        <w:rPr>
          <w:lang w:bidi="fa-IR"/>
        </w:rPr>
        <w:t>Chapter 5 estimates the costs and benefits of the CBD Program to date</w:t>
      </w:r>
    </w:p>
    <w:p w14:paraId="78B6C4CB" w14:textId="77777777" w:rsidR="00ED0E85" w:rsidRPr="007347F0" w:rsidRDefault="00ED0E85" w:rsidP="00ED0E85">
      <w:pPr>
        <w:pStyle w:val="ListBullet"/>
        <w:rPr>
          <w:lang w:bidi="fa-IR"/>
        </w:rPr>
      </w:pPr>
      <w:r w:rsidRPr="007347F0">
        <w:rPr>
          <w:lang w:bidi="fa-IR"/>
        </w:rPr>
        <w:t>Chapter 6 presents our analysis and draft findings on offices</w:t>
      </w:r>
    </w:p>
    <w:p w14:paraId="16A89250" w14:textId="77777777" w:rsidR="00ED0E85" w:rsidRPr="007347F0" w:rsidRDefault="00ED0E85" w:rsidP="00ED0E85">
      <w:pPr>
        <w:pStyle w:val="ListBullet"/>
        <w:rPr>
          <w:lang w:bidi="fa-IR"/>
        </w:rPr>
      </w:pPr>
      <w:r w:rsidRPr="007347F0">
        <w:rPr>
          <w:lang w:bidi="fa-IR"/>
        </w:rPr>
        <w:t>Chapter 7 presents our analysis and draft findings on shopping centres</w:t>
      </w:r>
    </w:p>
    <w:p w14:paraId="5C01D68F" w14:textId="77777777" w:rsidR="00ED0E85" w:rsidRPr="007347F0" w:rsidRDefault="00ED0E85" w:rsidP="00ED0E85">
      <w:pPr>
        <w:pStyle w:val="ListBullet"/>
        <w:rPr>
          <w:lang w:bidi="fa-IR"/>
        </w:rPr>
      </w:pPr>
      <w:r w:rsidRPr="007347F0">
        <w:rPr>
          <w:lang w:bidi="fa-IR"/>
        </w:rPr>
        <w:t>Chapter 8 presents our analysis and draft findings on hotels</w:t>
      </w:r>
    </w:p>
    <w:p w14:paraId="4D912170" w14:textId="77777777" w:rsidR="00ED0E85" w:rsidRPr="007347F0" w:rsidRDefault="00ED0E85" w:rsidP="00ED0E85">
      <w:pPr>
        <w:pStyle w:val="ListBullet"/>
        <w:rPr>
          <w:lang w:bidi="fa-IR"/>
        </w:rPr>
      </w:pPr>
      <w:r w:rsidRPr="007347F0">
        <w:rPr>
          <w:lang w:bidi="fa-IR"/>
        </w:rPr>
        <w:t>Chapter 9 presents our analysis and draft findings on data centres</w:t>
      </w:r>
    </w:p>
    <w:p w14:paraId="53BC9855" w14:textId="77777777" w:rsidR="00ED0E85" w:rsidRPr="007347F0" w:rsidRDefault="00ED0E85" w:rsidP="00ED0E85">
      <w:pPr>
        <w:pStyle w:val="ListBullet"/>
        <w:rPr>
          <w:lang w:bidi="fa-IR"/>
        </w:rPr>
      </w:pPr>
      <w:r w:rsidRPr="007347F0">
        <w:rPr>
          <w:lang w:bidi="fa-IR"/>
        </w:rPr>
        <w:t>Chapter 10 discusses some other issues, including the potential for cost recovery and mandatory disclosure for apartment buildings.</w:t>
      </w:r>
    </w:p>
    <w:p w14:paraId="052CDC22" w14:textId="77777777" w:rsidR="00ED0E85" w:rsidRDefault="00ED0E85" w:rsidP="00ED0E85">
      <w:pPr>
        <w:pStyle w:val="BodyText"/>
        <w:rPr>
          <w:lang w:bidi="fa-IR"/>
        </w:rPr>
      </w:pPr>
    </w:p>
    <w:p w14:paraId="2505C35E" w14:textId="77777777" w:rsidR="00ED0E85" w:rsidRPr="00F51AF6" w:rsidRDefault="00ED0E85" w:rsidP="00ED0E85">
      <w:pPr>
        <w:pStyle w:val="Heading1"/>
        <w:numPr>
          <w:ilvl w:val="0"/>
          <w:numId w:val="5"/>
        </w:numPr>
      </w:pPr>
      <w:bookmarkStart w:id="884" w:name="_Toc19275493"/>
      <w:bookmarkStart w:id="885" w:name="_Toc19276103"/>
      <w:bookmarkStart w:id="886" w:name="_Toc19280102"/>
      <w:r>
        <w:t>Rationale for mandatory disclosure</w:t>
      </w:r>
      <w:bookmarkEnd w:id="884"/>
      <w:bookmarkEnd w:id="885"/>
      <w:bookmarkEnd w:id="886"/>
    </w:p>
    <w:p w14:paraId="6924BDC5" w14:textId="77777777" w:rsidR="00ED0E85" w:rsidRDefault="00ED0E85" w:rsidP="00ED0E85">
      <w:pPr>
        <w:pStyle w:val="Heading2"/>
        <w:numPr>
          <w:ilvl w:val="1"/>
          <w:numId w:val="5"/>
        </w:numPr>
      </w:pPr>
      <w:bookmarkStart w:id="887" w:name="_Toc509220782"/>
      <w:bookmarkStart w:id="888" w:name="_Toc530476887"/>
      <w:bookmarkStart w:id="889" w:name="_Toc19275494"/>
      <w:bookmarkStart w:id="890" w:name="_Toc19276104"/>
      <w:bookmarkStart w:id="891" w:name="_Toc19280103"/>
      <w:r>
        <w:t xml:space="preserve">The rationale for </w:t>
      </w:r>
      <w:bookmarkEnd w:id="887"/>
      <w:bookmarkEnd w:id="888"/>
      <w:r w:rsidRPr="006A46AB">
        <w:t>government energy</w:t>
      </w:r>
      <w:r>
        <w:t xml:space="preserve"> efficiency policies</w:t>
      </w:r>
      <w:bookmarkEnd w:id="889"/>
      <w:bookmarkEnd w:id="890"/>
      <w:bookmarkEnd w:id="891"/>
    </w:p>
    <w:p w14:paraId="4191197D" w14:textId="77777777" w:rsidR="00ED0E85" w:rsidRDefault="00ED0E85" w:rsidP="00ED0E85">
      <w:pPr>
        <w:pStyle w:val="BodyText"/>
      </w:pPr>
      <w:r>
        <w:t>The rationale for government policies to encourage energy efficiency is based on the proposition that industry would not make socially optimal energy efficiency decisions in commercial buildings without government intervention. That is, there are energy efficiency opportunities where the benefits to the community (including public benefits) outweigh the associated costs that would not be taken up in the absence of regulation. This is often referred to as the ‘energy efficiency gap’.</w:t>
      </w:r>
      <w:r>
        <w:rPr>
          <w:rStyle w:val="FootnoteReference"/>
        </w:rPr>
        <w:footnoteReference w:id="10"/>
      </w:r>
    </w:p>
    <w:p w14:paraId="768BB1F7" w14:textId="77777777" w:rsidR="00ED0E85" w:rsidRDefault="00ED0E85" w:rsidP="00ED0E85">
      <w:pPr>
        <w:pStyle w:val="BodyText"/>
      </w:pPr>
      <w:r>
        <w:t>One view is that the energy efficiency gap is caused mainly by a range of market failures and behavioural anomalies.</w:t>
      </w:r>
    </w:p>
    <w:p w14:paraId="68373D99" w14:textId="77777777" w:rsidR="00ED0E85" w:rsidRPr="003015C9" w:rsidRDefault="00ED0E85" w:rsidP="00ED0E85">
      <w:pPr>
        <w:pStyle w:val="Heading3"/>
        <w:numPr>
          <w:ilvl w:val="2"/>
          <w:numId w:val="5"/>
        </w:numPr>
      </w:pPr>
      <w:r>
        <w:t>Market failures relating to energy pricing</w:t>
      </w:r>
    </w:p>
    <w:p w14:paraId="2A4313F0" w14:textId="77777777" w:rsidR="00ED0E85" w:rsidRDefault="00ED0E85" w:rsidP="00ED0E85">
      <w:pPr>
        <w:pStyle w:val="BodyText"/>
      </w:pPr>
      <w:r>
        <w:t>A key market failure is that the full cost of consuming energy is not fully reflected in energy prices. There are unpriced ‘negative externalities’ (i.e. costs imposed on the broader community, rather than energy users) associated with energy consumption, which means that energy users do not take these costs into account in their decisions on whether to invest in energy efficiency. Various studies have identified these externalities as including:</w:t>
      </w:r>
    </w:p>
    <w:p w14:paraId="6A60B39A" w14:textId="06A9EB89" w:rsidR="00ED0E85" w:rsidRDefault="00ED0E85" w:rsidP="001F5383">
      <w:pPr>
        <w:pStyle w:val="ListBullet"/>
        <w:numPr>
          <w:ilvl w:val="0"/>
          <w:numId w:val="17"/>
        </w:numPr>
      </w:pPr>
      <w:r>
        <w:t>greenhouse gas emissions — as greenhouse gas emissions contribute to climate change, the costs are borne by the whole (global) community (see box </w:t>
      </w:r>
      <w:r>
        <w:rPr>
          <w:noProof/>
        </w:rPr>
        <w:fldChar w:fldCharType="begin"/>
      </w:r>
      <w:r>
        <w:rPr>
          <w:noProof/>
        </w:rPr>
        <w:instrText xml:space="preserve"> REF _Caption5719 </w:instrText>
      </w:r>
      <w:r>
        <w:rPr>
          <w:noProof/>
        </w:rPr>
        <w:fldChar w:fldCharType="separate"/>
      </w:r>
      <w:r w:rsidR="00AD3561">
        <w:rPr>
          <w:noProof/>
        </w:rPr>
        <w:t>2</w:t>
      </w:r>
      <w:r w:rsidR="00AD3561" w:rsidRPr="00E05C8C">
        <w:rPr>
          <w:noProof/>
        </w:rPr>
        <w:t>.</w:t>
      </w:r>
      <w:r w:rsidR="00AD3561">
        <w:rPr>
          <w:noProof/>
        </w:rPr>
        <w:t>1</w:t>
      </w:r>
      <w:r>
        <w:rPr>
          <w:noProof/>
        </w:rPr>
        <w:fldChar w:fldCharType="end"/>
      </w:r>
      <w:r>
        <w:t xml:space="preserve"> for a discussion on the global context)</w:t>
      </w:r>
    </w:p>
    <w:p w14:paraId="1AD71DD9" w14:textId="77777777" w:rsidR="00ED0E85" w:rsidRDefault="00ED0E85" w:rsidP="001F5383">
      <w:pPr>
        <w:pStyle w:val="ListBullet"/>
        <w:numPr>
          <w:ilvl w:val="0"/>
          <w:numId w:val="17"/>
        </w:numPr>
      </w:pPr>
      <w:r>
        <w:t>health and other costs associated with other air pollutants emitted by some energy sources, and</w:t>
      </w:r>
    </w:p>
    <w:p w14:paraId="49A0CDD2" w14:textId="77777777" w:rsidR="00ED0E85" w:rsidRDefault="00ED0E85" w:rsidP="001F5383">
      <w:pPr>
        <w:pStyle w:val="ListBullet"/>
        <w:numPr>
          <w:ilvl w:val="0"/>
          <w:numId w:val="17"/>
        </w:numPr>
      </w:pPr>
      <w:r>
        <w:t>externalities associated with peak demand — network capacity and therefore infrastructure costs are driven by peak demand; however, costs relating to peak demand may not be fully reflected in energy prices, which will tend to be more averaged. This also means that energy prices can overstate the cost outside of peak periods.</w:t>
      </w:r>
    </w:p>
    <w:p w14:paraId="3904CFC6" w14:textId="77777777" w:rsidR="00ED0E85" w:rsidRDefault="00ED0E85" w:rsidP="00ED0E85">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Pr>
      <w:tblGrid>
        <w:gridCol w:w="7938"/>
      </w:tblGrid>
      <w:tr w:rsidR="00ED0E85" w:rsidRPr="00E05C8C" w14:paraId="0C3C0C02" w14:textId="77777777" w:rsidTr="00ED0E85">
        <w:trPr>
          <w:cantSplit/>
        </w:trPr>
        <w:tc>
          <w:tcPr>
            <w:tcW w:w="7938" w:type="dxa"/>
            <w:tcBorders>
              <w:top w:val="nil"/>
              <w:left w:val="nil"/>
              <w:bottom w:val="nil"/>
              <w:right w:val="nil"/>
            </w:tcBorders>
            <w:shd w:val="clear" w:color="auto" w:fill="C6BFAB" w:themeFill="accent3"/>
          </w:tcPr>
          <w:p w14:paraId="08A3BAA5" w14:textId="2BFECE79" w:rsidR="00ED0E85" w:rsidRPr="00E05C8C" w:rsidRDefault="00ED0E85" w:rsidP="001F5383">
            <w:pPr>
              <w:pStyle w:val="Caption"/>
              <w:numPr>
                <w:ilvl w:val="0"/>
                <w:numId w:val="13"/>
              </w:numPr>
              <w:spacing w:before="120" w:after="100"/>
            </w:pPr>
            <w:r w:rsidRPr="00E05C8C">
              <w:fldChar w:fldCharType="begin"/>
            </w:r>
            <w:r w:rsidRPr="00E05C8C">
              <w:instrText xml:space="preserve"> IF 1 = 1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2</w:instrText>
            </w:r>
            <w:r>
              <w:rPr>
                <w:noProof/>
              </w:rPr>
              <w:fldChar w:fldCharType="end"/>
            </w:r>
            <w:r w:rsidRPr="00E05C8C">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2</w:instrText>
            </w:r>
            <w:r>
              <w:rPr>
                <w:noProof/>
              </w:rPr>
              <w:fldChar w:fldCharType="end"/>
            </w:r>
            <w:r w:rsidRPr="00E05C8C">
              <w:instrText xml:space="preserve">." </w:instrText>
            </w:r>
            <w:r w:rsidRPr="00E05C8C">
              <w:fldChar w:fldCharType="separate"/>
            </w:r>
            <w:r w:rsidR="00AD3561">
              <w:rPr>
                <w:noProof/>
              </w:rPr>
              <w:instrText>2</w:instrText>
            </w:r>
            <w:r w:rsidR="00AD3561" w:rsidRPr="00E05C8C">
              <w:rPr>
                <w:noProof/>
              </w:rPr>
              <w:instrText>.</w:instrText>
            </w:r>
            <w:r w:rsidRPr="00E05C8C">
              <w:fldChar w:fldCharType="end"/>
            </w:r>
            <w:r w:rsidRPr="00E05C8C">
              <w:instrText>" "</w:instrText>
            </w:r>
            <w:r w:rsidR="00C353B5">
              <w:fldChar w:fldCharType="begin"/>
            </w:r>
            <w:r w:rsidR="00C353B5">
              <w:instrText xml:space="preserve"> STYLEREF "Heading 6" \l \n </w:instrText>
            </w:r>
            <w:r w:rsidR="00C353B5">
              <w:fldChar w:fldCharType="separate"/>
            </w:r>
            <w:r w:rsidRPr="00E05C8C">
              <w:instrText>B</w:instrText>
            </w:r>
            <w:r w:rsidR="00C353B5">
              <w:fldChar w:fldCharType="end"/>
            </w:r>
            <w:r w:rsidRPr="00E05C8C">
              <w:instrText xml:space="preserve">." </w:instrText>
            </w:r>
            <w:r w:rsidRPr="00E05C8C">
              <w:fldChar w:fldCharType="separate"/>
            </w:r>
            <w:r w:rsidR="00C353B5">
              <w:rPr>
                <w:noProof/>
              </w:rPr>
              <w:instrText>2</w:instrText>
            </w:r>
            <w:r w:rsidR="00C353B5"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2</w:instrText>
            </w:r>
            <w:r>
              <w:rPr>
                <w:noProof/>
              </w:rPr>
              <w:fldChar w:fldCharType="end"/>
            </w:r>
            <w:r w:rsidRPr="00E05C8C">
              <w:instrText xml:space="preserve"> = 0 "" "1" </w:instrText>
            </w:r>
            <w:r w:rsidRPr="00E05C8C">
              <w:fldChar w:fldCharType="separate"/>
            </w:r>
            <w:r w:rsidR="00C353B5" w:rsidRPr="00E05C8C">
              <w:rPr>
                <w:noProof/>
              </w:rPr>
              <w:instrText>1</w:instrText>
            </w:r>
            <w:r w:rsidRPr="00E05C8C">
              <w:fldChar w:fldCharType="end"/>
            </w:r>
            <w:r w:rsidRPr="00E05C8C">
              <w:instrText xml:space="preserve">" "6" </w:instrText>
            </w:r>
            <w:r w:rsidRPr="00E05C8C">
              <w:fldChar w:fldCharType="separate"/>
            </w:r>
            <w:r w:rsidR="00C353B5" w:rsidRPr="00E05C8C">
              <w:rPr>
                <w:noProof/>
              </w:rPr>
              <w:instrText>1</w:instrText>
            </w:r>
            <w:r w:rsidRPr="00E05C8C">
              <w:fldChar w:fldCharType="end"/>
            </w:r>
            <w:r w:rsidRPr="00E05C8C">
              <w:instrText xml:space="preserve"> </w:instrText>
            </w:r>
            <w:r w:rsidRPr="00E05C8C">
              <w:fldChar w:fldCharType="separate"/>
            </w:r>
            <w:r w:rsidR="00AD3561">
              <w:rPr>
                <w:noProof/>
              </w:rPr>
              <w:instrText>1</w:instrText>
            </w:r>
            <w:r w:rsidRPr="00E05C8C">
              <w:fldChar w:fldCharType="end"/>
            </w:r>
            <w:r w:rsidRPr="00E05C8C">
              <w:instrText xml:space="preserve">" "" </w:instrText>
            </w:r>
            <w:r w:rsidRPr="00E05C8C">
              <w:fldChar w:fldCharType="separate"/>
            </w:r>
            <w:bookmarkStart w:id="892" w:name="_Caption4325"/>
            <w:bookmarkStart w:id="893" w:name="_Caption5085"/>
            <w:bookmarkStart w:id="894" w:name="_Caption8542"/>
            <w:bookmarkStart w:id="895" w:name="_Caption3948"/>
            <w:bookmarkStart w:id="896" w:name="_Caption9785"/>
            <w:bookmarkStart w:id="897" w:name="_Caption0287"/>
            <w:bookmarkStart w:id="898" w:name="_Caption6037"/>
            <w:bookmarkStart w:id="899" w:name="_Caption5829"/>
            <w:bookmarkStart w:id="900" w:name="_Caption2494"/>
            <w:bookmarkStart w:id="901" w:name="_Caption5225"/>
            <w:bookmarkStart w:id="902" w:name="_Caption4866"/>
            <w:bookmarkStart w:id="903" w:name="_Caption6641"/>
            <w:bookmarkStart w:id="904" w:name="_Caption0642"/>
            <w:bookmarkStart w:id="905" w:name="_Caption3761"/>
            <w:bookmarkStart w:id="906" w:name="_Caption1291"/>
            <w:bookmarkStart w:id="907" w:name="_Caption2669"/>
            <w:bookmarkStart w:id="908" w:name="_Caption1772"/>
            <w:bookmarkStart w:id="909" w:name="_Caption4769"/>
            <w:bookmarkStart w:id="910" w:name="_Caption2048"/>
            <w:bookmarkStart w:id="911" w:name="_Caption4952"/>
            <w:bookmarkStart w:id="912" w:name="_Caption0322"/>
            <w:bookmarkStart w:id="913" w:name="_Caption3847"/>
            <w:bookmarkStart w:id="914" w:name="_Caption2096"/>
            <w:bookmarkStart w:id="915" w:name="_Caption7800"/>
            <w:bookmarkStart w:id="916" w:name="_Caption9334"/>
            <w:bookmarkStart w:id="917" w:name="_Caption4645"/>
            <w:bookmarkStart w:id="918" w:name="_Caption9323"/>
            <w:bookmarkStart w:id="919" w:name="_Caption2543"/>
            <w:bookmarkStart w:id="920" w:name="_Caption6646"/>
            <w:bookmarkStart w:id="921" w:name="_Caption8781"/>
            <w:bookmarkStart w:id="922" w:name="_Caption2882"/>
            <w:bookmarkStart w:id="923" w:name="_Caption2252"/>
            <w:bookmarkStart w:id="924" w:name="_Caption9647"/>
            <w:bookmarkStart w:id="925" w:name="_Caption2331"/>
            <w:bookmarkStart w:id="926" w:name="_Caption5409"/>
            <w:bookmarkStart w:id="927" w:name="_Caption3768"/>
            <w:bookmarkStart w:id="928" w:name="_Caption4018"/>
            <w:bookmarkStart w:id="929" w:name="_Caption6673"/>
            <w:bookmarkStart w:id="930" w:name="_Caption6511"/>
            <w:bookmarkStart w:id="931" w:name="_Caption2777"/>
            <w:bookmarkStart w:id="932" w:name="_Caption0511"/>
            <w:bookmarkStart w:id="933" w:name="_Caption0659"/>
            <w:bookmarkStart w:id="934" w:name="_Caption8672"/>
            <w:bookmarkStart w:id="935" w:name="_Caption4311"/>
            <w:bookmarkStart w:id="936" w:name="_Caption5672"/>
            <w:bookmarkStart w:id="937" w:name="_Caption7421"/>
            <w:bookmarkStart w:id="938" w:name="_Caption2425"/>
            <w:bookmarkStart w:id="939" w:name="_Caption6327"/>
            <w:bookmarkStart w:id="940" w:name="_Caption5218"/>
            <w:bookmarkStart w:id="941" w:name="_Caption2377"/>
            <w:bookmarkStart w:id="942" w:name="_Caption9580"/>
            <w:bookmarkStart w:id="943" w:name="_Caption9563"/>
            <w:bookmarkStart w:id="944" w:name="_Caption4469"/>
            <w:bookmarkStart w:id="945" w:name="_Caption7373"/>
            <w:bookmarkStart w:id="946" w:name="_Caption2952"/>
            <w:bookmarkStart w:id="947" w:name="_Caption3235"/>
            <w:bookmarkStart w:id="948" w:name="_Caption2199"/>
            <w:bookmarkStart w:id="949" w:name="_Caption9628"/>
            <w:bookmarkStart w:id="950" w:name="_Caption3572"/>
            <w:bookmarkStart w:id="951" w:name="_Caption5557"/>
            <w:bookmarkStart w:id="952" w:name="_Caption5606"/>
            <w:bookmarkStart w:id="953" w:name="_Caption2705"/>
            <w:bookmarkStart w:id="954" w:name="_Caption5587"/>
            <w:bookmarkStart w:id="955" w:name="_Caption5175"/>
            <w:bookmarkStart w:id="956" w:name="_Caption7480"/>
            <w:bookmarkStart w:id="957" w:name="_Caption7078"/>
            <w:bookmarkStart w:id="958" w:name="_Caption0151"/>
            <w:bookmarkStart w:id="959" w:name="_Caption0314"/>
            <w:bookmarkStart w:id="960" w:name="_Caption0504"/>
            <w:bookmarkStart w:id="961" w:name="_Caption5526"/>
            <w:bookmarkStart w:id="962" w:name="_Caption5564"/>
            <w:bookmarkStart w:id="963" w:name="_Caption1064"/>
            <w:bookmarkStart w:id="964" w:name="_Caption8318"/>
            <w:bookmarkStart w:id="965" w:name="_Caption8990"/>
            <w:bookmarkStart w:id="966" w:name="_Caption5412"/>
            <w:bookmarkStart w:id="967" w:name="_Caption3118"/>
            <w:bookmarkStart w:id="968" w:name="_Caption7747"/>
            <w:bookmarkStart w:id="969" w:name="_Caption7415"/>
            <w:bookmarkStart w:id="970" w:name="_Caption0014"/>
            <w:bookmarkStart w:id="971" w:name="_Caption4732"/>
            <w:bookmarkStart w:id="972" w:name="_Caption8920"/>
            <w:bookmarkStart w:id="973" w:name="_Caption3055"/>
            <w:bookmarkStart w:id="974" w:name="_Caption3080"/>
            <w:bookmarkStart w:id="975" w:name="_Caption2198"/>
            <w:bookmarkStart w:id="976" w:name="_Caption3144"/>
            <w:bookmarkStart w:id="977" w:name="_Caption0819"/>
            <w:bookmarkStart w:id="978" w:name="_Caption6183"/>
            <w:bookmarkStart w:id="979" w:name="_Caption6634"/>
            <w:bookmarkStart w:id="980" w:name="_Caption3737"/>
            <w:bookmarkStart w:id="981" w:name="_Caption1263"/>
            <w:bookmarkStart w:id="982" w:name="_Caption5305"/>
            <w:bookmarkStart w:id="983" w:name="_Caption0983"/>
            <w:bookmarkStart w:id="984" w:name="_Caption3177"/>
            <w:bookmarkStart w:id="985" w:name="_Caption1445"/>
            <w:bookmarkStart w:id="986" w:name="_Caption9843"/>
            <w:bookmarkStart w:id="987" w:name="_Caption5380"/>
            <w:bookmarkStart w:id="988" w:name="_Caption5719"/>
            <w:bookmarkStart w:id="989" w:name="_Caption7215"/>
            <w:bookmarkStart w:id="990" w:name="_Caption8754"/>
            <w:bookmarkStart w:id="991" w:name="_Caption8442"/>
            <w:bookmarkStart w:id="992" w:name="_Caption2361"/>
            <w:bookmarkStart w:id="993" w:name="_Caption0662"/>
            <w:bookmarkStart w:id="994" w:name="_Caption3420"/>
            <w:bookmarkStart w:id="995" w:name="_Caption5393"/>
            <w:bookmarkStart w:id="996" w:name="_Caption5143"/>
            <w:bookmarkStart w:id="997" w:name="_Caption1150"/>
            <w:bookmarkStart w:id="998" w:name="_Caption7118"/>
            <w:bookmarkStart w:id="999" w:name="_Caption2289"/>
            <w:bookmarkStart w:id="1000" w:name="_Caption6804"/>
            <w:bookmarkStart w:id="1001" w:name="_Caption1831"/>
            <w:bookmarkStart w:id="1002" w:name="_Caption5915"/>
            <w:bookmarkStart w:id="1003" w:name="_Caption7189"/>
            <w:bookmarkStart w:id="1004" w:name="_Caption1882"/>
            <w:bookmarkStart w:id="1005" w:name="_Caption6876"/>
            <w:bookmarkStart w:id="1006" w:name="_Caption8639"/>
            <w:bookmarkStart w:id="1007" w:name="_Caption3766"/>
            <w:bookmarkStart w:id="1008" w:name="_Caption6813"/>
            <w:bookmarkStart w:id="1009" w:name="_Caption8579"/>
            <w:bookmarkStart w:id="1010" w:name="_Caption9408"/>
            <w:bookmarkStart w:id="1011" w:name="_Caption6731"/>
            <w:bookmarkStart w:id="1012" w:name="_Caption2147"/>
            <w:bookmarkStart w:id="1013" w:name="_Caption0272"/>
            <w:bookmarkStart w:id="1014" w:name="_Caption8447"/>
            <w:bookmarkStart w:id="1015" w:name="_Caption6814"/>
            <w:bookmarkStart w:id="1016" w:name="_Caption1844"/>
            <w:bookmarkStart w:id="1017" w:name="_Caption0684"/>
            <w:bookmarkStart w:id="1018" w:name="_Caption2784"/>
            <w:bookmarkStart w:id="1019" w:name="_Caption3635"/>
            <w:bookmarkStart w:id="1020" w:name="_Caption9869"/>
            <w:bookmarkStart w:id="1021" w:name="_Caption3383"/>
            <w:bookmarkStart w:id="1022" w:name="_Caption3595"/>
            <w:bookmarkStart w:id="1023" w:name="_Caption7504"/>
            <w:bookmarkStart w:id="1024" w:name="_Caption4387"/>
            <w:bookmarkStart w:id="1025" w:name="_Caption8570"/>
            <w:bookmarkStart w:id="1026" w:name="_Caption0925"/>
            <w:bookmarkStart w:id="1027" w:name="_Caption9532"/>
            <w:bookmarkStart w:id="1028" w:name="_Caption5443"/>
            <w:bookmarkStart w:id="1029" w:name="_Caption0721"/>
            <w:bookmarkStart w:id="1030" w:name="_Caption3731"/>
            <w:bookmarkStart w:id="1031" w:name="_Caption4716"/>
            <w:bookmarkStart w:id="1032" w:name="_Caption9346"/>
            <w:bookmarkStart w:id="1033" w:name="_Caption6114"/>
            <w:bookmarkStart w:id="1034" w:name="_Caption7659"/>
            <w:bookmarkStart w:id="1035" w:name="_Caption4079"/>
            <w:bookmarkStart w:id="1036" w:name="_Caption1446"/>
            <w:bookmarkStart w:id="1037" w:name="_Caption6844"/>
            <w:bookmarkStart w:id="1038" w:name="_Caption0411"/>
            <w:bookmarkStart w:id="1039" w:name="_Caption6946"/>
            <w:bookmarkStart w:id="1040" w:name="_Caption1041"/>
            <w:bookmarkStart w:id="1041" w:name="_Caption1222"/>
            <w:bookmarkStart w:id="1042" w:name="_Caption9254"/>
            <w:bookmarkStart w:id="1043" w:name="_Caption3630"/>
            <w:bookmarkStart w:id="1044" w:name="_Caption6875"/>
            <w:bookmarkStart w:id="1045" w:name="_Caption9377"/>
            <w:bookmarkStart w:id="1046" w:name="_Caption4312"/>
            <w:bookmarkStart w:id="1047" w:name="_Caption1412"/>
            <w:bookmarkStart w:id="1048" w:name="_Caption6936"/>
            <w:bookmarkStart w:id="1049" w:name="_Caption8249"/>
            <w:bookmarkStart w:id="1050" w:name="_Caption3998"/>
            <w:bookmarkStart w:id="1051" w:name="_Caption1076"/>
            <w:bookmarkStart w:id="1052" w:name="_Caption1656"/>
            <w:bookmarkStart w:id="1053" w:name="_Caption0214"/>
            <w:bookmarkStart w:id="1054" w:name="_Caption5070"/>
            <w:bookmarkStart w:id="1055" w:name="_Caption9170"/>
            <w:bookmarkStart w:id="1056" w:name="_Caption3790"/>
            <w:bookmarkStart w:id="1057" w:name="_Caption5463"/>
            <w:bookmarkStart w:id="1058" w:name="_Caption0872"/>
            <w:bookmarkStart w:id="1059" w:name="_Caption9794"/>
            <w:bookmarkStart w:id="1060" w:name="_Caption4574"/>
            <w:bookmarkStart w:id="1061" w:name="_Caption6360"/>
            <w:bookmarkStart w:id="1062" w:name="_Caption1632"/>
            <w:bookmarkStart w:id="1063" w:name="_Caption4929"/>
            <w:bookmarkStart w:id="1064" w:name="_Caption3529"/>
            <w:bookmarkStart w:id="1065" w:name="_Caption2817"/>
            <w:bookmarkStart w:id="1066" w:name="_Caption8088"/>
            <w:bookmarkStart w:id="1067" w:name="_Caption0517"/>
            <w:bookmarkStart w:id="1068" w:name="_Caption3889"/>
            <w:bookmarkStart w:id="1069" w:name="_Caption7508"/>
            <w:bookmarkStart w:id="1070" w:name="_Caption8368"/>
            <w:bookmarkStart w:id="1071" w:name="_Caption6319"/>
            <w:bookmarkStart w:id="1072" w:name="_Caption9447"/>
            <w:bookmarkStart w:id="1073" w:name="_Caption8610"/>
            <w:bookmarkStart w:id="1074" w:name="_Caption9632"/>
            <w:bookmarkStart w:id="1075" w:name="_Caption9191"/>
            <w:bookmarkStart w:id="1076" w:name="_Caption4734"/>
            <w:bookmarkStart w:id="1077" w:name="_Caption5532"/>
            <w:bookmarkStart w:id="1078" w:name="_Caption8865"/>
            <w:bookmarkStart w:id="1079" w:name="_Caption0623"/>
            <w:bookmarkStart w:id="1080" w:name="_Caption3675"/>
            <w:bookmarkStart w:id="1081" w:name="_Caption3842"/>
            <w:bookmarkStart w:id="1082" w:name="_Caption7496"/>
            <w:bookmarkStart w:id="1083" w:name="_Caption5499"/>
            <w:bookmarkStart w:id="1084" w:name="_Caption0743"/>
            <w:bookmarkStart w:id="1085" w:name="_Caption1516"/>
            <w:bookmarkStart w:id="1086" w:name="_Caption7396"/>
            <w:bookmarkStart w:id="1087" w:name="_Caption0215"/>
            <w:bookmarkStart w:id="1088" w:name="_Caption8102"/>
            <w:bookmarkStart w:id="1089" w:name="_Caption1250"/>
            <w:bookmarkStart w:id="1090" w:name="_Caption9354"/>
            <w:bookmarkStart w:id="1091" w:name="_Caption8869"/>
            <w:bookmarkStart w:id="1092" w:name="_Caption2496"/>
            <w:bookmarkStart w:id="1093" w:name="_Caption7924"/>
            <w:bookmarkStart w:id="1094" w:name="_Caption0907"/>
            <w:bookmarkStart w:id="1095" w:name="_Caption5454"/>
            <w:bookmarkStart w:id="1096" w:name="_Caption8679"/>
            <w:bookmarkStart w:id="1097" w:name="_Toc499847034"/>
            <w:bookmarkStart w:id="1098" w:name="_Toc509220839"/>
            <w:bookmarkStart w:id="1099" w:name="_Toc530476951"/>
            <w:bookmarkStart w:id="1100" w:name="_Toc19275568"/>
            <w:bookmarkStart w:id="1101" w:name="_Toc19276178"/>
            <w:bookmarkStart w:id="1102" w:name="_Toc19280177"/>
            <w:r w:rsidR="00C353B5">
              <w:rPr>
                <w:noProof/>
              </w:rPr>
              <w:t>2</w:t>
            </w:r>
            <w:r w:rsidR="00C353B5" w:rsidRPr="00E05C8C">
              <w:rPr>
                <w:noProof/>
              </w:rPr>
              <w:t>.</w:t>
            </w:r>
            <w:r w:rsidR="00C353B5">
              <w:rPr>
                <w:noProof/>
              </w:rPr>
              <w:t>1</w:t>
            </w:r>
            <w:bookmarkStart w:id="1103" w:name="_Toc507523790"/>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r w:rsidRPr="00E05C8C">
              <w:fldChar w:fldCharType="end"/>
            </w:r>
            <w:r w:rsidRPr="00E05C8C">
              <w:tab/>
            </w:r>
            <w:r>
              <w:t>Global context</w:t>
            </w:r>
            <w:bookmarkEnd w:id="1097"/>
            <w:bookmarkEnd w:id="1098"/>
            <w:bookmarkEnd w:id="1099"/>
            <w:bookmarkEnd w:id="1100"/>
            <w:bookmarkEnd w:id="1101"/>
            <w:bookmarkEnd w:id="1102"/>
            <w:bookmarkEnd w:id="1103"/>
          </w:p>
        </w:tc>
      </w:tr>
      <w:tr w:rsidR="00ED0E85" w14:paraId="5CB753D8" w14:textId="77777777" w:rsidTr="00ED0E85">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9E8E5" w:themeFill="background2"/>
          </w:tcPr>
          <w:p w14:paraId="76A567D0" w14:textId="77777777" w:rsidR="00ED0E85" w:rsidRDefault="00ED0E85" w:rsidP="00ED0E85">
            <w:pPr>
              <w:pStyle w:val="BodyText"/>
            </w:pPr>
            <w:r>
              <w:t>Climate change caused by human activity is a global problem, requiring a global solution. Greenhouse gases in the atmosphere contribute to warming across the globe, regardless of where the emissions occur. In that sense, greenhouse gas abatement has the characteristics of a global public good. Specifically, greenhouse gas abatement is:</w:t>
            </w:r>
          </w:p>
          <w:p w14:paraId="428C9484" w14:textId="77777777" w:rsidR="00ED0E85" w:rsidRDefault="00ED0E85" w:rsidP="001F5383">
            <w:pPr>
              <w:pStyle w:val="ListBullet"/>
              <w:numPr>
                <w:ilvl w:val="0"/>
                <w:numId w:val="17"/>
              </w:numPr>
            </w:pPr>
            <w:r>
              <w:t>non</w:t>
            </w:r>
            <w:r>
              <w:noBreakHyphen/>
              <w:t>excludable — individual countries cannot be excluded from receiving the benefits of limiting climate change; and</w:t>
            </w:r>
          </w:p>
          <w:p w14:paraId="262A72D5" w14:textId="77777777" w:rsidR="00ED0E85" w:rsidRDefault="00ED0E85" w:rsidP="001F5383">
            <w:pPr>
              <w:pStyle w:val="ListBullet"/>
              <w:numPr>
                <w:ilvl w:val="0"/>
                <w:numId w:val="17"/>
              </w:numPr>
            </w:pPr>
            <w:r>
              <w:t>non</w:t>
            </w:r>
            <w:r>
              <w:noBreakHyphen/>
              <w:t>rival — one country receiving benefits from limiting climate change does not prevent other countries from receiving the same benefits.</w:t>
            </w:r>
          </w:p>
          <w:p w14:paraId="458417EA" w14:textId="77777777" w:rsidR="00ED0E85" w:rsidRDefault="00ED0E85" w:rsidP="00ED0E85">
            <w:pPr>
              <w:pStyle w:val="BodyText"/>
            </w:pPr>
            <w:r>
              <w:t>These characteristics mean that there is little incentive for each country individually to reduce greenhouse gas emissions to a level that will limit climate change. The costs associated with reducing greenhouse gas emissions are incurred domestically, while the benefits are spread across the globe. Each country therefore has an incentive to free</w:t>
            </w:r>
            <w:r>
              <w:noBreakHyphen/>
              <w:t>ride off the efforts of others.</w:t>
            </w:r>
          </w:p>
          <w:p w14:paraId="7796513C" w14:textId="77777777" w:rsidR="00ED0E85" w:rsidRPr="00BF2F67" w:rsidRDefault="00ED0E85" w:rsidP="00ED0E85">
            <w:pPr>
              <w:pStyle w:val="BodyText"/>
            </w:pPr>
            <w:r>
              <w:t>International Agreements are therefore a crucial mechanism for achieving global action. The Paris Climate Agreement has been ratified by 168 of 197 Parties to the United Nations Framework Convention on Climate Change (UNFCCC).</w:t>
            </w:r>
            <w:r>
              <w:rPr>
                <w:rStyle w:val="FootnoteReference"/>
              </w:rPr>
              <w:footnoteReference w:id="11"/>
            </w:r>
            <w:r>
              <w:t xml:space="preserve"> It aims to limit global warming to less than 2 degrees Celsius and pursue efforts to limit the rise to 1.5 degrees Celsius.</w:t>
            </w:r>
          </w:p>
        </w:tc>
      </w:tr>
      <w:tr w:rsidR="00ED0E85" w14:paraId="45DE7F66" w14:textId="77777777" w:rsidTr="00ED0E85">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tcBorders>
              <w:bottom w:val="single" w:sz="6" w:space="0" w:color="9B917E" w:themeColor="accent4"/>
            </w:tcBorders>
            <w:shd w:val="clear" w:color="auto" w:fill="E9E8E5" w:themeFill="background2"/>
          </w:tcPr>
          <w:p w14:paraId="001878CA" w14:textId="77777777" w:rsidR="00ED0E85" w:rsidRDefault="00ED0E85" w:rsidP="00ED0E85"/>
        </w:tc>
      </w:tr>
      <w:tr w:rsidR="00ED0E85" w14:paraId="049462B9" w14:textId="77777777" w:rsidTr="00ED0E85">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98"/>
        </w:trPr>
        <w:tc>
          <w:tcPr>
            <w:tcW w:w="7938" w:type="dxa"/>
            <w:tcBorders>
              <w:top w:val="single" w:sz="6" w:space="0" w:color="9B917E" w:themeColor="accent4"/>
            </w:tcBorders>
            <w:shd w:val="clear" w:color="6F6652" w:fill="auto"/>
          </w:tcPr>
          <w:p w14:paraId="03CA57BB" w14:textId="77777777" w:rsidR="00ED0E85" w:rsidRDefault="00ED0E85" w:rsidP="00ED0E85"/>
        </w:tc>
      </w:tr>
    </w:tbl>
    <w:p w14:paraId="4B9C191D" w14:textId="77777777" w:rsidR="00ED0E85" w:rsidRDefault="00ED0E85" w:rsidP="00ED0E85">
      <w:pPr>
        <w:pStyle w:val="Heading3"/>
        <w:numPr>
          <w:ilvl w:val="2"/>
          <w:numId w:val="5"/>
        </w:numPr>
      </w:pPr>
      <w:r>
        <w:t>Other market failures and behavioural anomalies</w:t>
      </w:r>
    </w:p>
    <w:p w14:paraId="3E7C596F" w14:textId="77777777" w:rsidR="00ED0E85" w:rsidRDefault="00ED0E85" w:rsidP="00ED0E85">
      <w:pPr>
        <w:pStyle w:val="BodyText"/>
      </w:pPr>
      <w:r>
        <w:t>Notwithstanding the market failures associated with energy pricing, it is often argued that policy measures to improve energy efficiency deliver ‘win</w:t>
      </w:r>
      <w:r>
        <w:noBreakHyphen/>
        <w:t>win’ outcomes in the sense that they deliver reduced greenhouse gas emissions, as well as private benefits through bill savings that outweigh any associated costs.</w:t>
      </w:r>
      <w:r>
        <w:rPr>
          <w:rStyle w:val="FootnoteReference"/>
        </w:rPr>
        <w:footnoteReference w:id="12"/>
      </w:r>
      <w:r>
        <w:t xml:space="preserve"> This implies there are energy efficiency opportunities that are privately cost effective </w:t>
      </w:r>
      <w:r w:rsidRPr="005F3B73">
        <w:t xml:space="preserve">(for example, </w:t>
      </w:r>
      <w:r>
        <w:t xml:space="preserve">replacing incandescent lights with LED lights, or installing motion sensor lights) </w:t>
      </w:r>
      <w:r w:rsidRPr="005F3B73">
        <w:t>that</w:t>
      </w:r>
      <w:r>
        <w:t xml:space="preserve"> nevertheless fail to be adopted. This is often referred as the ‘energy efficiency paradox’.</w:t>
      </w:r>
      <w:r>
        <w:rPr>
          <w:rStyle w:val="FootnoteReference"/>
        </w:rPr>
        <w:footnoteReference w:id="13"/>
      </w:r>
    </w:p>
    <w:p w14:paraId="437FC061" w14:textId="77777777" w:rsidR="00ED0E85" w:rsidRDefault="00ED0E85" w:rsidP="00ED0E85">
      <w:pPr>
        <w:pStyle w:val="BodyText"/>
      </w:pPr>
      <w:r>
        <w:t>Frequently cited market failures and behavioural anomalies/failures that contribute to the energy efficiency paradox in relation to commercial buildings, include the following:</w:t>
      </w:r>
    </w:p>
    <w:p w14:paraId="170426E7" w14:textId="77777777" w:rsidR="00ED0E85" w:rsidRDefault="00ED0E85" w:rsidP="001F5383">
      <w:pPr>
        <w:pStyle w:val="ListBullet"/>
        <w:numPr>
          <w:ilvl w:val="0"/>
          <w:numId w:val="17"/>
        </w:numPr>
      </w:pPr>
      <w:r>
        <w:t>Information failures, including:</w:t>
      </w:r>
    </w:p>
    <w:p w14:paraId="15552158" w14:textId="77777777" w:rsidR="00ED0E85" w:rsidRDefault="00ED0E85" w:rsidP="001F5383">
      <w:pPr>
        <w:pStyle w:val="ListBullet2"/>
        <w:numPr>
          <w:ilvl w:val="1"/>
          <w:numId w:val="17"/>
        </w:numPr>
      </w:pPr>
      <w:r>
        <w:t>a lack of information available to consumers/tenants;</w:t>
      </w:r>
    </w:p>
    <w:p w14:paraId="7DECF3FF" w14:textId="77777777" w:rsidR="00ED0E85" w:rsidRDefault="00ED0E85" w:rsidP="001F5383">
      <w:pPr>
        <w:pStyle w:val="ListBullet2"/>
        <w:numPr>
          <w:ilvl w:val="1"/>
          <w:numId w:val="17"/>
        </w:numPr>
      </w:pPr>
      <w:r>
        <w:t>information asymmetries where the seller/landlord may have information on the energy efficiency of a building, but the buyer/tenant does not.</w:t>
      </w:r>
    </w:p>
    <w:p w14:paraId="06598556" w14:textId="77777777" w:rsidR="00ED0E85" w:rsidRDefault="00ED0E85" w:rsidP="001F5383">
      <w:pPr>
        <w:pStyle w:val="ListBullet"/>
        <w:numPr>
          <w:ilvl w:val="0"/>
          <w:numId w:val="17"/>
        </w:numPr>
      </w:pPr>
      <w:r>
        <w:t>Split incentives/principal-agent problem — this arises where the party making energy efficiency investment decisions is not responsible for paying the energy bills and can arise where the incentives affecting the builders making decisions that affect future buyers are not aligned to end-occupant/end-owner.</w:t>
      </w:r>
    </w:p>
    <w:p w14:paraId="335CE5EC" w14:textId="77777777" w:rsidR="00ED0E85" w:rsidRDefault="00ED0E85" w:rsidP="001F5383">
      <w:pPr>
        <w:pStyle w:val="ListBullet2"/>
        <w:numPr>
          <w:ilvl w:val="1"/>
          <w:numId w:val="17"/>
        </w:numPr>
      </w:pPr>
      <w:r>
        <w:t xml:space="preserve">This split incentive problem typically occurs between building owner (i.e. the landlord) who bears the cost of any investment in energy efficiency and tenant who pays the energy bills. Note that operational improvements to energy efficiency are less likely to suffer from this problem. Where a tenant has a gross lease arrangement then there is also not a split incentive problem. </w:t>
      </w:r>
    </w:p>
    <w:p w14:paraId="0DED529F" w14:textId="77777777" w:rsidR="00ED0E85" w:rsidRDefault="00ED0E85" w:rsidP="001F5383">
      <w:pPr>
        <w:pStyle w:val="ListBullet2"/>
        <w:numPr>
          <w:ilvl w:val="1"/>
          <w:numId w:val="17"/>
        </w:numPr>
      </w:pPr>
      <w:r>
        <w:t xml:space="preserve">Split incentives may also occur between a building contractor and its owner and occupier. A building contractor makes many energy-related decisions, and given these energy efficient alternatives usually increase the cost of construction, the contractor has incentives to avoid these measures, especially if the measures are not immediately obvious to the owner or prospective buyers. This effect may be further exacerbated through the use of sub-contractors, who have no incentive to make long term energy efficiency recommendations to the owner/occupier. </w:t>
      </w:r>
    </w:p>
    <w:p w14:paraId="648766F7" w14:textId="77777777" w:rsidR="00ED0E85" w:rsidRDefault="00ED0E85" w:rsidP="001F5383">
      <w:pPr>
        <w:pStyle w:val="ListBullet2"/>
        <w:numPr>
          <w:ilvl w:val="1"/>
          <w:numId w:val="17"/>
        </w:numPr>
      </w:pPr>
      <w:r>
        <w:t>Another type of split incentive could occur within large organisations, where separate parts of the organisation are responsible for capital budgets and paying energy bills.</w:t>
      </w:r>
    </w:p>
    <w:p w14:paraId="3985FD54" w14:textId="77777777" w:rsidR="00ED0E85" w:rsidRDefault="00ED0E85" w:rsidP="00ED0E85">
      <w:pPr>
        <w:pStyle w:val="ListBullet"/>
      </w:pPr>
      <w:r>
        <w:t>Behavioural anomalies/failures — some studies suggest that behavioural anomalies contribute to under</w:t>
      </w:r>
      <w:r>
        <w:noBreakHyphen/>
        <w:t>investment in energy efficiency. Here the problem is not the availability of information, rather the available information may not be acted on due to:</w:t>
      </w:r>
    </w:p>
    <w:p w14:paraId="6454530F" w14:textId="77777777" w:rsidR="00ED0E85" w:rsidRDefault="00ED0E85" w:rsidP="001F5383">
      <w:pPr>
        <w:pStyle w:val="ListBullet2"/>
        <w:numPr>
          <w:ilvl w:val="1"/>
          <w:numId w:val="17"/>
        </w:numPr>
      </w:pPr>
      <w:r>
        <w:t>misinformed consumers — this includes issues such as:</w:t>
      </w:r>
    </w:p>
    <w:p w14:paraId="12035499" w14:textId="77777777" w:rsidR="00ED0E85" w:rsidRDefault="00ED0E85" w:rsidP="00ED0E85">
      <w:pPr>
        <w:pStyle w:val="ListBullet3"/>
      </w:pPr>
      <w:r>
        <w:t>inattention — some building owner/developer may fail to consider the benefits of future energy savings;</w:t>
      </w:r>
    </w:p>
    <w:p w14:paraId="24D12582" w14:textId="77777777" w:rsidR="00ED0E85" w:rsidRDefault="00ED0E85" w:rsidP="00ED0E85">
      <w:pPr>
        <w:pStyle w:val="ListBullet3"/>
      </w:pPr>
      <w:r>
        <w:t>lack of sufficient expertise; and/or</w:t>
      </w:r>
    </w:p>
    <w:p w14:paraId="0698C159" w14:textId="77777777" w:rsidR="00ED0E85" w:rsidRDefault="00ED0E85" w:rsidP="00ED0E85">
      <w:pPr>
        <w:pStyle w:val="ListBullet3"/>
      </w:pPr>
      <w:r>
        <w:t>the salience of energy costs — for many businesses, energy costs are a relatively small component of total costs and therefore may receive little consideration from owners/developers during the building design phase.</w:t>
      </w:r>
    </w:p>
    <w:p w14:paraId="2D3E33FF" w14:textId="77777777" w:rsidR="00ED0E85" w:rsidRDefault="00ED0E85" w:rsidP="001F5383">
      <w:pPr>
        <w:pStyle w:val="ListBullet2"/>
        <w:numPr>
          <w:ilvl w:val="1"/>
          <w:numId w:val="17"/>
        </w:numPr>
      </w:pPr>
      <w:r>
        <w:t>systematic behavioural biases — in the face of the sheer complexity of understanding energy efficiency options, some owners/developers may make sub</w:t>
      </w:r>
      <w:r>
        <w:noBreakHyphen/>
        <w:t>optimal decisions due to:</w:t>
      </w:r>
    </w:p>
    <w:p w14:paraId="465D8E1C" w14:textId="77777777" w:rsidR="00ED0E85" w:rsidRDefault="00ED0E85" w:rsidP="00ED0E85">
      <w:pPr>
        <w:pStyle w:val="ListBullet3"/>
      </w:pPr>
      <w:r>
        <w:t xml:space="preserve">bounded rationality — cognitive limitations may mean that owners/developers have difficulty weighing up the energy saving benefits against cost and other factors such as design attributes; </w:t>
      </w:r>
    </w:p>
    <w:p w14:paraId="0E21A529" w14:textId="77777777" w:rsidR="00ED0E85" w:rsidRDefault="00ED0E85" w:rsidP="00ED0E85">
      <w:pPr>
        <w:pStyle w:val="ListBullet3"/>
      </w:pPr>
      <w:r>
        <w:t>sunken cost fallacy — where owners/developers maintain the status quo because of their previous investment decisions; and/or</w:t>
      </w:r>
    </w:p>
    <w:p w14:paraId="3BC9D955" w14:textId="77777777" w:rsidR="00ED0E85" w:rsidRDefault="00ED0E85" w:rsidP="00ED0E85">
      <w:pPr>
        <w:pStyle w:val="ListBullet3"/>
      </w:pPr>
      <w:r>
        <w:t>heuristic decision making — heuristics are mental short</w:t>
      </w:r>
      <w:r>
        <w:noBreakHyphen/>
        <w:t>cuts, which some owners/developers may rely on to make decisions (examples include: repeating entrenched practices or building to the minimum standards specified in the NCC).</w:t>
      </w:r>
    </w:p>
    <w:p w14:paraId="49A357A3" w14:textId="77777777" w:rsidR="00ED0E85" w:rsidRDefault="00ED0E85" w:rsidP="00ED0E85">
      <w:pPr>
        <w:pStyle w:val="Heading2"/>
        <w:numPr>
          <w:ilvl w:val="1"/>
          <w:numId w:val="5"/>
        </w:numPr>
        <w:rPr>
          <w:lang w:bidi="fa-IR"/>
        </w:rPr>
      </w:pPr>
      <w:bookmarkStart w:id="1104" w:name="_Toc19275495"/>
      <w:bookmarkStart w:id="1105" w:name="_Toc19276105"/>
      <w:bookmarkStart w:id="1106" w:name="_Toc19280104"/>
      <w:r>
        <w:rPr>
          <w:lang w:bidi="fa-IR"/>
        </w:rPr>
        <w:t>The rationale for mandatory disclosure</w:t>
      </w:r>
      <w:bookmarkEnd w:id="1104"/>
      <w:bookmarkEnd w:id="1105"/>
      <w:bookmarkEnd w:id="1106"/>
    </w:p>
    <w:p w14:paraId="1A65E62D" w14:textId="77777777" w:rsidR="00ED0E85" w:rsidRPr="00A70ABA" w:rsidRDefault="00ED0E85" w:rsidP="00ED0E85">
      <w:pPr>
        <w:pStyle w:val="Heading3"/>
        <w:numPr>
          <w:ilvl w:val="2"/>
          <w:numId w:val="5"/>
        </w:numPr>
        <w:rPr>
          <w:lang w:bidi="fa-IR"/>
        </w:rPr>
      </w:pPr>
      <w:r>
        <w:rPr>
          <w:lang w:bidi="fa-IR"/>
        </w:rPr>
        <w:t>Program logic</w:t>
      </w:r>
    </w:p>
    <w:p w14:paraId="523C1DA5" w14:textId="4DCCDEE1" w:rsidR="00ED0E85" w:rsidRDefault="00ED0E85" w:rsidP="00ED0E85">
      <w:pPr>
        <w:pStyle w:val="BodyText"/>
        <w:rPr>
          <w:lang w:bidi="fa-IR"/>
        </w:rPr>
      </w:pPr>
      <w:r>
        <w:rPr>
          <w:lang w:bidi="fa-IR"/>
        </w:rPr>
        <w:t>A program logic framework — of which there are numerous variations — is often used in program evaluation to help clarify how a program delivers benefits to the community through understanding the causal links through the chain. A program logic for the CBD Program is set out in chart </w:t>
      </w:r>
      <w:r>
        <w:rPr>
          <w:lang w:bidi="fa-IR"/>
        </w:rPr>
        <w:fldChar w:fldCharType="begin"/>
      </w:r>
      <w:r>
        <w:rPr>
          <w:lang w:bidi="fa-IR"/>
        </w:rPr>
        <w:instrText xml:space="preserve"> REF _Caption6033 </w:instrText>
      </w:r>
      <w:r>
        <w:rPr>
          <w:lang w:bidi="fa-IR"/>
        </w:rPr>
        <w:fldChar w:fldCharType="separate"/>
      </w:r>
      <w:r w:rsidR="00AD3561">
        <w:rPr>
          <w:noProof/>
        </w:rPr>
        <w:t>2</w:t>
      </w:r>
      <w:r w:rsidR="00AD3561" w:rsidRPr="00695C93">
        <w:rPr>
          <w:noProof/>
        </w:rPr>
        <w:t>.</w:t>
      </w:r>
      <w:r w:rsidR="00AD3561">
        <w:rPr>
          <w:noProof/>
        </w:rPr>
        <w:t>2</w:t>
      </w:r>
      <w:r>
        <w:rPr>
          <w:lang w:bidi="fa-IR"/>
        </w:rPr>
        <w:fldChar w:fldCharType="end"/>
      </w:r>
      <w:r>
        <w:rPr>
          <w:lang w:bidi="fa-IR"/>
        </w:rPr>
        <w:t>.</w:t>
      </w:r>
    </w:p>
    <w:p w14:paraId="674A1FDA" w14:textId="443BA5A6"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2</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2</w:instrText>
      </w:r>
      <w:r>
        <w:rPr>
          <w:noProof/>
        </w:rPr>
        <w:fldChar w:fldCharType="end"/>
      </w:r>
      <w:r w:rsidRPr="00695C93">
        <w:instrText xml:space="preserve">." </w:instrText>
      </w:r>
      <w:r w:rsidRPr="00695C93">
        <w:fldChar w:fldCharType="separate"/>
      </w:r>
      <w:r w:rsidR="00AD3561">
        <w:rPr>
          <w:noProof/>
        </w:rPr>
        <w:instrText>2</w:instrText>
      </w:r>
      <w:r w:rsidR="00AD3561"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sidR="00C353B5">
        <w:rPr>
          <w:noProof/>
        </w:rPr>
        <w:instrText>2</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2</w:instrText>
      </w:r>
      <w:r>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2</w:instrText>
      </w:r>
      <w:r w:rsidRPr="00695C93">
        <w:fldChar w:fldCharType="end"/>
      </w:r>
      <w:r w:rsidRPr="00695C93">
        <w:instrText xml:space="preserve">" "" </w:instrText>
      </w:r>
      <w:r w:rsidRPr="00695C93">
        <w:fldChar w:fldCharType="separate"/>
      </w:r>
      <w:bookmarkStart w:id="1107" w:name="_Caption9282"/>
      <w:bookmarkStart w:id="1108" w:name="_Caption2510"/>
      <w:bookmarkStart w:id="1109" w:name="_Caption1400"/>
      <w:bookmarkStart w:id="1110" w:name="_Caption9300"/>
      <w:bookmarkStart w:id="1111" w:name="_Caption8050"/>
      <w:bookmarkStart w:id="1112" w:name="_Caption2229"/>
      <w:bookmarkStart w:id="1113" w:name="_Caption9081"/>
      <w:bookmarkStart w:id="1114" w:name="_Caption2183"/>
      <w:bookmarkStart w:id="1115" w:name="_Caption4646"/>
      <w:bookmarkStart w:id="1116" w:name="_Caption9792"/>
      <w:bookmarkStart w:id="1117" w:name="_Caption6800"/>
      <w:bookmarkStart w:id="1118" w:name="_Caption0593"/>
      <w:bookmarkStart w:id="1119" w:name="_Caption9728"/>
      <w:bookmarkStart w:id="1120" w:name="_Caption3787"/>
      <w:bookmarkStart w:id="1121" w:name="_Caption0383"/>
      <w:bookmarkStart w:id="1122" w:name="_Caption6461"/>
      <w:bookmarkStart w:id="1123" w:name="_Caption5978"/>
      <w:bookmarkStart w:id="1124" w:name="_Caption7759"/>
      <w:bookmarkStart w:id="1125" w:name="_Caption8298"/>
      <w:bookmarkStart w:id="1126" w:name="_Caption3938"/>
      <w:bookmarkStart w:id="1127" w:name="_Caption2992"/>
      <w:bookmarkStart w:id="1128" w:name="_Caption9912"/>
      <w:bookmarkStart w:id="1129" w:name="_Caption7771"/>
      <w:bookmarkStart w:id="1130" w:name="_Caption5343"/>
      <w:bookmarkStart w:id="1131" w:name="_Caption6071"/>
      <w:bookmarkStart w:id="1132" w:name="_Caption4431"/>
      <w:bookmarkStart w:id="1133" w:name="_Caption8067"/>
      <w:bookmarkStart w:id="1134" w:name="_Caption7950"/>
      <w:bookmarkStart w:id="1135" w:name="_Caption9802"/>
      <w:bookmarkStart w:id="1136" w:name="_Caption4350"/>
      <w:bookmarkStart w:id="1137" w:name="_Caption5807"/>
      <w:bookmarkStart w:id="1138" w:name="_Caption9703"/>
      <w:bookmarkStart w:id="1139" w:name="_Caption3345"/>
      <w:bookmarkStart w:id="1140" w:name="_Caption5960"/>
      <w:bookmarkStart w:id="1141" w:name="_Caption1081"/>
      <w:bookmarkStart w:id="1142" w:name="_Caption1242"/>
      <w:bookmarkStart w:id="1143" w:name="_Caption0973"/>
      <w:bookmarkStart w:id="1144" w:name="_Caption1561"/>
      <w:bookmarkStart w:id="1145" w:name="_Caption6537"/>
      <w:bookmarkStart w:id="1146" w:name="_Caption0390"/>
      <w:bookmarkStart w:id="1147" w:name="_Caption7777"/>
      <w:bookmarkStart w:id="1148" w:name="_Caption7253"/>
      <w:bookmarkStart w:id="1149" w:name="_Caption6377"/>
      <w:bookmarkStart w:id="1150" w:name="_Caption1623"/>
      <w:bookmarkStart w:id="1151" w:name="_Caption6033"/>
      <w:bookmarkStart w:id="1152" w:name="_Caption8515"/>
      <w:bookmarkStart w:id="1153" w:name="_Caption1864"/>
      <w:bookmarkStart w:id="1154" w:name="_Caption6701"/>
      <w:bookmarkStart w:id="1155" w:name="_Caption6383"/>
      <w:bookmarkStart w:id="1156" w:name="_Caption8421"/>
      <w:bookmarkStart w:id="1157" w:name="_Caption4773"/>
      <w:bookmarkStart w:id="1158" w:name="_Caption9561"/>
      <w:bookmarkStart w:id="1159" w:name="_Caption1565"/>
      <w:bookmarkStart w:id="1160" w:name="_Caption8526"/>
      <w:bookmarkStart w:id="1161" w:name="_Caption4975"/>
      <w:bookmarkStart w:id="1162" w:name="_Caption0707"/>
      <w:bookmarkStart w:id="1163" w:name="_Caption2814"/>
      <w:bookmarkStart w:id="1164" w:name="_Caption8941"/>
      <w:bookmarkStart w:id="1165" w:name="_Caption5878"/>
      <w:bookmarkStart w:id="1166" w:name="_Caption1159"/>
      <w:bookmarkStart w:id="1167" w:name="_Caption0634"/>
      <w:bookmarkStart w:id="1168" w:name="_Caption5906"/>
      <w:bookmarkStart w:id="1169" w:name="_Caption1933"/>
      <w:bookmarkStart w:id="1170" w:name="_Caption5830"/>
      <w:bookmarkStart w:id="1171" w:name="_Caption7127"/>
      <w:bookmarkStart w:id="1172" w:name="_Caption8770"/>
      <w:bookmarkStart w:id="1173" w:name="_Caption9324"/>
      <w:bookmarkStart w:id="1174" w:name="_Caption9047"/>
      <w:bookmarkStart w:id="1175" w:name="_Caption5256"/>
      <w:bookmarkStart w:id="1176" w:name="_Caption3262"/>
      <w:bookmarkStart w:id="1177" w:name="_Caption3248"/>
      <w:bookmarkStart w:id="1178" w:name="_Caption8741"/>
      <w:bookmarkStart w:id="1179" w:name="_Caption7960"/>
      <w:bookmarkStart w:id="1180" w:name="_Caption7662"/>
      <w:bookmarkStart w:id="1181" w:name="_Caption3678"/>
      <w:bookmarkStart w:id="1182" w:name="_Caption9821"/>
      <w:bookmarkStart w:id="1183" w:name="_Caption5695"/>
      <w:bookmarkStart w:id="1184" w:name="_Caption4620"/>
      <w:bookmarkStart w:id="1185" w:name="_Caption2117"/>
      <w:bookmarkStart w:id="1186" w:name="_Caption5869"/>
      <w:bookmarkStart w:id="1187" w:name="_Caption8537"/>
      <w:bookmarkStart w:id="1188" w:name="_Caption6251"/>
      <w:bookmarkStart w:id="1189" w:name="_Caption1840"/>
      <w:bookmarkStart w:id="1190" w:name="_Caption0716"/>
      <w:bookmarkStart w:id="1191" w:name="_Caption2030"/>
      <w:bookmarkStart w:id="1192" w:name="_Caption8643"/>
      <w:bookmarkStart w:id="1193" w:name="_Caption4317"/>
      <w:bookmarkStart w:id="1194" w:name="_Toc19275569"/>
      <w:bookmarkStart w:id="1195" w:name="_Toc19276179"/>
      <w:bookmarkStart w:id="1196" w:name="_Toc19280178"/>
      <w:r w:rsidR="00C353B5">
        <w:rPr>
          <w:noProof/>
        </w:rPr>
        <w:t>2</w:t>
      </w:r>
      <w:r w:rsidR="00C353B5" w:rsidRPr="00695C93">
        <w:rPr>
          <w:noProof/>
        </w:rPr>
        <w:t>.</w:t>
      </w:r>
      <w:r w:rsidR="00C353B5">
        <w:rPr>
          <w:noProof/>
        </w:rPr>
        <w:t>2</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r w:rsidRPr="00695C93">
        <w:fldChar w:fldCharType="end"/>
      </w:r>
      <w:r w:rsidRPr="00695C93">
        <w:tab/>
      </w:r>
      <w:r>
        <w:t>Program logic</w:t>
      </w:r>
      <w:bookmarkEnd w:id="1194"/>
      <w:bookmarkEnd w:id="1195"/>
      <w:bookmarkEnd w:id="1196"/>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30C3C36C" w14:textId="77777777" w:rsidTr="00ED0E85">
        <w:trPr>
          <w:cantSplit/>
          <w:trHeight w:val="6239"/>
        </w:trPr>
        <w:tc>
          <w:tcPr>
            <w:tcW w:w="7938" w:type="dxa"/>
            <w:shd w:val="clear" w:color="auto" w:fill="E9E8E5" w:themeFill="background2"/>
          </w:tcPr>
          <w:p w14:paraId="21B4D107" w14:textId="77777777" w:rsidR="00ED0E85" w:rsidRDefault="00ED0E85" w:rsidP="00ED0E85">
            <w:pPr>
              <w:pStyle w:val="Chart"/>
            </w:pPr>
            <w:r>
              <w:rPr>
                <w:noProof/>
                <w:lang w:eastAsia="en-AU"/>
              </w:rPr>
              <mc:AlternateContent>
                <mc:Choice Requires="wpg">
                  <w:drawing>
                    <wp:anchor distT="0" distB="0" distL="114300" distR="114300" simplePos="0" relativeHeight="251683840" behindDoc="0" locked="0" layoutInCell="1" allowOverlap="1" wp14:anchorId="1C6854C8" wp14:editId="698948C8">
                      <wp:simplePos x="0" y="0"/>
                      <wp:positionH relativeFrom="column">
                        <wp:posOffset>1064895</wp:posOffset>
                      </wp:positionH>
                      <wp:positionV relativeFrom="paragraph">
                        <wp:posOffset>102235</wp:posOffset>
                      </wp:positionV>
                      <wp:extent cx="3009900" cy="3743325"/>
                      <wp:effectExtent l="0" t="0" r="19050" b="28575"/>
                      <wp:wrapNone/>
                      <wp:docPr id="57" name="Group 57"/>
                      <wp:cNvGraphicFramePr/>
                      <a:graphic xmlns:a="http://schemas.openxmlformats.org/drawingml/2006/main">
                        <a:graphicData uri="http://schemas.microsoft.com/office/word/2010/wordprocessingGroup">
                          <wpg:wgp>
                            <wpg:cNvGrpSpPr/>
                            <wpg:grpSpPr>
                              <a:xfrm>
                                <a:off x="0" y="0"/>
                                <a:ext cx="3009900" cy="3743325"/>
                                <a:chOff x="0" y="0"/>
                                <a:chExt cx="3009900" cy="3743325"/>
                              </a:xfrm>
                            </wpg:grpSpPr>
                            <wps:wsp>
                              <wps:cNvPr id="58" name="Rectangle 58"/>
                              <wps:cNvSpPr/>
                              <wps:spPr>
                                <a:xfrm>
                                  <a:off x="0" y="3009900"/>
                                  <a:ext cx="3009900" cy="733425"/>
                                </a:xfrm>
                                <a:prstGeom prst="rect">
                                  <a:avLst/>
                                </a:prstGeom>
                                <a:ln w="9525">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1B52E" w14:textId="77777777" w:rsidR="003E0782" w:rsidRPr="007C47C9" w:rsidRDefault="003E0782" w:rsidP="00ED0E85">
                                    <w:pPr>
                                      <w:pStyle w:val="ChartBoldText"/>
                                      <w:rPr>
                                        <w:color w:val="FFFFFF" w:themeColor="background1"/>
                                        <w:sz w:val="20"/>
                                        <w:szCs w:val="20"/>
                                        <w:lang w:val="en-GB"/>
                                      </w:rPr>
                                    </w:pPr>
                                    <w:r w:rsidRPr="007C47C9">
                                      <w:rPr>
                                        <w:color w:val="FFFFFF" w:themeColor="background1"/>
                                        <w:sz w:val="20"/>
                                        <w:szCs w:val="20"/>
                                        <w:lang w:val="en-GB"/>
                                      </w:rPr>
                                      <w:t>Benefits</w:t>
                                    </w:r>
                                  </w:p>
                                  <w:p w14:paraId="49C08984" w14:textId="77777777" w:rsidR="003E0782" w:rsidRDefault="003E0782" w:rsidP="001F5383">
                                    <w:pPr>
                                      <w:pStyle w:val="ChartListBullet"/>
                                      <w:numPr>
                                        <w:ilvl w:val="0"/>
                                        <w:numId w:val="20"/>
                                      </w:numPr>
                                      <w:ind w:left="453"/>
                                      <w:rPr>
                                        <w:lang w:val="en-GB"/>
                                      </w:rPr>
                                    </w:pPr>
                                    <w:r>
                                      <w:rPr>
                                        <w:lang w:val="en-GB"/>
                                      </w:rPr>
                                      <w:t>Energy bill savings for building occupants (owner-   occupiers or tenants)</w:t>
                                    </w:r>
                                  </w:p>
                                  <w:p w14:paraId="7A6864B1" w14:textId="77777777" w:rsidR="003E0782" w:rsidRPr="003F5EDA" w:rsidRDefault="003E0782" w:rsidP="001F5383">
                                    <w:pPr>
                                      <w:pStyle w:val="ChartListBullet"/>
                                      <w:numPr>
                                        <w:ilvl w:val="0"/>
                                        <w:numId w:val="20"/>
                                      </w:numPr>
                                      <w:ind w:left="453"/>
                                      <w:rPr>
                                        <w:lang w:val="en-GB"/>
                                      </w:rPr>
                                    </w:pPr>
                                    <w:r>
                                      <w:rPr>
                                        <w:lang w:val="en-GB"/>
                                      </w:rPr>
                                      <w:t>Reduced GHG emissions.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59" name="Straight Arrow Connector 59"/>
                              <wps:cNvCnPr/>
                              <wps:spPr>
                                <a:xfrm>
                                  <a:off x="1514475" y="866775"/>
                                  <a:ext cx="0" cy="251460"/>
                                </a:xfrm>
                                <a:prstGeom prst="straightConnector1">
                                  <a:avLst/>
                                </a:prstGeom>
                                <a:ln w="15875">
                                  <a:tailEnd type="triangle" w="med" len="med"/>
                                </a:ln>
                              </wps:spPr>
                              <wps:style>
                                <a:lnRef idx="1">
                                  <a:schemeClr val="accent4"/>
                                </a:lnRef>
                                <a:fillRef idx="0">
                                  <a:schemeClr val="accent4"/>
                                </a:fillRef>
                                <a:effectRef idx="0">
                                  <a:schemeClr val="accent4"/>
                                </a:effectRef>
                                <a:fontRef idx="minor">
                                  <a:schemeClr val="tx1"/>
                                </a:fontRef>
                              </wps:style>
                              <wps:bodyPr/>
                            </wps:wsp>
                            <wps:wsp>
                              <wps:cNvPr id="60" name="Rectangle 60"/>
                              <wps:cNvSpPr/>
                              <wps:spPr>
                                <a:xfrm>
                                  <a:off x="0" y="0"/>
                                  <a:ext cx="3009900" cy="863600"/>
                                </a:xfrm>
                                <a:prstGeom prst="rect">
                                  <a:avLst/>
                                </a:prstGeom>
                                <a:solidFill>
                                  <a:schemeClr val="accent3"/>
                                </a:solidFill>
                                <a:ln w="952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28C79" w14:textId="77777777" w:rsidR="003E0782" w:rsidRPr="007C47C9" w:rsidRDefault="003E0782" w:rsidP="00ED0E85">
                                    <w:pPr>
                                      <w:pStyle w:val="ChartBoldText"/>
                                      <w:rPr>
                                        <w:color w:val="000000" w:themeColor="text1"/>
                                        <w:sz w:val="20"/>
                                        <w:szCs w:val="20"/>
                                        <w:lang w:val="en-GB"/>
                                      </w:rPr>
                                    </w:pPr>
                                    <w:r w:rsidRPr="007C47C9">
                                      <w:rPr>
                                        <w:color w:val="000000" w:themeColor="text1"/>
                                        <w:sz w:val="20"/>
                                        <w:szCs w:val="20"/>
                                        <w:lang w:val="en-GB"/>
                                      </w:rPr>
                                      <w:t>Outputs</w:t>
                                    </w:r>
                                  </w:p>
                                  <w:p w14:paraId="2B83CFA1" w14:textId="77777777" w:rsidR="003E0782" w:rsidRPr="007C47C9" w:rsidRDefault="003E0782" w:rsidP="001F5383">
                                    <w:pPr>
                                      <w:pStyle w:val="ChartListBullet"/>
                                      <w:numPr>
                                        <w:ilvl w:val="0"/>
                                        <w:numId w:val="19"/>
                                      </w:numPr>
                                      <w:ind w:left="453" w:right="389"/>
                                      <w:rPr>
                                        <w:color w:val="000000" w:themeColor="text1"/>
                                        <w:lang w:val="en-GB"/>
                                      </w:rPr>
                                    </w:pPr>
                                    <w:r w:rsidRPr="007C47C9">
                                      <w:rPr>
                                        <w:color w:val="000000" w:themeColor="text1"/>
                                        <w:lang w:val="en-GB"/>
                                      </w:rPr>
                                      <w:t>Buildings covered by the CBD Program obtain and disclose:</w:t>
                                    </w:r>
                                  </w:p>
                                  <w:p w14:paraId="7AC12CE0" w14:textId="77777777" w:rsidR="003E0782" w:rsidRPr="007C47C9" w:rsidRDefault="003E0782" w:rsidP="001F5383">
                                    <w:pPr>
                                      <w:pStyle w:val="ChartListBullet2"/>
                                      <w:numPr>
                                        <w:ilvl w:val="1"/>
                                        <w:numId w:val="19"/>
                                      </w:numPr>
                                      <w:ind w:left="624" w:right="247"/>
                                      <w:rPr>
                                        <w:color w:val="000000" w:themeColor="text1"/>
                                        <w:lang w:val="en-GB"/>
                                      </w:rPr>
                                    </w:pPr>
                                    <w:r w:rsidRPr="007C47C9">
                                      <w:rPr>
                                        <w:color w:val="000000" w:themeColor="text1"/>
                                        <w:lang w:val="en-GB"/>
                                      </w:rPr>
                                      <w:t>NABERS Energy rating</w:t>
                                    </w:r>
                                  </w:p>
                                  <w:p w14:paraId="5FE381F6" w14:textId="77777777" w:rsidR="003E0782" w:rsidRPr="007C47C9" w:rsidRDefault="003E0782" w:rsidP="001F5383">
                                    <w:pPr>
                                      <w:pStyle w:val="ChartListBullet2"/>
                                      <w:numPr>
                                        <w:ilvl w:val="1"/>
                                        <w:numId w:val="19"/>
                                      </w:numPr>
                                      <w:ind w:left="624" w:right="247"/>
                                      <w:rPr>
                                        <w:color w:val="000000" w:themeColor="text1"/>
                                        <w:lang w:val="en-GB"/>
                                      </w:rPr>
                                    </w:pPr>
                                    <w:r w:rsidRPr="007C47C9">
                                      <w:rPr>
                                        <w:color w:val="000000" w:themeColor="text1"/>
                                        <w:lang w:val="en-GB"/>
                                      </w:rPr>
                                      <w:t>Tenancy Lighting Assessment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61" name="Straight Arrow Connector 61"/>
                              <wps:cNvCnPr/>
                              <wps:spPr>
                                <a:xfrm>
                                  <a:off x="1514475" y="1990725"/>
                                  <a:ext cx="0" cy="251460"/>
                                </a:xfrm>
                                <a:prstGeom prst="straightConnector1">
                                  <a:avLst/>
                                </a:prstGeom>
                                <a:ln w="15875">
                                  <a:tailEnd type="triangle" w="med" len="med"/>
                                </a:ln>
                              </wps:spPr>
                              <wps:style>
                                <a:lnRef idx="1">
                                  <a:schemeClr val="accent4"/>
                                </a:lnRef>
                                <a:fillRef idx="0">
                                  <a:schemeClr val="accent4"/>
                                </a:fillRef>
                                <a:effectRef idx="0">
                                  <a:schemeClr val="accent4"/>
                                </a:effectRef>
                                <a:fontRef idx="minor">
                                  <a:schemeClr val="tx1"/>
                                </a:fontRef>
                              </wps:style>
                              <wps:bodyPr/>
                            </wps:wsp>
                            <wps:wsp>
                              <wps:cNvPr id="62" name="Straight Arrow Connector 62"/>
                              <wps:cNvCnPr/>
                              <wps:spPr>
                                <a:xfrm>
                                  <a:off x="1504950" y="2743200"/>
                                  <a:ext cx="0" cy="251460"/>
                                </a:xfrm>
                                <a:prstGeom prst="straightConnector1">
                                  <a:avLst/>
                                </a:prstGeom>
                                <a:ln w="15875">
                                  <a:tailEnd type="triangle" w="med" len="med"/>
                                </a:ln>
                              </wps:spPr>
                              <wps:style>
                                <a:lnRef idx="1">
                                  <a:schemeClr val="accent4"/>
                                </a:lnRef>
                                <a:fillRef idx="0">
                                  <a:schemeClr val="accent4"/>
                                </a:fillRef>
                                <a:effectRef idx="0">
                                  <a:schemeClr val="accent4"/>
                                </a:effectRef>
                                <a:fontRef idx="minor">
                                  <a:schemeClr val="tx1"/>
                                </a:fontRef>
                              </wps:style>
                              <wps:bodyPr/>
                            </wps:wsp>
                            <wps:wsp>
                              <wps:cNvPr id="63" name="Rectangle 63"/>
                              <wps:cNvSpPr/>
                              <wps:spPr>
                                <a:xfrm>
                                  <a:off x="0" y="1123950"/>
                                  <a:ext cx="3009900" cy="866775"/>
                                </a:xfrm>
                                <a:prstGeom prst="rect">
                                  <a:avLst/>
                                </a:prstGeom>
                                <a:solidFill>
                                  <a:schemeClr val="accent3"/>
                                </a:solidFill>
                                <a:ln w="952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EDD06" w14:textId="77777777" w:rsidR="003E0782" w:rsidRPr="007C47C9" w:rsidRDefault="003E0782" w:rsidP="00ED0E85">
                                    <w:pPr>
                                      <w:pStyle w:val="ChartBoldText"/>
                                      <w:rPr>
                                        <w:color w:val="000000" w:themeColor="text1"/>
                                        <w:sz w:val="20"/>
                                        <w:szCs w:val="20"/>
                                        <w:lang w:val="en-GB"/>
                                      </w:rPr>
                                    </w:pPr>
                                    <w:r w:rsidRPr="007C47C9">
                                      <w:rPr>
                                        <w:color w:val="000000" w:themeColor="text1"/>
                                        <w:sz w:val="20"/>
                                        <w:szCs w:val="20"/>
                                        <w:lang w:val="en-GB"/>
                                      </w:rPr>
                                      <w:t>Outcomes</w:t>
                                    </w:r>
                                  </w:p>
                                  <w:p w14:paraId="1E021010" w14:textId="77777777" w:rsidR="003E0782" w:rsidRPr="007C47C9" w:rsidRDefault="003E0782" w:rsidP="001F5383">
                                    <w:pPr>
                                      <w:pStyle w:val="ChartListBullet"/>
                                      <w:numPr>
                                        <w:ilvl w:val="0"/>
                                        <w:numId w:val="19"/>
                                      </w:numPr>
                                      <w:ind w:left="453" w:right="389"/>
                                      <w:rPr>
                                        <w:color w:val="000000" w:themeColor="text1"/>
                                        <w:lang w:val="en-GB"/>
                                      </w:rPr>
                                    </w:pPr>
                                    <w:r w:rsidRPr="007C47C9">
                                      <w:rPr>
                                        <w:color w:val="000000" w:themeColor="text1"/>
                                        <w:lang w:val="en-GB"/>
                                      </w:rPr>
                                      <w:t>Outcomes are behavioural changes</w:t>
                                    </w:r>
                                  </w:p>
                                  <w:p w14:paraId="502F0A55" w14:textId="77777777" w:rsidR="003E0782" w:rsidRPr="007C47C9" w:rsidRDefault="003E0782" w:rsidP="001F5383">
                                    <w:pPr>
                                      <w:pStyle w:val="ChartListBullet"/>
                                      <w:numPr>
                                        <w:ilvl w:val="0"/>
                                        <w:numId w:val="19"/>
                                      </w:numPr>
                                      <w:ind w:left="453" w:right="389"/>
                                      <w:rPr>
                                        <w:color w:val="000000" w:themeColor="text1"/>
                                        <w:lang w:val="en-GB"/>
                                      </w:rPr>
                                    </w:pPr>
                                    <w:r w:rsidRPr="007C47C9">
                                      <w:rPr>
                                        <w:color w:val="000000" w:themeColor="text1"/>
                                        <w:lang w:val="en-GB"/>
                                      </w:rPr>
                                      <w:t>The NABERS rating and/or TLA encourages building owners/managers to improve energy efficiency by overcoming market/behavioural failures.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192" name="Rectangle 192"/>
                              <wps:cNvSpPr/>
                              <wps:spPr>
                                <a:xfrm>
                                  <a:off x="0" y="2247900"/>
                                  <a:ext cx="3009900" cy="495300"/>
                                </a:xfrm>
                                <a:prstGeom prst="rect">
                                  <a:avLst/>
                                </a:prstGeom>
                                <a:solidFill>
                                  <a:schemeClr val="accent2"/>
                                </a:solidFill>
                                <a:ln w="952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67C3C2" w14:textId="77777777" w:rsidR="003E0782" w:rsidRPr="007C47C9" w:rsidRDefault="003E0782" w:rsidP="00ED0E85">
                                    <w:pPr>
                                      <w:pStyle w:val="ChartBoldText"/>
                                      <w:rPr>
                                        <w:color w:val="FFFFFF" w:themeColor="background1"/>
                                        <w:sz w:val="20"/>
                                        <w:szCs w:val="20"/>
                                        <w:lang w:val="en-GB"/>
                                      </w:rPr>
                                    </w:pPr>
                                    <w:r w:rsidRPr="007C47C9">
                                      <w:rPr>
                                        <w:color w:val="FFFFFF" w:themeColor="background1"/>
                                        <w:sz w:val="20"/>
                                        <w:szCs w:val="20"/>
                                        <w:lang w:val="en-GB"/>
                                      </w:rPr>
                                      <w:t>Impact</w:t>
                                    </w:r>
                                  </w:p>
                                  <w:p w14:paraId="7BCDC376" w14:textId="77777777" w:rsidR="003E0782" w:rsidRPr="003F5EDA" w:rsidRDefault="003E0782" w:rsidP="001F5383">
                                    <w:pPr>
                                      <w:pStyle w:val="ChartListBullet"/>
                                      <w:numPr>
                                        <w:ilvl w:val="0"/>
                                        <w:numId w:val="20"/>
                                      </w:numPr>
                                      <w:ind w:left="453"/>
                                      <w:rPr>
                                        <w:lang w:val="en-GB"/>
                                      </w:rPr>
                                    </w:pPr>
                                    <w:r>
                                      <w:rPr>
                                        <w:lang w:val="en-GB"/>
                                      </w:rPr>
                                      <w:t>Reduced energy consumption in commercial buildings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1C6854C8" id="Group 57" o:spid="_x0000_s1054" style="position:absolute;margin-left:83.85pt;margin-top:8.05pt;width:237pt;height:294.75pt;z-index:251683840" coordsize="30099,37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">
                      <v:rect id="Rectangle 58" o:spid="_x0000_s1055" style="position:absolute;top:30099;width:30099;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" fillcolor="#006b7a [3204]" strokecolor="#004f5b [2404]">
                        <v:textbox inset="2mm,1mm,2mm,1mm">
                          <w:txbxContent>
                            <w:p w14:paraId="6EF1B52E" w14:textId="77777777" w:rsidR="003E0782" w:rsidRPr="007C47C9" w:rsidRDefault="003E0782" w:rsidP="00ED0E85">
                              <w:pPr>
                                <w:pStyle w:val="ChartBoldText"/>
                                <w:rPr>
                                  <w:color w:val="FFFFFF" w:themeColor="background1"/>
                                  <w:sz w:val="20"/>
                                  <w:szCs w:val="20"/>
                                  <w:lang w:val="en-GB"/>
                                </w:rPr>
                              </w:pPr>
                              <w:r w:rsidRPr="007C47C9">
                                <w:rPr>
                                  <w:color w:val="FFFFFF" w:themeColor="background1"/>
                                  <w:sz w:val="20"/>
                                  <w:szCs w:val="20"/>
                                  <w:lang w:val="en-GB"/>
                                </w:rPr>
                                <w:t>Benefits</w:t>
                              </w:r>
                            </w:p>
                            <w:p w14:paraId="49C08984" w14:textId="77777777" w:rsidR="003E0782" w:rsidRDefault="003E0782" w:rsidP="001F5383">
                              <w:pPr>
                                <w:pStyle w:val="ChartListBullet"/>
                                <w:numPr>
                                  <w:ilvl w:val="0"/>
                                  <w:numId w:val="20"/>
                                </w:numPr>
                                <w:ind w:left="453"/>
                                <w:rPr>
                                  <w:lang w:val="en-GB"/>
                                </w:rPr>
                              </w:pPr>
                              <w:r>
                                <w:rPr>
                                  <w:lang w:val="en-GB"/>
                                </w:rPr>
                                <w:t>Energy bill savings for building occupants (owner-   occupiers or tenants)</w:t>
                              </w:r>
                            </w:p>
                            <w:p w14:paraId="7A6864B1" w14:textId="77777777" w:rsidR="003E0782" w:rsidRPr="003F5EDA" w:rsidRDefault="003E0782" w:rsidP="001F5383">
                              <w:pPr>
                                <w:pStyle w:val="ChartListBullet"/>
                                <w:numPr>
                                  <w:ilvl w:val="0"/>
                                  <w:numId w:val="20"/>
                                </w:numPr>
                                <w:ind w:left="453"/>
                                <w:rPr>
                                  <w:lang w:val="en-GB"/>
                                </w:rPr>
                              </w:pPr>
                              <w:r>
                                <w:rPr>
                                  <w:lang w:val="en-GB"/>
                                </w:rPr>
                                <w:t>Reduced GHG emissions.</w:t>
                              </w:r>
                            </w:p>
                          </w:txbxContent>
                        </v:textbox>
                      </v:rect>
                      <v:shape id="Straight Arrow Connector 59" o:spid="_x0000_s1056" type="#_x0000_t32" style="position:absolute;left:15144;top:8667;width:0;height:25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" strokecolor="#948a75 [3047]" strokeweight="1.25pt">
                        <v:stroke endarrow="block"/>
                      </v:shape>
                      <v:rect id="Rectangle 60" o:spid="_x0000_s1057" style="position:absolute;width:30099;height: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" fillcolor="#c6bfab [3206]" strokecolor="#9b917e [3207]">
                        <v:textbox inset="2mm,1mm,2mm,1mm">
                          <w:txbxContent>
                            <w:p w14:paraId="1E728C79" w14:textId="77777777" w:rsidR="003E0782" w:rsidRPr="007C47C9" w:rsidRDefault="003E0782" w:rsidP="00ED0E85">
                              <w:pPr>
                                <w:pStyle w:val="ChartBoldText"/>
                                <w:rPr>
                                  <w:color w:val="000000" w:themeColor="text1"/>
                                  <w:sz w:val="20"/>
                                  <w:szCs w:val="20"/>
                                  <w:lang w:val="en-GB"/>
                                </w:rPr>
                              </w:pPr>
                              <w:r w:rsidRPr="007C47C9">
                                <w:rPr>
                                  <w:color w:val="000000" w:themeColor="text1"/>
                                  <w:sz w:val="20"/>
                                  <w:szCs w:val="20"/>
                                  <w:lang w:val="en-GB"/>
                                </w:rPr>
                                <w:t>Outputs</w:t>
                              </w:r>
                            </w:p>
                            <w:p w14:paraId="2B83CFA1" w14:textId="77777777" w:rsidR="003E0782" w:rsidRPr="007C47C9" w:rsidRDefault="003E0782" w:rsidP="001F5383">
                              <w:pPr>
                                <w:pStyle w:val="ChartListBullet"/>
                                <w:numPr>
                                  <w:ilvl w:val="0"/>
                                  <w:numId w:val="19"/>
                                </w:numPr>
                                <w:ind w:left="453" w:right="389"/>
                                <w:rPr>
                                  <w:color w:val="000000" w:themeColor="text1"/>
                                  <w:lang w:val="en-GB"/>
                                </w:rPr>
                              </w:pPr>
                              <w:r w:rsidRPr="007C47C9">
                                <w:rPr>
                                  <w:color w:val="000000" w:themeColor="text1"/>
                                  <w:lang w:val="en-GB"/>
                                </w:rPr>
                                <w:t>Buildings covered by the CBD Program obtain and disclose:</w:t>
                              </w:r>
                            </w:p>
                            <w:p w14:paraId="7AC12CE0" w14:textId="77777777" w:rsidR="003E0782" w:rsidRPr="007C47C9" w:rsidRDefault="003E0782" w:rsidP="001F5383">
                              <w:pPr>
                                <w:pStyle w:val="ChartListBullet2"/>
                                <w:numPr>
                                  <w:ilvl w:val="1"/>
                                  <w:numId w:val="19"/>
                                </w:numPr>
                                <w:ind w:left="624" w:right="247"/>
                                <w:rPr>
                                  <w:color w:val="000000" w:themeColor="text1"/>
                                  <w:lang w:val="en-GB"/>
                                </w:rPr>
                              </w:pPr>
                              <w:r w:rsidRPr="007C47C9">
                                <w:rPr>
                                  <w:color w:val="000000" w:themeColor="text1"/>
                                  <w:lang w:val="en-GB"/>
                                </w:rPr>
                                <w:t>NABERS Energy rating</w:t>
                              </w:r>
                            </w:p>
                            <w:p w14:paraId="5FE381F6" w14:textId="77777777" w:rsidR="003E0782" w:rsidRPr="007C47C9" w:rsidRDefault="003E0782" w:rsidP="001F5383">
                              <w:pPr>
                                <w:pStyle w:val="ChartListBullet2"/>
                                <w:numPr>
                                  <w:ilvl w:val="1"/>
                                  <w:numId w:val="19"/>
                                </w:numPr>
                                <w:ind w:left="624" w:right="247"/>
                                <w:rPr>
                                  <w:color w:val="000000" w:themeColor="text1"/>
                                  <w:lang w:val="en-GB"/>
                                </w:rPr>
                              </w:pPr>
                              <w:r w:rsidRPr="007C47C9">
                                <w:rPr>
                                  <w:color w:val="000000" w:themeColor="text1"/>
                                  <w:lang w:val="en-GB"/>
                                </w:rPr>
                                <w:t>Tenancy Lighting Assessment</w:t>
                              </w:r>
                            </w:p>
                          </w:txbxContent>
                        </v:textbox>
                      </v:rect>
                      <v:shape id="Straight Arrow Connector 61" o:spid="_x0000_s1058" type="#_x0000_t32" style="position:absolute;left:15144;top:19907;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" strokecolor="#948a75 [3047]" strokeweight="1.25pt">
                        <v:stroke endarrow="block"/>
                      </v:shape>
                      <v:shape id="Straight Arrow Connector 62" o:spid="_x0000_s1059" type="#_x0000_t32" style="position:absolute;left:15049;top:27432;width:0;height:25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" strokecolor="#948a75 [3047]" strokeweight="1.25pt">
                        <v:stroke endarrow="block"/>
                      </v:shape>
                      <v:rect id="Rectangle 63" o:spid="_x0000_s1060" style="position:absolute;top:11239;width:30099;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" fillcolor="#c6bfab [3206]" strokecolor="#9b917e [3207]">
                        <v:textbox inset="2mm,1mm,2mm,1mm">
                          <w:txbxContent>
                            <w:p w14:paraId="5FCEDD06" w14:textId="77777777" w:rsidR="003E0782" w:rsidRPr="007C47C9" w:rsidRDefault="003E0782" w:rsidP="00ED0E85">
                              <w:pPr>
                                <w:pStyle w:val="ChartBoldText"/>
                                <w:rPr>
                                  <w:color w:val="000000" w:themeColor="text1"/>
                                  <w:sz w:val="20"/>
                                  <w:szCs w:val="20"/>
                                  <w:lang w:val="en-GB"/>
                                </w:rPr>
                              </w:pPr>
                              <w:r w:rsidRPr="007C47C9">
                                <w:rPr>
                                  <w:color w:val="000000" w:themeColor="text1"/>
                                  <w:sz w:val="20"/>
                                  <w:szCs w:val="20"/>
                                  <w:lang w:val="en-GB"/>
                                </w:rPr>
                                <w:t>Outcomes</w:t>
                              </w:r>
                            </w:p>
                            <w:p w14:paraId="1E021010" w14:textId="77777777" w:rsidR="003E0782" w:rsidRPr="007C47C9" w:rsidRDefault="003E0782" w:rsidP="001F5383">
                              <w:pPr>
                                <w:pStyle w:val="ChartListBullet"/>
                                <w:numPr>
                                  <w:ilvl w:val="0"/>
                                  <w:numId w:val="19"/>
                                </w:numPr>
                                <w:ind w:left="453" w:right="389"/>
                                <w:rPr>
                                  <w:color w:val="000000" w:themeColor="text1"/>
                                  <w:lang w:val="en-GB"/>
                                </w:rPr>
                              </w:pPr>
                              <w:r w:rsidRPr="007C47C9">
                                <w:rPr>
                                  <w:color w:val="000000" w:themeColor="text1"/>
                                  <w:lang w:val="en-GB"/>
                                </w:rPr>
                                <w:t>Outcomes are behavioural changes</w:t>
                              </w:r>
                            </w:p>
                            <w:p w14:paraId="502F0A55" w14:textId="77777777" w:rsidR="003E0782" w:rsidRPr="007C47C9" w:rsidRDefault="003E0782" w:rsidP="001F5383">
                              <w:pPr>
                                <w:pStyle w:val="ChartListBullet"/>
                                <w:numPr>
                                  <w:ilvl w:val="0"/>
                                  <w:numId w:val="19"/>
                                </w:numPr>
                                <w:ind w:left="453" w:right="389"/>
                                <w:rPr>
                                  <w:color w:val="000000" w:themeColor="text1"/>
                                  <w:lang w:val="en-GB"/>
                                </w:rPr>
                              </w:pPr>
                              <w:r w:rsidRPr="007C47C9">
                                <w:rPr>
                                  <w:color w:val="000000" w:themeColor="text1"/>
                                  <w:lang w:val="en-GB"/>
                                </w:rPr>
                                <w:t>The NABERS rating and/or TLA encourages building owners/managers to improve energy efficiency by overcoming market/behavioural failures.</w:t>
                              </w:r>
                            </w:p>
                          </w:txbxContent>
                        </v:textbox>
                      </v:rect>
                      <v:rect id="Rectangle 192" o:spid="_x0000_s1061" style="position:absolute;top:22479;width:30099;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" fillcolor="#f61d12 [3205]" strokecolor="#be0f07 [2405]">
                        <v:textbox inset="2mm,1mm,2mm,1mm">
                          <w:txbxContent>
                            <w:p w14:paraId="6467C3C2" w14:textId="77777777" w:rsidR="003E0782" w:rsidRPr="007C47C9" w:rsidRDefault="003E0782" w:rsidP="00ED0E85">
                              <w:pPr>
                                <w:pStyle w:val="ChartBoldText"/>
                                <w:rPr>
                                  <w:color w:val="FFFFFF" w:themeColor="background1"/>
                                  <w:sz w:val="20"/>
                                  <w:szCs w:val="20"/>
                                  <w:lang w:val="en-GB"/>
                                </w:rPr>
                              </w:pPr>
                              <w:r w:rsidRPr="007C47C9">
                                <w:rPr>
                                  <w:color w:val="FFFFFF" w:themeColor="background1"/>
                                  <w:sz w:val="20"/>
                                  <w:szCs w:val="20"/>
                                  <w:lang w:val="en-GB"/>
                                </w:rPr>
                                <w:t>Impact</w:t>
                              </w:r>
                            </w:p>
                            <w:p w14:paraId="7BCDC376" w14:textId="77777777" w:rsidR="003E0782" w:rsidRPr="003F5EDA" w:rsidRDefault="003E0782" w:rsidP="001F5383">
                              <w:pPr>
                                <w:pStyle w:val="ChartListBullet"/>
                                <w:numPr>
                                  <w:ilvl w:val="0"/>
                                  <w:numId w:val="20"/>
                                </w:numPr>
                                <w:ind w:left="453"/>
                                <w:rPr>
                                  <w:lang w:val="en-GB"/>
                                </w:rPr>
                              </w:pPr>
                              <w:r>
                                <w:rPr>
                                  <w:lang w:val="en-GB"/>
                                </w:rPr>
                                <w:t>Reduced energy consumption in commercial buildings</w:t>
                              </w:r>
                            </w:p>
                          </w:txbxContent>
                        </v:textbox>
                      </v:rect>
                    </v:group>
                  </w:pict>
                </mc:Fallback>
              </mc:AlternateContent>
            </w:r>
          </w:p>
        </w:tc>
      </w:tr>
    </w:tbl>
    <w:p w14:paraId="612CE3D1" w14:textId="77777777" w:rsidR="00ED0E85" w:rsidRDefault="00ED0E85" w:rsidP="00ED0E85">
      <w:pPr>
        <w:pStyle w:val="Source"/>
      </w:pPr>
      <w:r>
        <w:rPr>
          <w:i/>
        </w:rPr>
        <w:t>Data source</w:t>
      </w:r>
      <w:r w:rsidRPr="00A67576">
        <w:rPr>
          <w:i/>
        </w:rPr>
        <w:t>:</w:t>
      </w:r>
      <w:r>
        <w:t xml:space="preserve"> The CIE.</w:t>
      </w:r>
    </w:p>
    <w:p w14:paraId="122CC41C" w14:textId="77777777" w:rsidR="00ED0E85" w:rsidRDefault="00ED0E85" w:rsidP="00ED0E85">
      <w:pPr>
        <w:pStyle w:val="BodyText"/>
        <w:rPr>
          <w:lang w:bidi="fa-IR"/>
        </w:rPr>
      </w:pPr>
      <w:r>
        <w:rPr>
          <w:lang w:bidi="fa-IR"/>
        </w:rPr>
        <w:t>Under the CBD Program, the only explicit regulatory requirement imposed on buildings covered by the program is the need to obtain and disclose a NABERS Energy rating and a TLA (the output).</w:t>
      </w:r>
    </w:p>
    <w:p w14:paraId="5A6C3153" w14:textId="77777777" w:rsidR="00ED0E85" w:rsidRDefault="00ED0E85" w:rsidP="00ED0E85">
      <w:pPr>
        <w:pStyle w:val="BodyText"/>
        <w:rPr>
          <w:lang w:bidi="fa-IR"/>
        </w:rPr>
      </w:pPr>
      <w:r>
        <w:rPr>
          <w:lang w:bidi="fa-IR"/>
        </w:rPr>
        <w:t>There is no regulatory requirement for building owners/managers to improve energy efficiency. Rather, the CBD Program works by encouraging building owners/managers to make their own decision to improve energy efficiency (the outcome) by overcoming some of the market failures and behavioural anomalies outlined above.</w:t>
      </w:r>
    </w:p>
    <w:p w14:paraId="03AD1E1D" w14:textId="77777777" w:rsidR="00ED0E85" w:rsidRDefault="00ED0E85" w:rsidP="00ED0E85">
      <w:pPr>
        <w:pStyle w:val="BodyText"/>
        <w:rPr>
          <w:lang w:bidi="fa-IR"/>
        </w:rPr>
      </w:pPr>
      <w:r>
        <w:rPr>
          <w:lang w:bidi="fa-IR"/>
        </w:rPr>
        <w:t>As building owners/managers make their own decision on what energy efficient improvements to implement, there is lower risk of regulatory failures — such as where the costs of an energy efficient improvement outweigh the energy saving benefits for some or all buildings — compared to more prescriptive approaches, such as mandatory minimum standards (i.e. building owners/managers are unlikely to implement energy efficiency measures that are not cost effective). Mandatory disclosure can therefore be considered a relatively ‘light touch’ approach to regulation.</w:t>
      </w:r>
    </w:p>
    <w:p w14:paraId="2368F3A9" w14:textId="77777777" w:rsidR="00ED0E85" w:rsidRDefault="00ED0E85" w:rsidP="00ED0E85">
      <w:pPr>
        <w:pStyle w:val="Heading3"/>
        <w:numPr>
          <w:ilvl w:val="2"/>
          <w:numId w:val="5"/>
        </w:numPr>
        <w:rPr>
          <w:lang w:bidi="fa-IR"/>
        </w:rPr>
      </w:pPr>
      <w:r>
        <w:rPr>
          <w:lang w:bidi="fa-IR"/>
        </w:rPr>
        <w:t>How does mandatory disclosure drive behavioural change?</w:t>
      </w:r>
    </w:p>
    <w:p w14:paraId="0C586BEC" w14:textId="77777777" w:rsidR="00ED0E85" w:rsidRDefault="00ED0E85" w:rsidP="00ED0E85">
      <w:pPr>
        <w:pStyle w:val="BodyText"/>
        <w:rPr>
          <w:lang w:bidi="fa-IR"/>
        </w:rPr>
      </w:pPr>
      <w:r>
        <w:rPr>
          <w:lang w:bidi="fa-IR"/>
        </w:rPr>
        <w:t>The market and behavioural failures that mandatory disclosure could potentially overcome include:</w:t>
      </w:r>
    </w:p>
    <w:p w14:paraId="3730E1D3" w14:textId="77777777" w:rsidR="00ED0E85" w:rsidRDefault="00ED0E85" w:rsidP="00ED0E85">
      <w:pPr>
        <w:pStyle w:val="ListBullet"/>
        <w:rPr>
          <w:lang w:bidi="fa-IR"/>
        </w:rPr>
      </w:pPr>
      <w:r>
        <w:rPr>
          <w:lang w:bidi="fa-IR"/>
        </w:rPr>
        <w:t>Information asymmetries — where buyers or tenants have better information, they can make more informed decisions.</w:t>
      </w:r>
    </w:p>
    <w:p w14:paraId="6954321E" w14:textId="77777777" w:rsidR="00ED0E85" w:rsidRDefault="00ED0E85" w:rsidP="00ED0E85">
      <w:pPr>
        <w:pStyle w:val="ListBullet"/>
        <w:rPr>
          <w:lang w:bidi="fa-IR"/>
        </w:rPr>
      </w:pPr>
      <w:r>
        <w:rPr>
          <w:lang w:bidi="fa-IR"/>
        </w:rPr>
        <w:t>Split incentives — making information available to tenants can also reduce the split incentives problem.</w:t>
      </w:r>
    </w:p>
    <w:p w14:paraId="5E139A43" w14:textId="77777777" w:rsidR="00ED0E85" w:rsidRDefault="00ED0E85" w:rsidP="00ED0E85">
      <w:pPr>
        <w:pStyle w:val="ListBullet2"/>
        <w:rPr>
          <w:lang w:bidi="fa-IR"/>
        </w:rPr>
      </w:pPr>
      <w:r>
        <w:rPr>
          <w:lang w:bidi="fa-IR"/>
        </w:rPr>
        <w:t>Where information is available the market can adjust, so that lower energy bills are reflected in rents (i.e. tenants should be willing to pay higher rents for office space in a building with lower energy bills). Where improved energy efficiency is reflected in rents, landlords have an incentive to improve. Note that the information most relevant to split incentives is the cost of energy and other outgoings, rather than an energy efficiency rating.</w:t>
      </w:r>
    </w:p>
    <w:p w14:paraId="3111F5BA" w14:textId="77777777" w:rsidR="00ED0E85" w:rsidRDefault="00ED0E85" w:rsidP="00ED0E85">
      <w:pPr>
        <w:pStyle w:val="ListBullet2"/>
        <w:rPr>
          <w:lang w:bidi="fa-IR"/>
        </w:rPr>
      </w:pPr>
      <w:r>
        <w:rPr>
          <w:lang w:bidi="fa-IR"/>
        </w:rPr>
        <w:t xml:space="preserve">Even with information, split incentives will also arise due to the length of leases; once lease rates are agreed, there is little incentive for the landlord to improve energy efficiency through capital expenditure. Where operational expenditure can be recovered from tenants, there is less of an incentive problem. </w:t>
      </w:r>
    </w:p>
    <w:p w14:paraId="190C9DF0" w14:textId="77777777" w:rsidR="00ED0E85" w:rsidRDefault="00ED0E85" w:rsidP="00ED0E85">
      <w:pPr>
        <w:pStyle w:val="ListBullet"/>
        <w:rPr>
          <w:lang w:bidi="fa-IR"/>
        </w:rPr>
      </w:pPr>
      <w:r>
        <w:rPr>
          <w:lang w:bidi="fa-IR"/>
        </w:rPr>
        <w:t>Behavioural failures — the requirement to obtain a NABERS rating can overcome a range of behavioural failures by alerting building owners/managers to the fact they are performing poorly in terms of energy efficiency compared to similar buildings (lack of knowledge). Although building owners/managers receive their energy bill, they may not be aware that the bill is higher than it need be (i.e. higher than other similar buildings) in the absence of benchmarked information.</w:t>
      </w:r>
    </w:p>
    <w:p w14:paraId="1413D0F7" w14:textId="77777777" w:rsidR="00ED0E85" w:rsidRDefault="00ED0E85" w:rsidP="00ED0E85">
      <w:pPr>
        <w:pStyle w:val="BodyText"/>
        <w:rPr>
          <w:lang w:bidi="fa-IR"/>
        </w:rPr>
      </w:pPr>
    </w:p>
    <w:p w14:paraId="57443FDD" w14:textId="77777777" w:rsidR="00ED0E85" w:rsidRDefault="00ED0E85" w:rsidP="00ED0E85">
      <w:pPr>
        <w:pStyle w:val="Heading1"/>
        <w:numPr>
          <w:ilvl w:val="0"/>
          <w:numId w:val="5"/>
        </w:numPr>
        <w:rPr>
          <w:lang w:bidi="fa-IR"/>
        </w:rPr>
      </w:pPr>
      <w:bookmarkStart w:id="1197" w:name="_Toc19275496"/>
      <w:bookmarkStart w:id="1198" w:name="_Toc19276106"/>
      <w:bookmarkStart w:id="1199" w:name="_Toc19280105"/>
      <w:r>
        <w:rPr>
          <w:lang w:bidi="fa-IR"/>
        </w:rPr>
        <w:t>Review of objectives</w:t>
      </w:r>
      <w:bookmarkEnd w:id="1197"/>
      <w:bookmarkEnd w:id="1198"/>
      <w:bookmarkEnd w:id="1199"/>
    </w:p>
    <w:p w14:paraId="7052DA99" w14:textId="77777777" w:rsidR="00ED0E85" w:rsidRDefault="00ED0E85" w:rsidP="00ED0E85">
      <w:pPr>
        <w:pStyle w:val="Heading2"/>
        <w:numPr>
          <w:ilvl w:val="1"/>
          <w:numId w:val="5"/>
        </w:numPr>
        <w:rPr>
          <w:lang w:bidi="fa-IR"/>
        </w:rPr>
      </w:pPr>
      <w:bookmarkStart w:id="1200" w:name="_Toc19275497"/>
      <w:bookmarkStart w:id="1201" w:name="_Toc19276107"/>
      <w:bookmarkStart w:id="1202" w:name="_Toc19280106"/>
      <w:r>
        <w:rPr>
          <w:lang w:bidi="fa-IR"/>
        </w:rPr>
        <w:t>Objectives of the CBD Program</w:t>
      </w:r>
      <w:bookmarkEnd w:id="1200"/>
      <w:bookmarkEnd w:id="1201"/>
      <w:bookmarkEnd w:id="1202"/>
    </w:p>
    <w:p w14:paraId="35990D34" w14:textId="77777777" w:rsidR="00ED0E85" w:rsidRPr="00701D6F" w:rsidRDefault="00ED0E85" w:rsidP="00ED0E85">
      <w:pPr>
        <w:pStyle w:val="BodyText"/>
        <w:rPr>
          <w:lang w:bidi="fa-IR"/>
        </w:rPr>
      </w:pPr>
      <w:r>
        <w:rPr>
          <w:lang w:bidi="fa-IR"/>
        </w:rPr>
        <w:t>To review the objectives of the CBD Program (as required by the Terms of Reference), it is important to understand both the specific objectives of the CBD Program and the broader objectives of the overarching policy frameworks, of which the CBD Program is one part.</w:t>
      </w:r>
    </w:p>
    <w:p w14:paraId="4B9C53D7" w14:textId="77777777" w:rsidR="00ED0E85" w:rsidRPr="003F7DED" w:rsidRDefault="00ED0E85" w:rsidP="00ED0E85">
      <w:pPr>
        <w:pStyle w:val="Heading3"/>
        <w:numPr>
          <w:ilvl w:val="2"/>
          <w:numId w:val="5"/>
        </w:numPr>
        <w:rPr>
          <w:lang w:bidi="fa-IR"/>
        </w:rPr>
      </w:pPr>
      <w:r w:rsidRPr="003F7DED">
        <w:rPr>
          <w:lang w:bidi="fa-IR"/>
        </w:rPr>
        <w:t>Broader policy objectives</w:t>
      </w:r>
    </w:p>
    <w:p w14:paraId="474931AD" w14:textId="77777777" w:rsidR="00ED0E85" w:rsidRPr="003F7DED" w:rsidRDefault="00ED0E85" w:rsidP="00ED0E85">
      <w:pPr>
        <w:pStyle w:val="BodyText"/>
        <w:rPr>
          <w:lang w:bidi="fa-IR"/>
        </w:rPr>
      </w:pPr>
      <w:r w:rsidRPr="003F7DED">
        <w:rPr>
          <w:lang w:bidi="fa-IR"/>
        </w:rPr>
        <w:t>The CBD Program was initially implemented under the National Strategy on Energy Efficiency (NSEE), which commenced in 2009. The NSEE refers to objectives as follows:</w:t>
      </w:r>
    </w:p>
    <w:p w14:paraId="5E039A21" w14:textId="77777777" w:rsidR="00ED0E85" w:rsidRPr="003F7DED" w:rsidRDefault="00ED0E85" w:rsidP="00ED0E85">
      <w:pPr>
        <w:pStyle w:val="Quote"/>
      </w:pPr>
      <w:r w:rsidRPr="003F7DED">
        <w:t xml:space="preserve">“The Strategy [… ] is designed to </w:t>
      </w:r>
      <w:r w:rsidRPr="003F7DED">
        <w:rPr>
          <w:b/>
        </w:rPr>
        <w:t>substantially improve minimum standards for energy efficiency</w:t>
      </w:r>
      <w:r w:rsidRPr="003F7DED">
        <w:t xml:space="preserve"> and accelerate the introduction of new technologies through improving regulatory processes and addressing the barriers to the uptake of new energy-efficient products and technologies.</w:t>
      </w:r>
    </w:p>
    <w:p w14:paraId="4B3CCD7D" w14:textId="77777777" w:rsidR="00ED0E85" w:rsidRPr="003F7DED" w:rsidRDefault="00ED0E85" w:rsidP="00ED0E85">
      <w:pPr>
        <w:pStyle w:val="Quote"/>
      </w:pPr>
      <w:r w:rsidRPr="003F7DED">
        <w:t>The Strategy aims to encourage and support innovation in energy efficient technologies and approaches. It incorporates and builds on measures already agreed by COAG and the Ministerial Council on Energy through the National Framework on Energy Efficiency (NFEE).”</w:t>
      </w:r>
      <w:r w:rsidRPr="003F7DED">
        <w:rPr>
          <w:rStyle w:val="FootnoteReference"/>
        </w:rPr>
        <w:footnoteReference w:id="14"/>
      </w:r>
    </w:p>
    <w:p w14:paraId="76A404A8" w14:textId="77777777" w:rsidR="00ED0E85" w:rsidRPr="003F7DED" w:rsidRDefault="00ED0E85" w:rsidP="00ED0E85">
      <w:pPr>
        <w:pStyle w:val="BodyText"/>
        <w:rPr>
          <w:lang w:bidi="fa-IR"/>
        </w:rPr>
      </w:pPr>
      <w:r w:rsidRPr="003F7DED">
        <w:rPr>
          <w:lang w:bidi="fa-IR"/>
        </w:rPr>
        <w:t>The NSEE therefore focused on improving energy efficiency, but did not elaborate on the underlying motivation.</w:t>
      </w:r>
    </w:p>
    <w:p w14:paraId="0D538F7B" w14:textId="77777777" w:rsidR="00ED0E85" w:rsidRDefault="00ED0E85" w:rsidP="00ED0E85">
      <w:pPr>
        <w:pStyle w:val="BodyText"/>
        <w:rPr>
          <w:lang w:bidi="fa-IR"/>
        </w:rPr>
      </w:pPr>
      <w:r w:rsidRPr="003F7DED">
        <w:rPr>
          <w:lang w:bidi="fa-IR"/>
        </w:rPr>
        <w:t>The NSEE was superseded by the NEPP in 2015. The NEPP introduced an explicit energy productivity target (a 40 per cent improvement by 2030)</w:t>
      </w:r>
      <w:r>
        <w:rPr>
          <w:lang w:bidi="fa-IR"/>
        </w:rPr>
        <w:t>, where energy productivity is defined as: economic output (as measured by gross domestic product in millions of dollars) divided by petajoules (PJ) of primary energy (a measure of the total energy supplied within the economy).</w:t>
      </w:r>
      <w:r>
        <w:rPr>
          <w:rStyle w:val="FootnoteReference"/>
          <w:lang w:bidi="fa-IR"/>
        </w:rPr>
        <w:footnoteReference w:id="15"/>
      </w:r>
    </w:p>
    <w:p w14:paraId="59B40B44" w14:textId="77777777" w:rsidR="00ED0E85" w:rsidRPr="003F7DED" w:rsidRDefault="00ED0E85" w:rsidP="00ED0E85">
      <w:pPr>
        <w:pStyle w:val="BodyText"/>
        <w:rPr>
          <w:lang w:bidi="fa-IR"/>
        </w:rPr>
      </w:pPr>
      <w:r>
        <w:rPr>
          <w:lang w:bidi="fa-IR"/>
        </w:rPr>
        <w:t>The NEPP</w:t>
      </w:r>
      <w:r w:rsidRPr="003F7DED">
        <w:rPr>
          <w:lang w:bidi="fa-IR"/>
        </w:rPr>
        <w:t xml:space="preserve"> argues that energy productivity should be improved to:</w:t>
      </w:r>
    </w:p>
    <w:p w14:paraId="6B2128A3" w14:textId="77777777" w:rsidR="00ED0E85" w:rsidRPr="003F7DED" w:rsidRDefault="00ED0E85" w:rsidP="00ED0E85">
      <w:pPr>
        <w:pStyle w:val="ListBullet"/>
        <w:rPr>
          <w:lang w:bidi="fa-IR"/>
        </w:rPr>
      </w:pPr>
      <w:r w:rsidRPr="003F7DED">
        <w:rPr>
          <w:lang w:bidi="fa-IR"/>
        </w:rPr>
        <w:t>boost competitiveness and growth</w:t>
      </w:r>
    </w:p>
    <w:p w14:paraId="7220D57F" w14:textId="77777777" w:rsidR="00ED0E85" w:rsidRPr="003F7DED" w:rsidRDefault="00ED0E85" w:rsidP="00ED0E85">
      <w:pPr>
        <w:pStyle w:val="ListBullet"/>
        <w:rPr>
          <w:lang w:bidi="fa-IR"/>
        </w:rPr>
      </w:pPr>
      <w:r w:rsidRPr="003F7DED">
        <w:rPr>
          <w:lang w:bidi="fa-IR"/>
        </w:rPr>
        <w:t>help families and business manage their energy costs</w:t>
      </w:r>
    </w:p>
    <w:p w14:paraId="70AB52B5" w14:textId="77777777" w:rsidR="00ED0E85" w:rsidRPr="003F7DED" w:rsidRDefault="00ED0E85" w:rsidP="00ED0E85">
      <w:pPr>
        <w:pStyle w:val="ListBullet"/>
        <w:rPr>
          <w:lang w:bidi="fa-IR"/>
        </w:rPr>
      </w:pPr>
      <w:r w:rsidRPr="003F7DED">
        <w:rPr>
          <w:lang w:bidi="fa-IR"/>
        </w:rPr>
        <w:t>reduce greenhouse gas emissions.</w:t>
      </w:r>
      <w:r w:rsidRPr="003F7DED">
        <w:rPr>
          <w:rStyle w:val="FootnoteReference"/>
          <w:lang w:bidi="fa-IR"/>
        </w:rPr>
        <w:footnoteReference w:id="16"/>
      </w:r>
    </w:p>
    <w:p w14:paraId="7790E768" w14:textId="77777777" w:rsidR="00ED0E85" w:rsidRDefault="00ED0E85" w:rsidP="00ED0E85">
      <w:pPr>
        <w:pStyle w:val="Heading3"/>
        <w:numPr>
          <w:ilvl w:val="2"/>
          <w:numId w:val="5"/>
        </w:numPr>
        <w:rPr>
          <w:lang w:bidi="fa-IR"/>
        </w:rPr>
      </w:pPr>
      <w:r>
        <w:rPr>
          <w:lang w:bidi="fa-IR"/>
        </w:rPr>
        <w:t xml:space="preserve">Specific CBD </w:t>
      </w:r>
      <w:r w:rsidRPr="003F7DED">
        <w:rPr>
          <w:lang w:bidi="fa-IR"/>
        </w:rPr>
        <w:t>Program objectives</w:t>
      </w:r>
    </w:p>
    <w:p w14:paraId="0D0A7227" w14:textId="77777777" w:rsidR="00ED0E85" w:rsidRPr="003F7DED" w:rsidRDefault="00ED0E85" w:rsidP="00ED0E85">
      <w:pPr>
        <w:pStyle w:val="BodyText"/>
        <w:rPr>
          <w:lang w:bidi="fa-IR"/>
        </w:rPr>
      </w:pPr>
      <w:r>
        <w:rPr>
          <w:lang w:bidi="fa-IR"/>
        </w:rPr>
        <w:t xml:space="preserve">In general, the specific objectives of the CBD Program are not clearly defined. </w:t>
      </w:r>
      <w:r w:rsidRPr="003F7DED">
        <w:rPr>
          <w:lang w:bidi="fa-IR"/>
        </w:rPr>
        <w:t xml:space="preserve">The </w:t>
      </w:r>
      <w:r w:rsidRPr="003F7DED">
        <w:rPr>
          <w:i/>
          <w:lang w:bidi="fa-IR"/>
        </w:rPr>
        <w:t>Building Energy Efficiency Disclosure Act 2010</w:t>
      </w:r>
      <w:r>
        <w:rPr>
          <w:lang w:bidi="fa-IR"/>
        </w:rPr>
        <w:t xml:space="preserve"> itself states it is: “an Act to promote the disclosure of information about the energy efficiency of buildings and for related purposes”.</w:t>
      </w:r>
      <w:r w:rsidRPr="003F7DED">
        <w:rPr>
          <w:lang w:bidi="fa-IR"/>
        </w:rPr>
        <w:t xml:space="preserve"> </w:t>
      </w:r>
    </w:p>
    <w:p w14:paraId="64C9EEE6" w14:textId="77777777" w:rsidR="00ED0E85" w:rsidRDefault="00ED0E85" w:rsidP="00ED0E85">
      <w:pPr>
        <w:pStyle w:val="BodyText"/>
        <w:rPr>
          <w:lang w:bidi="fa-IR"/>
        </w:rPr>
      </w:pPr>
      <w:r w:rsidRPr="003F7DED">
        <w:rPr>
          <w:lang w:bidi="fa-IR"/>
        </w:rPr>
        <w:t>The Regulat</w:t>
      </w:r>
      <w:r>
        <w:rPr>
          <w:lang w:bidi="fa-IR"/>
        </w:rPr>
        <w:t>ion</w:t>
      </w:r>
      <w:r w:rsidRPr="003F7DED">
        <w:rPr>
          <w:lang w:bidi="fa-IR"/>
        </w:rPr>
        <w:t xml:space="preserve"> Impact Statement (RIS) for the </w:t>
      </w:r>
      <w:r w:rsidRPr="009A5D9F">
        <w:rPr>
          <w:i/>
          <w:lang w:bidi="fa-IR"/>
        </w:rPr>
        <w:t>Building Energy Efficiency Disclosure Bill 2010</w:t>
      </w:r>
      <w:r w:rsidRPr="003F7DED">
        <w:rPr>
          <w:lang w:bidi="fa-IR"/>
        </w:rPr>
        <w:t xml:space="preserve"> stated that the objectives of government should be to</w:t>
      </w:r>
      <w:r>
        <w:rPr>
          <w:lang w:bidi="fa-IR"/>
        </w:rPr>
        <w:t>:</w:t>
      </w:r>
    </w:p>
    <w:p w14:paraId="31DED841" w14:textId="77777777" w:rsidR="00ED0E85" w:rsidRDefault="00ED0E85" w:rsidP="00ED0E85">
      <w:pPr>
        <w:pStyle w:val="Quote"/>
        <w:rPr>
          <w:lang w:bidi="fa-IR"/>
        </w:rPr>
      </w:pPr>
      <w:r>
        <w:rPr>
          <w:lang w:bidi="fa-IR"/>
        </w:rPr>
        <w:t>“…</w:t>
      </w:r>
      <w:r w:rsidRPr="003F7DED">
        <w:rPr>
          <w:lang w:bidi="fa-IR"/>
        </w:rPr>
        <w:t xml:space="preserve">improve the </w:t>
      </w:r>
      <w:r w:rsidRPr="003A070F">
        <w:rPr>
          <w:b/>
          <w:lang w:bidi="fa-IR"/>
        </w:rPr>
        <w:t>energy efficiency</w:t>
      </w:r>
      <w:r w:rsidRPr="003F7DED">
        <w:rPr>
          <w:lang w:bidi="fa-IR"/>
        </w:rPr>
        <w:t xml:space="preserve"> of commercial office buildings in Australia by addressing current market failures.</w:t>
      </w:r>
      <w:r>
        <w:rPr>
          <w:lang w:bidi="fa-IR"/>
        </w:rPr>
        <w:t>”</w:t>
      </w:r>
      <w:r w:rsidRPr="003F7DED">
        <w:rPr>
          <w:rStyle w:val="FootnoteReference"/>
        </w:rPr>
        <w:footnoteReference w:id="17"/>
      </w:r>
    </w:p>
    <w:p w14:paraId="4D1B0244" w14:textId="77777777" w:rsidR="00ED0E85" w:rsidRPr="003F7DED" w:rsidRDefault="00ED0E85" w:rsidP="00ED0E85">
      <w:pPr>
        <w:pStyle w:val="BodyText"/>
        <w:rPr>
          <w:lang w:bidi="fa-IR"/>
        </w:rPr>
      </w:pPr>
      <w:r w:rsidRPr="003F7DED">
        <w:rPr>
          <w:lang w:bidi="fa-IR"/>
        </w:rPr>
        <w:t>Split incentives were explicitly identified as a barrier to buyers and tenants using energy efficiency performance in property decisions and therefore reducing incentives for owners to invest in energy efficiency.</w:t>
      </w:r>
    </w:p>
    <w:p w14:paraId="2032BD93" w14:textId="77777777" w:rsidR="00ED0E85" w:rsidRPr="003F7DED" w:rsidRDefault="00ED0E85" w:rsidP="00ED0E85">
      <w:pPr>
        <w:pStyle w:val="BodyText"/>
        <w:rPr>
          <w:lang w:bidi="fa-IR"/>
        </w:rPr>
      </w:pPr>
      <w:r w:rsidRPr="003F7DED">
        <w:rPr>
          <w:lang w:bidi="fa-IR"/>
        </w:rPr>
        <w:t>This focus on improving energy efficiency is consistent with the CBD Program website, which states:</w:t>
      </w:r>
    </w:p>
    <w:p w14:paraId="559F8632" w14:textId="77777777" w:rsidR="00ED0E85" w:rsidRPr="003F7DED" w:rsidRDefault="00ED0E85" w:rsidP="00ED0E85">
      <w:pPr>
        <w:pStyle w:val="Quote"/>
        <w:rPr>
          <w:lang w:bidi="fa-IR"/>
        </w:rPr>
      </w:pPr>
      <w:r w:rsidRPr="003F7DED">
        <w:rPr>
          <w:lang w:bidi="fa-IR"/>
        </w:rPr>
        <w:t>“</w:t>
      </w:r>
      <w:r w:rsidRPr="003F7DED">
        <w:t xml:space="preserve">The aim is to </w:t>
      </w:r>
      <w:r w:rsidRPr="003F7DED">
        <w:rPr>
          <w:b/>
        </w:rPr>
        <w:t>improve the energy efficiency</w:t>
      </w:r>
      <w:r w:rsidRPr="003F7DED">
        <w:t xml:space="preserve"> of Australia's large office buildings and to ensure prospective buyers and tenants are informed.”</w:t>
      </w:r>
      <w:r w:rsidRPr="003F7DED">
        <w:rPr>
          <w:rStyle w:val="FootnoteReference"/>
        </w:rPr>
        <w:footnoteReference w:id="18"/>
      </w:r>
    </w:p>
    <w:p w14:paraId="63EC052D" w14:textId="77777777" w:rsidR="00ED0E85" w:rsidRPr="003F7DED" w:rsidRDefault="00ED0E85" w:rsidP="00ED0E85">
      <w:pPr>
        <w:pStyle w:val="BodyText"/>
      </w:pPr>
      <w:r>
        <w:t xml:space="preserve">On the other hand, </w:t>
      </w:r>
      <w:r w:rsidRPr="003F7DED">
        <w:t xml:space="preserve">a more recent RIS </w:t>
      </w:r>
      <w:r>
        <w:t xml:space="preserve">for the </w:t>
      </w:r>
      <w:r w:rsidRPr="003A070F">
        <w:rPr>
          <w:i/>
        </w:rPr>
        <w:t>Building Energy Efficiency Disclosure Amendment Act 2015</w:t>
      </w:r>
      <w:r>
        <w:t xml:space="preserve"> (which was the amendment that reduced</w:t>
      </w:r>
      <w:r w:rsidRPr="003F7DED">
        <w:t xml:space="preserve"> the threshold for disclosure was reduced from 2000 m</w:t>
      </w:r>
      <w:r w:rsidRPr="009A5D9F">
        <w:rPr>
          <w:vertAlign w:val="superscript"/>
        </w:rPr>
        <w:t>2</w:t>
      </w:r>
      <w:r w:rsidRPr="003F7DED">
        <w:t xml:space="preserve"> to 1000 m</w:t>
      </w:r>
      <w:r w:rsidRPr="009A5D9F">
        <w:rPr>
          <w:vertAlign w:val="superscript"/>
        </w:rPr>
        <w:t>2</w:t>
      </w:r>
      <w:r>
        <w:t>) stated that</w:t>
      </w:r>
      <w:r w:rsidRPr="003F7DED">
        <w:t xml:space="preserve"> the objective of government action was to:</w:t>
      </w:r>
    </w:p>
    <w:p w14:paraId="708F8774" w14:textId="77777777" w:rsidR="00ED0E85" w:rsidRDefault="00ED0E85" w:rsidP="00ED0E85">
      <w:pPr>
        <w:pStyle w:val="ListBullet"/>
        <w:numPr>
          <w:ilvl w:val="0"/>
          <w:numId w:val="0"/>
        </w:numPr>
        <w:ind w:left="284"/>
      </w:pPr>
      <w:r>
        <w:t>“</w:t>
      </w:r>
      <w:r w:rsidRPr="003F7DED">
        <w:t xml:space="preserve">…facilitate a significant reduction in </w:t>
      </w:r>
      <w:r w:rsidRPr="003F7DED">
        <w:rPr>
          <w:b/>
        </w:rPr>
        <w:t xml:space="preserve">energy consumption and greenhouse gas emissions </w:t>
      </w:r>
      <w:r w:rsidRPr="003F7DED">
        <w:t>by smaller office buildings in Australia.</w:t>
      </w:r>
      <w:r>
        <w:t>”</w:t>
      </w:r>
      <w:r w:rsidRPr="003F7DED">
        <w:rPr>
          <w:rStyle w:val="FootnoteReference"/>
        </w:rPr>
        <w:footnoteReference w:id="19"/>
      </w:r>
    </w:p>
    <w:p w14:paraId="4D4C73DC" w14:textId="77777777" w:rsidR="00ED0E85" w:rsidRPr="00815767" w:rsidRDefault="00ED0E85" w:rsidP="00ED0E85">
      <w:pPr>
        <w:pStyle w:val="Heading2"/>
        <w:numPr>
          <w:ilvl w:val="1"/>
          <w:numId w:val="5"/>
        </w:numPr>
        <w:rPr>
          <w:lang w:bidi="fa-IR"/>
        </w:rPr>
      </w:pPr>
      <w:bookmarkStart w:id="1203" w:name="_Toc19275498"/>
      <w:bookmarkStart w:id="1204" w:name="_Toc19276108"/>
      <w:bookmarkStart w:id="1205" w:name="_Toc19280107"/>
      <w:r w:rsidRPr="00815767">
        <w:rPr>
          <w:lang w:bidi="fa-IR"/>
        </w:rPr>
        <w:t>Review of objectives</w:t>
      </w:r>
      <w:bookmarkEnd w:id="1203"/>
      <w:bookmarkEnd w:id="1204"/>
      <w:bookmarkEnd w:id="1205"/>
    </w:p>
    <w:p w14:paraId="0905AF8B" w14:textId="77777777" w:rsidR="00ED0E85" w:rsidRDefault="00ED0E85" w:rsidP="00ED0E85">
      <w:pPr>
        <w:pStyle w:val="BodyText"/>
        <w:rPr>
          <w:lang w:bidi="fa-IR"/>
        </w:rPr>
      </w:pPr>
      <w:r w:rsidRPr="00815767">
        <w:rPr>
          <w:lang w:bidi="fa-IR"/>
        </w:rPr>
        <w:t xml:space="preserve">It is important that the objectives of any </w:t>
      </w:r>
      <w:r>
        <w:rPr>
          <w:lang w:bidi="fa-IR"/>
        </w:rPr>
        <w:t>policy or p</w:t>
      </w:r>
      <w:r w:rsidRPr="00815767">
        <w:rPr>
          <w:lang w:bidi="fa-IR"/>
        </w:rPr>
        <w:t xml:space="preserve">rogram are stated clearly. </w:t>
      </w:r>
      <w:r>
        <w:rPr>
          <w:lang w:bidi="fa-IR"/>
        </w:rPr>
        <w:t>The objectives of the CBD Program are variously stated as to:</w:t>
      </w:r>
    </w:p>
    <w:p w14:paraId="3A2C1B33" w14:textId="77777777" w:rsidR="00ED0E85" w:rsidRDefault="00ED0E85" w:rsidP="00ED0E85">
      <w:pPr>
        <w:pStyle w:val="ListBullet"/>
        <w:rPr>
          <w:lang w:bidi="fa-IR"/>
        </w:rPr>
      </w:pPr>
      <w:r>
        <w:rPr>
          <w:lang w:bidi="fa-IR"/>
        </w:rPr>
        <w:t>promote the disclosure of information about the energy efficiency of buildings (as stated in the Act)</w:t>
      </w:r>
    </w:p>
    <w:p w14:paraId="491C33BE" w14:textId="77777777" w:rsidR="00ED0E85" w:rsidRDefault="00ED0E85" w:rsidP="00ED0E85">
      <w:pPr>
        <w:pStyle w:val="ListBullet"/>
        <w:rPr>
          <w:lang w:bidi="fa-IR"/>
        </w:rPr>
      </w:pPr>
      <w:r>
        <w:rPr>
          <w:lang w:bidi="fa-IR"/>
        </w:rPr>
        <w:t>improve the energy efficiency of office buildings and to ensure prospective buyers and tenants are informed (as stated in the RIS for the BEED Act and on the CBD Program website), and</w:t>
      </w:r>
    </w:p>
    <w:p w14:paraId="59F9CD0C" w14:textId="77777777" w:rsidR="00ED0E85" w:rsidRDefault="00ED0E85" w:rsidP="00ED0E85">
      <w:pPr>
        <w:pStyle w:val="ListBullet"/>
        <w:rPr>
          <w:lang w:bidi="fa-IR"/>
        </w:rPr>
      </w:pPr>
      <w:r>
        <w:rPr>
          <w:lang w:bidi="fa-IR"/>
        </w:rPr>
        <w:t>facilitate a significant reduction in energy consumption and greenhouse gas emissions (as stated in the RIS for the recent changes to the CBD Program).</w:t>
      </w:r>
      <w:r>
        <w:rPr>
          <w:rStyle w:val="FootnoteReference"/>
          <w:lang w:bidi="fa-IR"/>
        </w:rPr>
        <w:footnoteReference w:id="20"/>
      </w:r>
    </w:p>
    <w:p w14:paraId="5F3C3B12" w14:textId="77777777" w:rsidR="00ED0E85" w:rsidRDefault="00ED0E85" w:rsidP="00ED0E85">
      <w:pPr>
        <w:pStyle w:val="BodyText"/>
        <w:rPr>
          <w:lang w:bidi="fa-IR"/>
        </w:rPr>
      </w:pPr>
      <w:r>
        <w:rPr>
          <w:lang w:bidi="fa-IR"/>
        </w:rPr>
        <w:t>One way to interpret the difference in these stated objectives is they focus on different stages of the program logic framework (see above).</w:t>
      </w:r>
    </w:p>
    <w:p w14:paraId="24B30918" w14:textId="77777777" w:rsidR="00ED0E85" w:rsidRDefault="00ED0E85" w:rsidP="00ED0E85">
      <w:pPr>
        <w:pStyle w:val="ListBullet"/>
        <w:rPr>
          <w:lang w:bidi="fa-IR"/>
        </w:rPr>
      </w:pPr>
      <w:r>
        <w:rPr>
          <w:lang w:bidi="fa-IR"/>
        </w:rPr>
        <w:t>The disclosure of information is the output of the CBD Program.</w:t>
      </w:r>
    </w:p>
    <w:p w14:paraId="0370923F" w14:textId="77777777" w:rsidR="00ED0E85" w:rsidRDefault="00ED0E85" w:rsidP="00ED0E85">
      <w:pPr>
        <w:pStyle w:val="ListBullet"/>
        <w:rPr>
          <w:lang w:bidi="fa-IR"/>
        </w:rPr>
      </w:pPr>
      <w:r>
        <w:rPr>
          <w:lang w:bidi="fa-IR"/>
        </w:rPr>
        <w:t>Improvements to the energy efficiency of office buildings are the outcomes of the CBD Program.</w:t>
      </w:r>
    </w:p>
    <w:p w14:paraId="10A73B07" w14:textId="77777777" w:rsidR="00ED0E85" w:rsidRDefault="00ED0E85" w:rsidP="00ED0E85">
      <w:pPr>
        <w:pStyle w:val="ListBullet"/>
        <w:rPr>
          <w:lang w:bidi="fa-IR"/>
        </w:rPr>
      </w:pPr>
      <w:r>
        <w:rPr>
          <w:lang w:bidi="fa-IR"/>
        </w:rPr>
        <w:t>Reduced GHG emissions are one of the benefits of the CBD Program.</w:t>
      </w:r>
    </w:p>
    <w:p w14:paraId="7A904199" w14:textId="77777777" w:rsidR="00ED0E85" w:rsidRDefault="00ED0E85" w:rsidP="00ED0E85">
      <w:pPr>
        <w:pStyle w:val="BodyText"/>
        <w:rPr>
          <w:lang w:bidi="fa-IR"/>
        </w:rPr>
      </w:pPr>
      <w:r>
        <w:rPr>
          <w:lang w:bidi="fa-IR"/>
        </w:rPr>
        <w:t xml:space="preserve">As noted above, the NEPP argues that the benefits of improved energy efficiency (or energy productivity) are to: </w:t>
      </w:r>
    </w:p>
    <w:p w14:paraId="0B31846B" w14:textId="77777777" w:rsidR="00ED0E85" w:rsidRDefault="00ED0E85" w:rsidP="00ED0E85">
      <w:pPr>
        <w:pStyle w:val="ListBullet"/>
        <w:rPr>
          <w:lang w:bidi="fa-IR"/>
        </w:rPr>
      </w:pPr>
      <w:r>
        <w:rPr>
          <w:lang w:bidi="fa-IR"/>
        </w:rPr>
        <w:t>boost competitiveness and growth;</w:t>
      </w:r>
    </w:p>
    <w:p w14:paraId="05B1BDD6" w14:textId="77777777" w:rsidR="00ED0E85" w:rsidRDefault="00ED0E85" w:rsidP="00ED0E85">
      <w:pPr>
        <w:pStyle w:val="ListBullet"/>
        <w:rPr>
          <w:lang w:bidi="fa-IR"/>
        </w:rPr>
      </w:pPr>
      <w:r>
        <w:rPr>
          <w:lang w:bidi="fa-IR"/>
        </w:rPr>
        <w:t>help businesses manage their energy costs</w:t>
      </w:r>
    </w:p>
    <w:p w14:paraId="0ECC80BB" w14:textId="77777777" w:rsidR="00ED0E85" w:rsidRDefault="00ED0E85" w:rsidP="00ED0E85">
      <w:pPr>
        <w:pStyle w:val="ListBullet"/>
        <w:rPr>
          <w:lang w:bidi="fa-IR"/>
        </w:rPr>
      </w:pPr>
      <w:r>
        <w:rPr>
          <w:lang w:bidi="fa-IR"/>
        </w:rPr>
        <w:t>reduce GHG emissions.</w:t>
      </w:r>
    </w:p>
    <w:p w14:paraId="56732C12" w14:textId="77777777" w:rsidR="00ED0E85" w:rsidRDefault="00ED0E85" w:rsidP="00ED0E85">
      <w:pPr>
        <w:pStyle w:val="BodyText"/>
        <w:rPr>
          <w:lang w:bidi="fa-IR"/>
        </w:rPr>
      </w:pPr>
      <w:r w:rsidRPr="00DE216A">
        <w:rPr>
          <w:lang w:bidi="fa-IR"/>
        </w:rPr>
        <w:t>The first two imply reducing energy bills</w:t>
      </w:r>
      <w:r>
        <w:rPr>
          <w:lang w:bidi="fa-IR"/>
        </w:rPr>
        <w:t xml:space="preserve"> is a key underlying objective (i.e. in addition to climate change mitigation through reduced GHG emissions). Improved energy efficiency can help to reduce energy bills both:</w:t>
      </w:r>
    </w:p>
    <w:p w14:paraId="1B6E99D7" w14:textId="77777777" w:rsidR="00ED0E85" w:rsidRDefault="00ED0E85" w:rsidP="00ED0E85">
      <w:pPr>
        <w:pStyle w:val="ListBullet"/>
        <w:rPr>
          <w:lang w:bidi="fa-IR"/>
        </w:rPr>
      </w:pPr>
      <w:r>
        <w:rPr>
          <w:lang w:bidi="fa-IR"/>
        </w:rPr>
        <w:t>directly (i.e. the direct bill savings associated with reduced energy consumption); and</w:t>
      </w:r>
    </w:p>
    <w:p w14:paraId="7D1084C6" w14:textId="77777777" w:rsidR="00ED0E85" w:rsidRDefault="00ED0E85" w:rsidP="00ED0E85">
      <w:pPr>
        <w:pStyle w:val="ListBullet"/>
        <w:rPr>
          <w:lang w:bidi="fa-IR"/>
        </w:rPr>
      </w:pPr>
      <w:r>
        <w:rPr>
          <w:lang w:bidi="fa-IR"/>
        </w:rPr>
        <w:t>indirectly (i.e. reduced demand at peak times could reduce or delay new investment in network infrastructure, which are ultimately passed through to all consumers).</w:t>
      </w:r>
    </w:p>
    <w:p w14:paraId="7DC29E8E" w14:textId="77777777" w:rsidR="00ED0E85" w:rsidRPr="009253DC" w:rsidRDefault="00ED0E85" w:rsidP="00ED0E85">
      <w:pPr>
        <w:pStyle w:val="BodyText"/>
        <w:rPr>
          <w:lang w:bidi="fa-IR"/>
        </w:rPr>
      </w:pPr>
      <w:r>
        <w:rPr>
          <w:lang w:bidi="fa-IR"/>
        </w:rPr>
        <w:t xml:space="preserve">To some extent program design choices depend on the underlying objectives. </w:t>
      </w:r>
      <w:r w:rsidRPr="007D7021">
        <w:rPr>
          <w:lang w:bidi="fa-IR"/>
        </w:rPr>
        <w:t>Although improving energy efficiency (or energy productivity), reducing energy bills and reducing greenhouse gas emissions are largely compatible objectives, they are not always aligned. In some cases, there may be trade</w:t>
      </w:r>
      <w:r w:rsidRPr="007D7021">
        <w:rPr>
          <w:lang w:bidi="fa-IR"/>
        </w:rPr>
        <w:noBreakHyphen/>
        <w:t xml:space="preserve">offs between bill </w:t>
      </w:r>
      <w:r w:rsidRPr="000A1278">
        <w:rPr>
          <w:lang w:bidi="fa-IR"/>
        </w:rPr>
        <w:t xml:space="preserve">savings and GHG emissions. </w:t>
      </w:r>
      <w:r w:rsidRPr="009253DC">
        <w:rPr>
          <w:lang w:bidi="fa-IR"/>
        </w:rPr>
        <w:t>For example, offsetting GHG emissions through GreenPower offsets would reduce GHG emissions, but increase energy bills</w:t>
      </w:r>
      <w:r w:rsidRPr="000A1278">
        <w:rPr>
          <w:lang w:bidi="fa-IR"/>
        </w:rPr>
        <w:t>.</w:t>
      </w:r>
    </w:p>
    <w:p w14:paraId="2E49ACE4" w14:textId="77777777" w:rsidR="00ED0E85" w:rsidRDefault="00ED0E85" w:rsidP="00ED0E85">
      <w:pPr>
        <w:pStyle w:val="BodyText"/>
        <w:rPr>
          <w:lang w:bidi="fa-IR"/>
        </w:rPr>
      </w:pPr>
      <w:r>
        <w:rPr>
          <w:lang w:bidi="fa-IR"/>
        </w:rPr>
        <w:t>Stakeholders on the Reference Group had mixed views on the most appropriate objectives for the CBD Program.</w:t>
      </w:r>
    </w:p>
    <w:p w14:paraId="5B7A71AE" w14:textId="77777777" w:rsidR="00ED0E85" w:rsidRDefault="00ED0E85" w:rsidP="00ED0E85">
      <w:pPr>
        <w:pStyle w:val="ListBullet"/>
        <w:rPr>
          <w:lang w:bidi="fa-IR"/>
        </w:rPr>
      </w:pPr>
      <w:r>
        <w:rPr>
          <w:lang w:bidi="fa-IR"/>
        </w:rPr>
        <w:t>Most argued that improving energy efficiency was the preferred objective on the basis that improving energy efficiency could both:</w:t>
      </w:r>
    </w:p>
    <w:p w14:paraId="03680BAA" w14:textId="77777777" w:rsidR="00ED0E85" w:rsidRDefault="00ED0E85" w:rsidP="00ED0E85">
      <w:pPr>
        <w:pStyle w:val="ListBullet2"/>
        <w:rPr>
          <w:lang w:bidi="fa-IR"/>
        </w:rPr>
      </w:pPr>
      <w:r>
        <w:rPr>
          <w:lang w:bidi="fa-IR"/>
        </w:rPr>
        <w:t>reduce energy costs</w:t>
      </w:r>
    </w:p>
    <w:p w14:paraId="49941801" w14:textId="77777777" w:rsidR="00ED0E85" w:rsidRDefault="00ED0E85" w:rsidP="00ED0E85">
      <w:pPr>
        <w:pStyle w:val="ListBullet2"/>
        <w:rPr>
          <w:lang w:bidi="fa-IR"/>
        </w:rPr>
      </w:pPr>
      <w:r>
        <w:rPr>
          <w:lang w:bidi="fa-IR"/>
        </w:rPr>
        <w:t>reduce GHG emissions.</w:t>
      </w:r>
    </w:p>
    <w:p w14:paraId="5169AE63" w14:textId="77777777" w:rsidR="00ED0E85" w:rsidRDefault="00ED0E85" w:rsidP="00ED0E85">
      <w:pPr>
        <w:pStyle w:val="ListBullet"/>
        <w:rPr>
          <w:lang w:bidi="fa-IR"/>
        </w:rPr>
      </w:pPr>
      <w:r>
        <w:rPr>
          <w:lang w:bidi="fa-IR"/>
        </w:rPr>
        <w:t>However, some stakeholders felt that the priority should be on reducing GHG emissions.</w:t>
      </w:r>
    </w:p>
    <w:p w14:paraId="5E53E581" w14:textId="77777777" w:rsidR="00ED0E85" w:rsidRDefault="00ED0E85" w:rsidP="00ED0E85">
      <w:pPr>
        <w:pStyle w:val="KeyPoint"/>
        <w:rPr>
          <w:lang w:bidi="fa-IR"/>
        </w:rPr>
      </w:pPr>
      <w:r w:rsidRPr="00DA172B">
        <w:rPr>
          <w:lang w:bidi="fa-IR"/>
        </w:rPr>
        <w:t xml:space="preserve">In summary, </w:t>
      </w:r>
      <w:r>
        <w:rPr>
          <w:lang w:bidi="fa-IR"/>
        </w:rPr>
        <w:t>facilitating improvement to the energy efficiency of office buildings is a broadly appropriate objective of the CBD Program on the basis that improved energy efficiency can:</w:t>
      </w:r>
    </w:p>
    <w:p w14:paraId="53986206" w14:textId="77777777" w:rsidR="00ED0E85" w:rsidRDefault="00ED0E85" w:rsidP="00ED0E85">
      <w:pPr>
        <w:pStyle w:val="KeyPoint2"/>
        <w:rPr>
          <w:lang w:bidi="fa-IR"/>
        </w:rPr>
      </w:pPr>
      <w:r>
        <w:rPr>
          <w:lang w:bidi="fa-IR"/>
        </w:rPr>
        <w:t>reduce GHG emissions</w:t>
      </w:r>
    </w:p>
    <w:p w14:paraId="17F56A0E" w14:textId="77777777" w:rsidR="00ED0E85" w:rsidRPr="00E069C8" w:rsidRDefault="00ED0E85" w:rsidP="00ED0E85">
      <w:pPr>
        <w:pStyle w:val="KeyPoint2"/>
        <w:rPr>
          <w:lang w:bidi="fa-IR"/>
        </w:rPr>
      </w:pPr>
      <w:r w:rsidRPr="00E069C8">
        <w:rPr>
          <w:lang w:bidi="fa-IR"/>
        </w:rPr>
        <w:t>reduce energy bills for building owners and/or tenants.</w:t>
      </w:r>
    </w:p>
    <w:p w14:paraId="3CF267D0" w14:textId="77777777" w:rsidR="00ED0E85" w:rsidRDefault="00ED0E85" w:rsidP="00ED0E85">
      <w:pPr>
        <w:pStyle w:val="KeyPoint"/>
        <w:rPr>
          <w:lang w:bidi="fa-IR"/>
        </w:rPr>
      </w:pPr>
      <w:r>
        <w:rPr>
          <w:lang w:bidi="fa-IR"/>
        </w:rPr>
        <w:t>This objective is consistent with National Energy Productivity Plan of which, the CBD Program forms one part.</w:t>
      </w:r>
    </w:p>
    <w:p w14:paraId="3A857067" w14:textId="77777777" w:rsidR="00ED0E85" w:rsidRPr="00783932" w:rsidRDefault="00ED0E85" w:rsidP="00ED0E85">
      <w:pPr>
        <w:pStyle w:val="BodyText"/>
        <w:rPr>
          <w:lang w:bidi="fa-IR"/>
        </w:rPr>
      </w:pPr>
    </w:p>
    <w:p w14:paraId="2C35F117" w14:textId="77777777" w:rsidR="00ED0E85" w:rsidRDefault="00ED0E85" w:rsidP="00ED0E85">
      <w:pPr>
        <w:rPr>
          <w:lang w:bidi="fa-IR"/>
        </w:rPr>
        <w:sectPr w:rsidR="00ED0E85" w:rsidSect="00ED0E85">
          <w:headerReference w:type="even" r:id="rId37"/>
          <w:headerReference w:type="default" r:id="rId38"/>
          <w:footerReference w:type="even" r:id="rId39"/>
          <w:footerReference w:type="default" r:id="rId40"/>
          <w:pgSz w:w="11906" w:h="16838" w:code="9"/>
          <w:pgMar w:top="2268" w:right="1701" w:bottom="1418" w:left="2268" w:header="680" w:footer="680" w:gutter="0"/>
          <w:cols w:space="708"/>
          <w:docGrid w:linePitch="360"/>
        </w:sectPr>
      </w:pPr>
    </w:p>
    <w:p w14:paraId="2C6ED8BF" w14:textId="77777777" w:rsidR="00ED0E85" w:rsidRDefault="00ED0E85" w:rsidP="00ED0E85">
      <w:pPr>
        <w:rPr>
          <w:lang w:bidi="fa-IR"/>
        </w:rPr>
      </w:pPr>
    </w:p>
    <w:tbl>
      <w:tblPr>
        <w:tblStyle w:val="TableGrid"/>
        <w:tblW w:w="8274" w:type="dxa"/>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74"/>
      </w:tblGrid>
      <w:tr w:rsidR="00ED0E85" w14:paraId="1672A85D" w14:textId="77777777" w:rsidTr="00ED0E85">
        <w:trPr>
          <w:cantSplit/>
          <w:trHeight w:hRule="exact" w:val="3572"/>
        </w:trPr>
        <w:tc>
          <w:tcPr>
            <w:tcW w:w="8274" w:type="dxa"/>
          </w:tcPr>
          <w:p w14:paraId="337DE59D" w14:textId="77777777" w:rsidR="00ED0E85" w:rsidRPr="0097484C" w:rsidRDefault="00ED0E85" w:rsidP="00ED0E85">
            <w:pPr>
              <w:pStyle w:val="Heading6"/>
              <w:pageBreakBefore w:val="0"/>
              <w:numPr>
                <w:ilvl w:val="0"/>
                <w:numId w:val="0"/>
              </w:numPr>
              <w:spacing w:after="0" w:line="14" w:lineRule="exact"/>
              <w:ind w:left="-1134"/>
              <w:outlineLvl w:val="5"/>
              <w:rPr>
                <w:b/>
                <w:i w:val="0"/>
                <w:color w:val="FFFFFF"/>
                <w:sz w:val="14"/>
                <w:szCs w:val="14"/>
              </w:rPr>
            </w:pPr>
          </w:p>
          <w:p w14:paraId="7FDE83C9" w14:textId="77777777" w:rsidR="00ED0E85" w:rsidRDefault="00ED0E85" w:rsidP="00ED0E85">
            <w:pPr>
              <w:pStyle w:val="BodyText"/>
              <w:pageBreakBefore/>
              <w:spacing w:before="0"/>
            </w:pPr>
          </w:p>
        </w:tc>
      </w:tr>
      <w:tr w:rsidR="00ED0E85" w:rsidRPr="003E5943" w14:paraId="3C2930FC" w14:textId="77777777" w:rsidTr="00ED0E85">
        <w:trPr>
          <w:cantSplit/>
          <w:trHeight w:val="2386"/>
        </w:trPr>
        <w:tc>
          <w:tcPr>
            <w:tcW w:w="8274" w:type="dxa"/>
          </w:tcPr>
          <w:p w14:paraId="47B1B274" w14:textId="77777777" w:rsidR="00ED0E85" w:rsidRDefault="00ED0E85" w:rsidP="00ED0E85">
            <w:pPr>
              <w:pStyle w:val="PartNumber"/>
            </w:pPr>
            <w:r>
              <w:t>Part I</w:t>
            </w:r>
          </w:p>
          <w:p w14:paraId="0717EE9A" w14:textId="77777777" w:rsidR="00ED0E85" w:rsidRPr="003E5943" w:rsidRDefault="00ED0E85" w:rsidP="00ED0E85">
            <w:pPr>
              <w:pStyle w:val="PartTitle"/>
            </w:pPr>
            <w:bookmarkStart w:id="1206" w:name="_Toc19275499"/>
            <w:bookmarkStart w:id="1207" w:name="_Toc19276109"/>
            <w:bookmarkStart w:id="1208" w:name="_Toc19280108"/>
            <w:r>
              <w:t>Review of existing CBD Program</w:t>
            </w:r>
            <w:bookmarkEnd w:id="1206"/>
            <w:bookmarkEnd w:id="1207"/>
            <w:bookmarkEnd w:id="1208"/>
          </w:p>
        </w:tc>
      </w:tr>
    </w:tbl>
    <w:p w14:paraId="1348FF61" w14:textId="77777777" w:rsidR="00ED0E85" w:rsidRDefault="00ED0E85" w:rsidP="00ED0E85">
      <w:pPr>
        <w:pStyle w:val="BodyText"/>
      </w:pPr>
      <w:r>
        <w:rPr>
          <w:noProof/>
        </w:rPr>
        <w:drawing>
          <wp:anchor distT="0" distB="0" distL="114300" distR="114300" simplePos="0" relativeHeight="251685888" behindDoc="1" locked="1" layoutInCell="0" allowOverlap="1" wp14:anchorId="52BA0F79" wp14:editId="46F08799">
            <wp:simplePos x="0" y="0"/>
            <wp:positionH relativeFrom="page">
              <wp:posOffset>0</wp:posOffset>
            </wp:positionH>
            <wp:positionV relativeFrom="page">
              <wp:posOffset>5444197</wp:posOffset>
            </wp:positionV>
            <wp:extent cx="7552800" cy="928800"/>
            <wp:effectExtent l="0" t="0" r="0" b="508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no_image.png"/>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7552800" cy="9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1" locked="1" layoutInCell="0" allowOverlap="1" wp14:anchorId="148ECEFA" wp14:editId="45A710DB">
                <wp:simplePos x="0" y="0"/>
                <wp:positionH relativeFrom="page">
                  <wp:posOffset>0</wp:posOffset>
                </wp:positionH>
                <wp:positionV relativeFrom="page">
                  <wp:posOffset>0</wp:posOffset>
                </wp:positionV>
                <wp:extent cx="7560000" cy="10692000"/>
                <wp:effectExtent l="0" t="0" r="3175" b="0"/>
                <wp:wrapNone/>
                <wp:docPr id="1" name="Rectangle 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77CDD4A" id="Rectangle 1" o:spid="_x0000_s1026" style="position:absolute;margin-left:0;margin-top:0;width:595.3pt;height:841.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" o:allowincell="f" fillcolor="white [3212]" stroked="f" strokeweight="2pt">
                <w10:wrap anchorx="page" anchory="page"/>
                <w10:anchorlock/>
              </v:rect>
            </w:pict>
          </mc:Fallback>
        </mc:AlternateContent>
      </w:r>
    </w:p>
    <w:p w14:paraId="7279D8D1" w14:textId="77777777" w:rsidR="00ED0E85" w:rsidRDefault="00ED0E85" w:rsidP="00ED0E85">
      <w:pPr>
        <w:rPr>
          <w:lang w:bidi="fa-IR"/>
        </w:rPr>
      </w:pPr>
    </w:p>
    <w:p w14:paraId="477FCD0D" w14:textId="77777777" w:rsidR="00ED0E85" w:rsidRDefault="00ED0E85" w:rsidP="00ED0E85">
      <w:pPr>
        <w:rPr>
          <w:lang w:bidi="fa-IR"/>
        </w:rPr>
        <w:sectPr w:rsidR="00ED0E85" w:rsidSect="00ED0E85">
          <w:headerReference w:type="even" r:id="rId42"/>
          <w:headerReference w:type="default" r:id="rId43"/>
          <w:footerReference w:type="even" r:id="rId44"/>
          <w:footerReference w:type="default" r:id="rId45"/>
          <w:type w:val="oddPage"/>
          <w:pgSz w:w="11906" w:h="16838" w:code="9"/>
          <w:pgMar w:top="2268" w:right="1701" w:bottom="2268" w:left="1417" w:header="680" w:footer="680" w:gutter="0"/>
          <w:cols w:space="708"/>
          <w:docGrid w:linePitch="360"/>
        </w:sectPr>
      </w:pPr>
    </w:p>
    <w:p w14:paraId="0CEA40C5" w14:textId="77777777" w:rsidR="00ED0E85" w:rsidRDefault="00ED0E85" w:rsidP="00ED0E85">
      <w:pPr>
        <w:pStyle w:val="Heading1"/>
        <w:numPr>
          <w:ilvl w:val="0"/>
          <w:numId w:val="5"/>
        </w:numPr>
      </w:pPr>
      <w:bookmarkStart w:id="1209" w:name="_Toc19275500"/>
      <w:bookmarkStart w:id="1210" w:name="_Toc19276110"/>
      <w:bookmarkStart w:id="1211" w:name="_Toc19280109"/>
      <w:r>
        <w:t>Impacts of the CBD Program</w:t>
      </w:r>
      <w:bookmarkEnd w:id="1209"/>
      <w:bookmarkEnd w:id="1210"/>
      <w:bookmarkEnd w:id="1211"/>
    </w:p>
    <w:p w14:paraId="11C37F44" w14:textId="77777777" w:rsidR="00ED0E85" w:rsidRDefault="00ED0E85" w:rsidP="00ED0E85">
      <w:pPr>
        <w:pStyle w:val="Heading2"/>
        <w:numPr>
          <w:ilvl w:val="1"/>
          <w:numId w:val="5"/>
        </w:numPr>
      </w:pPr>
      <w:bookmarkStart w:id="1212" w:name="_Toc19275501"/>
      <w:bookmarkStart w:id="1213" w:name="_Toc19276111"/>
      <w:bookmarkStart w:id="1214" w:name="_Toc19280110"/>
      <w:r>
        <w:t>Market overview</w:t>
      </w:r>
      <w:bookmarkEnd w:id="1212"/>
      <w:bookmarkEnd w:id="1213"/>
      <w:bookmarkEnd w:id="1214"/>
    </w:p>
    <w:p w14:paraId="13F601F0" w14:textId="77777777" w:rsidR="00ED0E85" w:rsidRDefault="00ED0E85" w:rsidP="00ED0E85">
      <w:pPr>
        <w:pStyle w:val="BodyText"/>
      </w:pPr>
      <w:r>
        <w:t>The office market is diverse.</w:t>
      </w:r>
    </w:p>
    <w:p w14:paraId="5FB50A6F" w14:textId="77777777" w:rsidR="00ED0E85" w:rsidRDefault="00ED0E85" w:rsidP="00ED0E85">
      <w:pPr>
        <w:pStyle w:val="ListBullet"/>
      </w:pPr>
      <w:r>
        <w:t>The ownership structure of office buildings varies, depending on the segment of the market.</w:t>
      </w:r>
    </w:p>
    <w:p w14:paraId="3F5E31A5" w14:textId="77777777" w:rsidR="00ED0E85" w:rsidRDefault="00ED0E85" w:rsidP="00ED0E85">
      <w:pPr>
        <w:pStyle w:val="ListBullet2"/>
      </w:pPr>
      <w:r>
        <w:t>At the higher end of the market (largely high-rise office buildings in central business district locations), ownership is dominated by large property groups.</w:t>
      </w:r>
    </w:p>
    <w:p w14:paraId="1BA3614F" w14:textId="77777777" w:rsidR="00ED0E85" w:rsidRDefault="00ED0E85" w:rsidP="00ED0E85">
      <w:pPr>
        <w:pStyle w:val="ListBullet2"/>
      </w:pPr>
      <w:r>
        <w:t>The ownership of mid</w:t>
      </w:r>
      <w:r>
        <w:noBreakHyphen/>
        <w:t>tier office buildings (and below) is more diverse and fragmented.</w:t>
      </w:r>
    </w:p>
    <w:p w14:paraId="65D8C96C" w14:textId="77777777" w:rsidR="00ED0E85" w:rsidRDefault="00ED0E85" w:rsidP="00ED0E85">
      <w:pPr>
        <w:pStyle w:val="ListBullet"/>
      </w:pPr>
      <w:r>
        <w:t>Office tenants are similarly diverse, ranging from government to large multi</w:t>
      </w:r>
      <w:r>
        <w:noBreakHyphen/>
        <w:t>national companies that may occupy multiple buildings to small suburban single person businesses.</w:t>
      </w:r>
    </w:p>
    <w:p w14:paraId="48B41724" w14:textId="77777777" w:rsidR="00ED0E85" w:rsidRDefault="00ED0E85" w:rsidP="00ED0E85">
      <w:pPr>
        <w:pStyle w:val="ListBullet"/>
      </w:pPr>
      <w:r>
        <w:t>Leasing is prevalent.</w:t>
      </w:r>
    </w:p>
    <w:p w14:paraId="3FE890ED" w14:textId="77777777" w:rsidR="00ED0E85" w:rsidRDefault="00ED0E85" w:rsidP="00ED0E85">
      <w:pPr>
        <w:pStyle w:val="ListBullet2"/>
      </w:pPr>
      <w:r>
        <w:t>In most cases tenants are metered separately and billed directly for the tenancy energy consumed (tenancy energy consumption generally includes lighting, IT equipment and other plug</w:t>
      </w:r>
      <w:r>
        <w:noBreakHyphen/>
        <w:t>in equipment).</w:t>
      </w:r>
    </w:p>
    <w:p w14:paraId="580CAD90" w14:textId="77777777" w:rsidR="00ED0E85" w:rsidRDefault="00ED0E85" w:rsidP="00ED0E85">
      <w:pPr>
        <w:pStyle w:val="ListBullet2"/>
      </w:pPr>
      <w:r>
        <w:t>The arrangements for base building energy costs can vary.</w:t>
      </w:r>
    </w:p>
    <w:p w14:paraId="796B4281" w14:textId="77777777" w:rsidR="00ED0E85" w:rsidRDefault="00ED0E85" w:rsidP="00ED0E85">
      <w:pPr>
        <w:pStyle w:val="ListBullet3"/>
      </w:pPr>
      <w:r>
        <w:t>Leases are most commonly net leases, where base building energy costs (which generally includes: HVAC, lifts, common area lighting) is passed onto tenants.</w:t>
      </w:r>
    </w:p>
    <w:p w14:paraId="22E33CDC" w14:textId="77777777" w:rsidR="00ED0E85" w:rsidRDefault="00ED0E85" w:rsidP="00ED0E85">
      <w:pPr>
        <w:pStyle w:val="ListBullet3"/>
      </w:pPr>
      <w:r>
        <w:t>Under a gross lease, energy costs are included in the lease price.</w:t>
      </w:r>
    </w:p>
    <w:p w14:paraId="02A29047" w14:textId="77777777" w:rsidR="00ED0E85" w:rsidRDefault="00ED0E85" w:rsidP="00ED0E85">
      <w:pPr>
        <w:pStyle w:val="Heading2"/>
        <w:numPr>
          <w:ilvl w:val="1"/>
          <w:numId w:val="5"/>
        </w:numPr>
      </w:pPr>
      <w:bookmarkStart w:id="1215" w:name="_Toc19275502"/>
      <w:bookmarkStart w:id="1216" w:name="_Toc19276112"/>
      <w:bookmarkStart w:id="1217" w:name="_Toc19280111"/>
      <w:r>
        <w:t>Evidence of market and behavioural failures</w:t>
      </w:r>
      <w:bookmarkEnd w:id="1215"/>
      <w:bookmarkEnd w:id="1216"/>
      <w:bookmarkEnd w:id="1217"/>
    </w:p>
    <w:p w14:paraId="3185AACB" w14:textId="77777777" w:rsidR="00ED0E85" w:rsidRDefault="00ED0E85" w:rsidP="00ED0E85">
      <w:pPr>
        <w:pStyle w:val="BodyText"/>
      </w:pPr>
      <w:r>
        <w:t>The key market failure that the CBD Program has been designed to address is the split incentives problem (i.e. the landlord/tenant problem) that arises as a result of information asymmetries.</w:t>
      </w:r>
    </w:p>
    <w:p w14:paraId="6FF5EDA9" w14:textId="77777777" w:rsidR="00ED0E85" w:rsidRDefault="00ED0E85" w:rsidP="00ED0E85">
      <w:pPr>
        <w:pStyle w:val="ListBullet"/>
      </w:pPr>
      <w:r>
        <w:t xml:space="preserve">As noted above, split incentives were identified as a key barrier to improved energy efficiency in the RIS for the </w:t>
      </w:r>
      <w:r w:rsidRPr="00DE486E">
        <w:rPr>
          <w:i/>
        </w:rPr>
        <w:t>Building Energy Efficiency Disclosure Act 2010</w:t>
      </w:r>
      <w:r>
        <w:t>.</w:t>
      </w:r>
      <w:r w:rsidRPr="003F7DED">
        <w:rPr>
          <w:rStyle w:val="FootnoteReference"/>
        </w:rPr>
        <w:footnoteReference w:id="21"/>
      </w:r>
    </w:p>
    <w:p w14:paraId="48AB5AEA" w14:textId="77777777" w:rsidR="00ED0E85" w:rsidRPr="003F7DED" w:rsidRDefault="00ED0E85" w:rsidP="00ED0E85">
      <w:pPr>
        <w:pStyle w:val="ListBullet"/>
        <w:rPr>
          <w:lang w:bidi="fa-IR"/>
        </w:rPr>
      </w:pPr>
      <w:r>
        <w:rPr>
          <w:lang w:bidi="fa-IR"/>
        </w:rPr>
        <w:t>T</w:t>
      </w:r>
      <w:r w:rsidRPr="003F7DED">
        <w:rPr>
          <w:lang w:bidi="fa-IR"/>
        </w:rPr>
        <w:t xml:space="preserve">he </w:t>
      </w:r>
      <w:r>
        <w:rPr>
          <w:lang w:bidi="fa-IR"/>
        </w:rPr>
        <w:t xml:space="preserve">CBD Program </w:t>
      </w:r>
      <w:r w:rsidRPr="003F7DED">
        <w:rPr>
          <w:lang w:bidi="fa-IR"/>
        </w:rPr>
        <w:t xml:space="preserve">website </w:t>
      </w:r>
      <w:r>
        <w:rPr>
          <w:lang w:bidi="fa-IR"/>
        </w:rPr>
        <w:t>also</w:t>
      </w:r>
      <w:r w:rsidRPr="003F7DED">
        <w:rPr>
          <w:lang w:bidi="fa-IR"/>
        </w:rPr>
        <w:t xml:space="preserve"> states</w:t>
      </w:r>
      <w:r>
        <w:rPr>
          <w:lang w:bidi="fa-IR"/>
        </w:rPr>
        <w:t xml:space="preserve"> that an </w:t>
      </w:r>
      <w:r w:rsidRPr="003F7DED">
        <w:t xml:space="preserve">aim </w:t>
      </w:r>
      <w:r>
        <w:t>of the CBD Program is:</w:t>
      </w:r>
      <w:r w:rsidRPr="003F7DED">
        <w:t xml:space="preserve"> </w:t>
      </w:r>
      <w:r>
        <w:t>“…</w:t>
      </w:r>
      <w:r w:rsidRPr="003F7DED">
        <w:t>to ensure prospective buyers and tenants are informed”</w:t>
      </w:r>
      <w:r w:rsidRPr="003F7DED">
        <w:rPr>
          <w:rStyle w:val="FootnoteReference"/>
        </w:rPr>
        <w:footnoteReference w:id="22"/>
      </w:r>
      <w:r>
        <w:t xml:space="preserve"> implying an information asymmetry problem in the absence of mandatory disclosure.</w:t>
      </w:r>
    </w:p>
    <w:p w14:paraId="70CB99D9" w14:textId="77777777" w:rsidR="00ED0E85" w:rsidRDefault="00ED0E85" w:rsidP="00ED0E85">
      <w:pPr>
        <w:pStyle w:val="BodyText"/>
      </w:pPr>
      <w:r>
        <w:t>There is little evidence to suggest an information asymmetry problem in relation to energy bills that is best addressed by a NABERS rating.</w:t>
      </w:r>
    </w:p>
    <w:p w14:paraId="4DDA07AD" w14:textId="77777777" w:rsidR="00ED0E85" w:rsidRDefault="00ED0E85" w:rsidP="00ED0E85">
      <w:pPr>
        <w:pStyle w:val="ListBullet"/>
      </w:pPr>
      <w:r>
        <w:t>Where base building energy costs are directly passed onto tenants (i.e. a net lease), expected outgoings are typically provided to tenants at the time of choosing office space, allowing tenants to choose the tenancy that offers the preferred mix between lease rates and outgoings (as well as a range of other characteristics). Although benchmarked information (through a NABERS star rating) may be of some value to tenants, estimated outgoings is likely to be of more use for tenants to weigh up energy costs against lease rates and other factors, such as location and amenities (limitations of the NABERS rating as a measure of bill savings are discussed further below).</w:t>
      </w:r>
    </w:p>
    <w:p w14:paraId="40655CC7" w14:textId="77777777" w:rsidR="00ED0E85" w:rsidRDefault="00ED0E85" w:rsidP="00ED0E85">
      <w:pPr>
        <w:pStyle w:val="ListBullet"/>
      </w:pPr>
      <w:r>
        <w:t>Where tenants are on a ‘gross lease’ arrangement, base building energy costs are included in the lease. The amount paid by tenants is fully transparent and no split incentive arises because the landlord would receive the benefits of any improvements in energy efficiency.</w:t>
      </w:r>
    </w:p>
    <w:p w14:paraId="0BA50B79" w14:textId="77777777" w:rsidR="00ED0E85" w:rsidRDefault="00ED0E85" w:rsidP="00ED0E85">
      <w:pPr>
        <w:pStyle w:val="BodyText"/>
      </w:pPr>
      <w:r>
        <w:t>The CBD Program is addressing a range of behavioural failures, including a combination of:</w:t>
      </w:r>
    </w:p>
    <w:p w14:paraId="55B5D7E1" w14:textId="77777777" w:rsidR="00ED0E85" w:rsidRDefault="00ED0E85" w:rsidP="00ED0E85">
      <w:pPr>
        <w:pStyle w:val="ListBullet"/>
      </w:pPr>
      <w:r>
        <w:t>lack of awareness of poor performance — some building owners and managers may be unaware that their building is performing poorly (relative to other similar buildings)</w:t>
      </w:r>
    </w:p>
    <w:p w14:paraId="3C27B20C" w14:textId="77777777" w:rsidR="00ED0E85" w:rsidRDefault="00ED0E85" w:rsidP="00ED0E85">
      <w:pPr>
        <w:pStyle w:val="ListBullet"/>
      </w:pPr>
      <w:r>
        <w:t>insalience of energy costs – in general, energy costs are a relatively small share of total costs for many office</w:t>
      </w:r>
      <w:r>
        <w:noBreakHyphen/>
        <w:t>based businesses</w:t>
      </w:r>
    </w:p>
    <w:p w14:paraId="59E651FF" w14:textId="77777777" w:rsidR="00ED0E85" w:rsidRDefault="00ED0E85" w:rsidP="00ED0E85">
      <w:pPr>
        <w:pStyle w:val="ListBullet"/>
      </w:pPr>
      <w:r>
        <w:t>lack of expertise in relation to improving energy performance.</w:t>
      </w:r>
    </w:p>
    <w:p w14:paraId="73E48318" w14:textId="77777777" w:rsidR="00ED0E85" w:rsidRDefault="00ED0E85" w:rsidP="00ED0E85">
      <w:pPr>
        <w:pStyle w:val="BodyText"/>
      </w:pPr>
      <w:r>
        <w:t>On the other hand, there may be a split incentives problem caused by an information asymmetry in relation to lighting. Lighting is provided by the landlord, but the associated energy bill is generally paid for directly by the tenant (i.e. lighting is generally tenant energy consumption, rather than base building). Information on energy cost for this lighting is not likely to be available for a tenant at the time of choosing office space.</w:t>
      </w:r>
    </w:p>
    <w:p w14:paraId="2086194C" w14:textId="77777777" w:rsidR="00ED0E85" w:rsidRDefault="00ED0E85" w:rsidP="00ED0E85">
      <w:pPr>
        <w:pStyle w:val="ListBullet"/>
      </w:pPr>
      <w:r>
        <w:t>An information asymmetry could arise where the tenant is not aware of the relative efficiency of the lighting in an office space.</w:t>
      </w:r>
    </w:p>
    <w:p w14:paraId="53852989" w14:textId="77777777" w:rsidR="00ED0E85" w:rsidRDefault="00ED0E85" w:rsidP="00ED0E85">
      <w:pPr>
        <w:pStyle w:val="ListBullet"/>
      </w:pPr>
      <w:r>
        <w:t>This creates a split incentive whereby the landlord would bear the cost of a lighting upgrade, while the tenant would receive the benefits. In principle, providing information on the relative efficiency of lighting could allow rents to adjust accordingly (i.e. result in higher rents for more energy efficiency lighting) and overcome the split incentives problem.</w:t>
      </w:r>
    </w:p>
    <w:p w14:paraId="36975E10" w14:textId="77777777" w:rsidR="00ED0E85" w:rsidRDefault="00ED0E85" w:rsidP="00ED0E85">
      <w:pPr>
        <w:pStyle w:val="BodyText"/>
      </w:pPr>
      <w:r>
        <w:t>The TLA component of the BEEC is designed to overcome the information asymmetry/split incentives problem in relation to lighting.</w:t>
      </w:r>
    </w:p>
    <w:p w14:paraId="680057DD" w14:textId="77777777" w:rsidR="00ED0E85" w:rsidRDefault="00ED0E85" w:rsidP="00ED0E85">
      <w:pPr>
        <w:pStyle w:val="Heading2"/>
        <w:numPr>
          <w:ilvl w:val="1"/>
          <w:numId w:val="5"/>
        </w:numPr>
      </w:pPr>
      <w:bookmarkStart w:id="1218" w:name="_Toc19275503"/>
      <w:bookmarkStart w:id="1219" w:name="_Toc19276113"/>
      <w:bookmarkStart w:id="1220" w:name="_Toc19280112"/>
      <w:r>
        <w:t>Impact on the number of NABERS ratings</w:t>
      </w:r>
      <w:bookmarkEnd w:id="1218"/>
      <w:bookmarkEnd w:id="1219"/>
      <w:bookmarkEnd w:id="1220"/>
    </w:p>
    <w:p w14:paraId="7037A122" w14:textId="2631A0BF" w:rsidR="00ED0E85" w:rsidRDefault="00ED0E85" w:rsidP="00ED0E85">
      <w:pPr>
        <w:pStyle w:val="BodyText"/>
      </w:pPr>
      <w:r>
        <w:t>The impact of the CBD Program on the number of NABERS Office Energy ratings is shown in chart </w:t>
      </w:r>
      <w:r>
        <w:rPr>
          <w:noProof/>
        </w:rPr>
        <w:fldChar w:fldCharType="begin"/>
      </w:r>
      <w:r>
        <w:rPr>
          <w:noProof/>
        </w:rPr>
        <w:instrText xml:space="preserve"> REF _Caption8590 </w:instrText>
      </w:r>
      <w:r>
        <w:rPr>
          <w:noProof/>
        </w:rPr>
        <w:fldChar w:fldCharType="separate"/>
      </w:r>
      <w:r w:rsidR="00AD3561">
        <w:rPr>
          <w:noProof/>
        </w:rPr>
        <w:t>4</w:t>
      </w:r>
      <w:r w:rsidR="00AD3561" w:rsidRPr="000E4D37">
        <w:rPr>
          <w:noProof/>
        </w:rPr>
        <w:t>.</w:t>
      </w:r>
      <w:r w:rsidR="00AD3561">
        <w:rPr>
          <w:noProof/>
        </w:rPr>
        <w:t>1</w:t>
      </w:r>
      <w:r>
        <w:rPr>
          <w:noProof/>
        </w:rPr>
        <w:fldChar w:fldCharType="end"/>
      </w:r>
      <w:r>
        <w:t>.</w:t>
      </w:r>
    </w:p>
    <w:p w14:paraId="212D8C1D" w14:textId="77777777" w:rsidR="00ED0E85" w:rsidRDefault="00ED0E85" w:rsidP="00ED0E85">
      <w:pPr>
        <w:pStyle w:val="ListBullet"/>
      </w:pPr>
      <w:r>
        <w:t>Although on a gradual upward trajectory from 2001</w:t>
      </w:r>
      <w:r>
        <w:noBreakHyphen/>
        <w:t>02 to the implementation of the CBD Program, the number of NABERS Office Energy ratings increased from around 500 to around 1400 after the implementation of the CBD Program.</w:t>
      </w:r>
    </w:p>
    <w:p w14:paraId="6B650AA0" w14:textId="77777777" w:rsidR="00ED0E85" w:rsidRDefault="00ED0E85" w:rsidP="00ED0E85">
      <w:pPr>
        <w:pStyle w:val="ListBullet"/>
      </w:pPr>
      <w:r>
        <w:t>Following a stabilisation of the number of ratings after the implementation of the CBD Program, there was a further significant increase (18.6 per cent) when the threshold triggering a rating was reduced to 1000 m</w:t>
      </w:r>
      <w:r w:rsidRPr="00E64539">
        <w:rPr>
          <w:vertAlign w:val="superscript"/>
        </w:rPr>
        <w:t>2</w:t>
      </w:r>
      <w:r>
        <w:t>.</w:t>
      </w:r>
    </w:p>
    <w:p w14:paraId="1E559104" w14:textId="1D296804" w:rsidR="00ED0E85" w:rsidRPr="00695C93" w:rsidRDefault="00ED0E85" w:rsidP="00ED0E85">
      <w:pPr>
        <w:pStyle w:val="Caption"/>
      </w:pPr>
      <w:r w:rsidRPr="000E4D37">
        <w:fldChar w:fldCharType="begin"/>
      </w:r>
      <w:r w:rsidRPr="000E4D37">
        <w:instrText xml:space="preserve"> IF 1 = 1 "</w:instrText>
      </w:r>
      <w:r w:rsidRPr="000E4D37">
        <w:fldChar w:fldCharType="begin"/>
      </w:r>
      <w:r w:rsidRPr="000E4D37">
        <w:instrText xml:space="preserve"> IF </w:instrText>
      </w:r>
      <w:r w:rsidRPr="000E4D37">
        <w:rPr>
          <w:noProof/>
        </w:rPr>
        <w:fldChar w:fldCharType="begin"/>
      </w:r>
      <w:r w:rsidRPr="000E4D37">
        <w:rPr>
          <w:noProof/>
        </w:rPr>
        <w:instrText xml:space="preserve"> STYLEREF "Heading 6" \l \n </w:instrText>
      </w:r>
      <w:r w:rsidRPr="000E4D37">
        <w:rPr>
          <w:noProof/>
        </w:rPr>
        <w:fldChar w:fldCharType="separate"/>
      </w:r>
      <w:r w:rsidR="00AD3561">
        <w:rPr>
          <w:noProof/>
        </w:rPr>
        <w:instrText>0</w:instrText>
      </w:r>
      <w:r w:rsidRPr="000E4D37">
        <w:rPr>
          <w:noProof/>
        </w:rPr>
        <w:fldChar w:fldCharType="end"/>
      </w:r>
      <w:r w:rsidRPr="000E4D37">
        <w:instrText xml:space="preserve"> = 0 "</w:instrText>
      </w:r>
      <w:r w:rsidRPr="000E4D37">
        <w:fldChar w:fldCharType="begin"/>
      </w:r>
      <w:r w:rsidRPr="000E4D37">
        <w:instrText xml:space="preserve"> IF </w:instrText>
      </w:r>
      <w:r w:rsidRPr="000E4D37">
        <w:rPr>
          <w:noProof/>
        </w:rPr>
        <w:fldChar w:fldCharType="begin"/>
      </w:r>
      <w:r w:rsidRPr="000E4D37">
        <w:rPr>
          <w:noProof/>
        </w:rPr>
        <w:instrText xml:space="preserve"> STYLEREF "Heading 1" \l \n </w:instrText>
      </w:r>
      <w:r w:rsidRPr="000E4D37">
        <w:rPr>
          <w:noProof/>
        </w:rPr>
        <w:fldChar w:fldCharType="separate"/>
      </w:r>
      <w:r w:rsidR="00AD3561">
        <w:rPr>
          <w:noProof/>
        </w:rPr>
        <w:instrText>4</w:instrText>
      </w:r>
      <w:r w:rsidRPr="000E4D37">
        <w:rPr>
          <w:noProof/>
        </w:rPr>
        <w:fldChar w:fldCharType="end"/>
      </w:r>
      <w:r w:rsidRPr="000E4D37">
        <w:instrText xml:space="preserve"> = 0 "" "</w:instrText>
      </w:r>
      <w:r w:rsidRPr="000E4D37">
        <w:rPr>
          <w:noProof/>
        </w:rPr>
        <w:fldChar w:fldCharType="begin"/>
      </w:r>
      <w:r w:rsidRPr="000E4D37">
        <w:rPr>
          <w:noProof/>
        </w:rPr>
        <w:instrText xml:space="preserve"> STYLEREF "Heading 1" \l \n </w:instrText>
      </w:r>
      <w:r w:rsidRPr="000E4D37">
        <w:rPr>
          <w:noProof/>
        </w:rPr>
        <w:fldChar w:fldCharType="separate"/>
      </w:r>
      <w:r w:rsidR="00AD3561">
        <w:rPr>
          <w:noProof/>
        </w:rPr>
        <w:instrText>4</w:instrText>
      </w:r>
      <w:r w:rsidRPr="000E4D37">
        <w:rPr>
          <w:noProof/>
        </w:rPr>
        <w:fldChar w:fldCharType="end"/>
      </w:r>
      <w:r w:rsidRPr="000E4D37">
        <w:instrText xml:space="preserve">." </w:instrText>
      </w:r>
      <w:r w:rsidRPr="000E4D37">
        <w:fldChar w:fldCharType="separate"/>
      </w:r>
      <w:r w:rsidR="00AD3561">
        <w:rPr>
          <w:noProof/>
        </w:rPr>
        <w:instrText>4</w:instrText>
      </w:r>
      <w:r w:rsidR="00AD3561" w:rsidRPr="000E4D37">
        <w:rPr>
          <w:noProof/>
        </w:rPr>
        <w:instrText>.</w:instrText>
      </w:r>
      <w:r w:rsidRPr="000E4D37">
        <w:fldChar w:fldCharType="end"/>
      </w:r>
      <w:r w:rsidRPr="000E4D37">
        <w:instrText>" "</w:instrText>
      </w:r>
      <w:r w:rsidRPr="000E4D37">
        <w:rPr>
          <w:noProof/>
        </w:rPr>
        <w:fldChar w:fldCharType="begin"/>
      </w:r>
      <w:r w:rsidRPr="000E4D37">
        <w:rPr>
          <w:noProof/>
        </w:rPr>
        <w:instrText xml:space="preserve"> STYLEREF "Heading 6" \l \n </w:instrText>
      </w:r>
      <w:r w:rsidRPr="000E4D37">
        <w:rPr>
          <w:noProof/>
        </w:rPr>
        <w:fldChar w:fldCharType="separate"/>
      </w:r>
      <w:r w:rsidRPr="000E4D37">
        <w:rPr>
          <w:noProof/>
        </w:rPr>
        <w:instrText>A</w:instrText>
      </w:r>
      <w:r w:rsidRPr="000E4D37">
        <w:rPr>
          <w:noProof/>
        </w:rPr>
        <w:fldChar w:fldCharType="end"/>
      </w:r>
      <w:r w:rsidRPr="000E4D37">
        <w:instrText xml:space="preserve">." </w:instrText>
      </w:r>
      <w:r w:rsidRPr="000E4D37">
        <w:fldChar w:fldCharType="separate"/>
      </w:r>
      <w:r w:rsidR="00C353B5">
        <w:rPr>
          <w:noProof/>
        </w:rPr>
        <w:instrText>4</w:instrText>
      </w:r>
      <w:r w:rsidR="00C353B5" w:rsidRPr="000E4D37">
        <w:rPr>
          <w:noProof/>
        </w:rPr>
        <w:instrText>.</w:instrText>
      </w:r>
      <w:r w:rsidRPr="000E4D37">
        <w:fldChar w:fldCharType="end"/>
      </w:r>
      <w:r w:rsidRPr="000E4D37">
        <w:fldChar w:fldCharType="begin"/>
      </w:r>
      <w:r w:rsidRPr="000E4D37">
        <w:instrText xml:space="preserve"> SEQ Item \* ARABIC \s </w:instrText>
      </w:r>
      <w:r w:rsidRPr="000E4D37">
        <w:fldChar w:fldCharType="begin"/>
      </w:r>
      <w:r w:rsidRPr="000E4D37">
        <w:instrText xml:space="preserve"> IF </w:instrText>
      </w:r>
      <w:r w:rsidRPr="000E4D37">
        <w:rPr>
          <w:noProof/>
        </w:rPr>
        <w:fldChar w:fldCharType="begin"/>
      </w:r>
      <w:r w:rsidRPr="000E4D37">
        <w:rPr>
          <w:noProof/>
        </w:rPr>
        <w:instrText xml:space="preserve"> STYLEREF "Heading 6" \l \n </w:instrText>
      </w:r>
      <w:r w:rsidRPr="000E4D37">
        <w:rPr>
          <w:noProof/>
        </w:rPr>
        <w:fldChar w:fldCharType="separate"/>
      </w:r>
      <w:r w:rsidR="00AD3561">
        <w:rPr>
          <w:noProof/>
        </w:rPr>
        <w:instrText>0</w:instrText>
      </w:r>
      <w:r w:rsidRPr="000E4D37">
        <w:rPr>
          <w:noProof/>
        </w:rPr>
        <w:fldChar w:fldCharType="end"/>
      </w:r>
      <w:r w:rsidRPr="000E4D37">
        <w:instrText xml:space="preserve"> = 0 "</w:instrText>
      </w:r>
      <w:r w:rsidRPr="000E4D37">
        <w:fldChar w:fldCharType="begin"/>
      </w:r>
      <w:r w:rsidRPr="000E4D37">
        <w:instrText xml:space="preserve"> IF </w:instrText>
      </w:r>
      <w:r w:rsidRPr="000E4D37">
        <w:rPr>
          <w:noProof/>
        </w:rPr>
        <w:fldChar w:fldCharType="begin"/>
      </w:r>
      <w:r w:rsidRPr="000E4D37">
        <w:rPr>
          <w:noProof/>
        </w:rPr>
        <w:instrText xml:space="preserve"> STYLEREF "Heading 1" \l \n </w:instrText>
      </w:r>
      <w:r w:rsidRPr="000E4D37">
        <w:rPr>
          <w:noProof/>
        </w:rPr>
        <w:fldChar w:fldCharType="separate"/>
      </w:r>
      <w:r w:rsidR="00AD3561">
        <w:rPr>
          <w:noProof/>
        </w:rPr>
        <w:instrText>4</w:instrText>
      </w:r>
      <w:r w:rsidRPr="000E4D37">
        <w:rPr>
          <w:noProof/>
        </w:rPr>
        <w:fldChar w:fldCharType="end"/>
      </w:r>
      <w:r w:rsidRPr="000E4D37">
        <w:instrText xml:space="preserve"> = 0 "" "1" </w:instrText>
      </w:r>
      <w:r w:rsidRPr="000E4D37">
        <w:fldChar w:fldCharType="separate"/>
      </w:r>
      <w:r w:rsidR="00C353B5" w:rsidRPr="000E4D37">
        <w:rPr>
          <w:noProof/>
        </w:rPr>
        <w:instrText>1</w:instrText>
      </w:r>
      <w:r w:rsidRPr="000E4D37">
        <w:fldChar w:fldCharType="end"/>
      </w:r>
      <w:r w:rsidRPr="000E4D37">
        <w:instrText xml:space="preserve">" "6" </w:instrText>
      </w:r>
      <w:r w:rsidRPr="000E4D37">
        <w:fldChar w:fldCharType="separate"/>
      </w:r>
      <w:r w:rsidR="00C353B5" w:rsidRPr="000E4D37">
        <w:rPr>
          <w:noProof/>
        </w:rPr>
        <w:instrText>1</w:instrText>
      </w:r>
      <w:r w:rsidRPr="000E4D37">
        <w:fldChar w:fldCharType="end"/>
      </w:r>
      <w:r w:rsidRPr="000E4D37">
        <w:instrText xml:space="preserve"> </w:instrText>
      </w:r>
      <w:r w:rsidRPr="000E4D37">
        <w:fldChar w:fldCharType="separate"/>
      </w:r>
      <w:r w:rsidR="00AD3561">
        <w:rPr>
          <w:noProof/>
        </w:rPr>
        <w:instrText>1</w:instrText>
      </w:r>
      <w:r w:rsidRPr="000E4D37">
        <w:fldChar w:fldCharType="end"/>
      </w:r>
      <w:r w:rsidRPr="000E4D37">
        <w:instrText xml:space="preserve">" "" </w:instrText>
      </w:r>
      <w:r w:rsidRPr="000E4D37">
        <w:fldChar w:fldCharType="separate"/>
      </w:r>
      <w:bookmarkStart w:id="1221" w:name="_Caption2113"/>
      <w:bookmarkStart w:id="1222" w:name="_Caption9765"/>
      <w:bookmarkStart w:id="1223" w:name="_Caption9592"/>
      <w:bookmarkStart w:id="1224" w:name="_Caption9430"/>
      <w:bookmarkStart w:id="1225" w:name="_Caption6451"/>
      <w:bookmarkStart w:id="1226" w:name="_Caption1551"/>
      <w:bookmarkStart w:id="1227" w:name="_Caption3299"/>
      <w:bookmarkStart w:id="1228" w:name="_Caption9269"/>
      <w:bookmarkStart w:id="1229" w:name="_Caption1467"/>
      <w:bookmarkStart w:id="1230" w:name="_Caption3306"/>
      <w:bookmarkStart w:id="1231" w:name="_Caption7964"/>
      <w:bookmarkStart w:id="1232" w:name="_Caption8504"/>
      <w:bookmarkStart w:id="1233" w:name="_Caption5120"/>
      <w:bookmarkStart w:id="1234" w:name="_Caption9644"/>
      <w:bookmarkStart w:id="1235" w:name="_Caption8379"/>
      <w:bookmarkStart w:id="1236" w:name="_Caption1014"/>
      <w:bookmarkStart w:id="1237" w:name="_Caption0081"/>
      <w:bookmarkStart w:id="1238" w:name="_Caption3161"/>
      <w:bookmarkStart w:id="1239" w:name="_Caption0324"/>
      <w:bookmarkStart w:id="1240" w:name="_Caption2590"/>
      <w:bookmarkStart w:id="1241" w:name="_Caption4195"/>
      <w:bookmarkStart w:id="1242" w:name="_Caption9846"/>
      <w:bookmarkStart w:id="1243" w:name="_Caption7837"/>
      <w:bookmarkStart w:id="1244" w:name="_Caption3336"/>
      <w:bookmarkStart w:id="1245" w:name="_Caption4492"/>
      <w:bookmarkStart w:id="1246" w:name="_Caption7197"/>
      <w:bookmarkStart w:id="1247" w:name="_Caption9965"/>
      <w:bookmarkStart w:id="1248" w:name="_Caption4547"/>
      <w:bookmarkStart w:id="1249" w:name="_Caption5809"/>
      <w:bookmarkStart w:id="1250" w:name="_Caption7020"/>
      <w:bookmarkStart w:id="1251" w:name="_Caption5001"/>
      <w:bookmarkStart w:id="1252" w:name="_Caption1416"/>
      <w:bookmarkStart w:id="1253" w:name="_Caption2874"/>
      <w:bookmarkStart w:id="1254" w:name="_Caption8977"/>
      <w:bookmarkStart w:id="1255" w:name="_Caption4687"/>
      <w:bookmarkStart w:id="1256" w:name="_Caption1447"/>
      <w:bookmarkStart w:id="1257" w:name="_Caption1356"/>
      <w:bookmarkStart w:id="1258" w:name="_Caption8471"/>
      <w:bookmarkStart w:id="1259" w:name="_Caption8492"/>
      <w:bookmarkStart w:id="1260" w:name="_Caption4896"/>
      <w:bookmarkStart w:id="1261" w:name="_Caption8173"/>
      <w:bookmarkStart w:id="1262" w:name="_Caption7824"/>
      <w:bookmarkStart w:id="1263" w:name="_Caption4803"/>
      <w:bookmarkStart w:id="1264" w:name="_Caption9100"/>
      <w:bookmarkStart w:id="1265" w:name="_Caption5338"/>
      <w:bookmarkStart w:id="1266" w:name="_Caption9743"/>
      <w:bookmarkStart w:id="1267" w:name="_Caption8590"/>
      <w:bookmarkStart w:id="1268" w:name="_Caption3559"/>
      <w:bookmarkStart w:id="1269" w:name="_Caption7500"/>
      <w:bookmarkStart w:id="1270" w:name="_Caption3555"/>
      <w:bookmarkStart w:id="1271" w:name="_Caption6624"/>
      <w:bookmarkStart w:id="1272" w:name="_Caption8998"/>
      <w:bookmarkStart w:id="1273" w:name="_Caption1917"/>
      <w:bookmarkStart w:id="1274" w:name="_Caption4461"/>
      <w:bookmarkStart w:id="1275" w:name="_Caption1102"/>
      <w:bookmarkStart w:id="1276" w:name="_Caption5422"/>
      <w:bookmarkStart w:id="1277" w:name="_Caption7761"/>
      <w:bookmarkStart w:id="1278" w:name="_Caption2417"/>
      <w:bookmarkStart w:id="1279" w:name="_Caption7664"/>
      <w:bookmarkStart w:id="1280" w:name="_Caption5362"/>
      <w:bookmarkStart w:id="1281" w:name="_Caption0685"/>
      <w:bookmarkStart w:id="1282" w:name="_Caption9526"/>
      <w:bookmarkStart w:id="1283" w:name="_Caption4131"/>
      <w:bookmarkStart w:id="1284" w:name="_Caption1877"/>
      <w:bookmarkStart w:id="1285" w:name="_Caption5354"/>
      <w:bookmarkStart w:id="1286" w:name="_Caption6953"/>
      <w:bookmarkStart w:id="1287" w:name="_Caption3878"/>
      <w:bookmarkStart w:id="1288" w:name="_Caption0573"/>
      <w:bookmarkStart w:id="1289" w:name="_Caption6990"/>
      <w:bookmarkStart w:id="1290" w:name="_Caption2892"/>
      <w:bookmarkStart w:id="1291" w:name="_Caption4270"/>
      <w:bookmarkStart w:id="1292" w:name="_Caption9523"/>
      <w:bookmarkStart w:id="1293" w:name="_Caption0071"/>
      <w:bookmarkStart w:id="1294" w:name="_Caption5135"/>
      <w:bookmarkStart w:id="1295" w:name="_Caption7110"/>
      <w:bookmarkStart w:id="1296" w:name="_Caption3774"/>
      <w:bookmarkStart w:id="1297" w:name="_Caption9979"/>
      <w:bookmarkStart w:id="1298" w:name="_Caption3124"/>
      <w:bookmarkStart w:id="1299" w:name="_Caption3208"/>
      <w:bookmarkStart w:id="1300" w:name="_Caption8936"/>
      <w:bookmarkStart w:id="1301" w:name="_Caption7560"/>
      <w:bookmarkStart w:id="1302" w:name="_Caption1334"/>
      <w:bookmarkStart w:id="1303" w:name="_Caption8956"/>
      <w:bookmarkStart w:id="1304" w:name="_Caption6428"/>
      <w:bookmarkStart w:id="1305" w:name="_Caption7708"/>
      <w:bookmarkStart w:id="1306" w:name="_Caption1271"/>
      <w:bookmarkStart w:id="1307" w:name="_Caption8008"/>
      <w:bookmarkStart w:id="1308" w:name="_Caption8206"/>
      <w:bookmarkStart w:id="1309" w:name="_Caption0826"/>
      <w:bookmarkStart w:id="1310" w:name="_Caption7414"/>
      <w:bookmarkStart w:id="1311" w:name="_Caption1002"/>
      <w:bookmarkStart w:id="1312" w:name="_Caption3800"/>
      <w:bookmarkStart w:id="1313" w:name="_Toc19275570"/>
      <w:bookmarkStart w:id="1314" w:name="_Toc19276180"/>
      <w:bookmarkStart w:id="1315" w:name="_Toc19280179"/>
      <w:r w:rsidR="00C353B5">
        <w:rPr>
          <w:noProof/>
        </w:rPr>
        <w:t>4</w:t>
      </w:r>
      <w:r w:rsidR="00C353B5" w:rsidRPr="000E4D37">
        <w:rPr>
          <w:noProof/>
        </w:rPr>
        <w:t>.</w:t>
      </w:r>
      <w:r w:rsidR="00C353B5">
        <w:rPr>
          <w:noProof/>
        </w:rPr>
        <w:t>1</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r w:rsidRPr="000E4D37">
        <w:fldChar w:fldCharType="end"/>
      </w:r>
      <w:r w:rsidRPr="000E4D37">
        <w:tab/>
        <w:t>Number of NABERS Office Energy ratings over time</w:t>
      </w:r>
      <w:bookmarkEnd w:id="1313"/>
      <w:bookmarkEnd w:id="1314"/>
      <w:bookmarkEnd w:id="1315"/>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Look w:val="04A0" w:firstRow="1" w:lastRow="0" w:firstColumn="1" w:lastColumn="0" w:noHBand="0" w:noVBand="1"/>
      </w:tblPr>
      <w:tblGrid>
        <w:gridCol w:w="7938"/>
      </w:tblGrid>
      <w:tr w:rsidR="00ED0E85" w14:paraId="1699D957" w14:textId="77777777" w:rsidTr="00ED0E85">
        <w:trPr>
          <w:cantSplit/>
        </w:trPr>
        <w:tc>
          <w:tcPr>
            <w:tcW w:w="7938" w:type="dxa"/>
            <w:shd w:val="clear" w:color="auto" w:fill="E9E8E5" w:themeFill="background2"/>
          </w:tcPr>
          <w:p w14:paraId="53A907B7" w14:textId="77777777" w:rsidR="00ED0E85" w:rsidRDefault="00ED0E85" w:rsidP="00ED0E85">
            <w:pPr>
              <w:pStyle w:val="Chart"/>
              <w:ind w:hanging="105"/>
              <w:jc w:val="center"/>
            </w:pPr>
            <w:r w:rsidRPr="00D80AAD">
              <w:rPr>
                <w:noProof/>
                <w:lang w:eastAsia="en-AU"/>
              </w:rPr>
              <w:drawing>
                <wp:inline distT="0" distB="0" distL="0" distR="0" wp14:anchorId="353E78B4" wp14:editId="38A94E62">
                  <wp:extent cx="4724400" cy="272415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46">
                            <a:extLst>
                              <a:ext uri="{28A0092B-C50C-407E-A947-70E740481C1C}">
                                <a14:useLocalDpi xmlns:a14="http://schemas.microsoft.com/office/drawing/2010/main" val="0"/>
                              </a:ext>
                            </a:extLst>
                          </a:blip>
                          <a:srcRect l="976" r="2149"/>
                          <a:stretch/>
                        </pic:blipFill>
                        <pic:spPr bwMode="auto">
                          <a:xfrm>
                            <a:off x="0" y="0"/>
                            <a:ext cx="4724400" cy="27241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7339AA0" w14:textId="77777777" w:rsidR="00ED0E85" w:rsidRDefault="00ED0E85" w:rsidP="00ED0E85">
      <w:pPr>
        <w:pStyle w:val="Source"/>
      </w:pPr>
      <w:r>
        <w:rPr>
          <w:i/>
        </w:rPr>
        <w:t>Data source</w:t>
      </w:r>
      <w:r w:rsidRPr="00A67576">
        <w:rPr>
          <w:i/>
        </w:rPr>
        <w:t>:</w:t>
      </w:r>
      <w:r>
        <w:t xml:space="preserve"> NABERS Annual Report.</w:t>
      </w:r>
    </w:p>
    <w:p w14:paraId="01BFB290" w14:textId="7B724897" w:rsidR="00ED0E85" w:rsidRDefault="00ED0E85" w:rsidP="00ED0E85">
      <w:pPr>
        <w:pStyle w:val="BodyText"/>
        <w:rPr>
          <w:lang w:eastAsia="en-US"/>
        </w:rPr>
      </w:pPr>
      <w:r>
        <w:rPr>
          <w:lang w:eastAsia="en-US"/>
        </w:rPr>
        <w:t>Another way to look at the impact of the CBD Program is in the number of new NABERS Office Energy ratings (including base building and whole building ratings). (chart </w:t>
      </w:r>
      <w:r>
        <w:rPr>
          <w:lang w:eastAsia="en-US"/>
        </w:rPr>
        <w:fldChar w:fldCharType="begin"/>
      </w:r>
      <w:r>
        <w:rPr>
          <w:lang w:eastAsia="en-US"/>
        </w:rPr>
        <w:instrText xml:space="preserve"> REF _Caption9704 </w:instrText>
      </w:r>
      <w:r>
        <w:rPr>
          <w:lang w:eastAsia="en-US"/>
        </w:rPr>
        <w:fldChar w:fldCharType="separate"/>
      </w:r>
      <w:r w:rsidR="00AD3561">
        <w:rPr>
          <w:noProof/>
        </w:rPr>
        <w:t>4</w:t>
      </w:r>
      <w:r w:rsidR="00AD3561" w:rsidRPr="00695C93">
        <w:rPr>
          <w:noProof/>
        </w:rPr>
        <w:t>.</w:t>
      </w:r>
      <w:r w:rsidR="00AD3561">
        <w:rPr>
          <w:noProof/>
        </w:rPr>
        <w:t>2</w:t>
      </w:r>
      <w:r>
        <w:rPr>
          <w:lang w:eastAsia="en-US"/>
        </w:rPr>
        <w:fldChar w:fldCharType="end"/>
      </w:r>
      <w:r>
        <w:rPr>
          <w:lang w:eastAsia="en-US"/>
        </w:rPr>
        <w:t>).</w:t>
      </w:r>
    </w:p>
    <w:p w14:paraId="3231E7E6" w14:textId="77777777" w:rsidR="00ED0E85" w:rsidRDefault="00ED0E85" w:rsidP="00ED0E85">
      <w:pPr>
        <w:pStyle w:val="ListBullet"/>
        <w:rPr>
          <w:lang w:eastAsia="en-US"/>
        </w:rPr>
      </w:pPr>
      <w:r>
        <w:rPr>
          <w:lang w:eastAsia="en-US"/>
        </w:rPr>
        <w:t>The impact of the CBD Program can be seen in a sharp increase in the number of new ratings is evident in 2010</w:t>
      </w:r>
      <w:r>
        <w:rPr>
          <w:lang w:eastAsia="en-US"/>
        </w:rPr>
        <w:noBreakHyphen/>
        <w:t>11.</w:t>
      </w:r>
    </w:p>
    <w:p w14:paraId="3F9A3521" w14:textId="77777777" w:rsidR="00ED0E85" w:rsidRDefault="00ED0E85" w:rsidP="00ED0E85">
      <w:pPr>
        <w:pStyle w:val="ListBullet"/>
        <w:rPr>
          <w:lang w:eastAsia="en-US"/>
        </w:rPr>
      </w:pPr>
      <w:r>
        <w:rPr>
          <w:lang w:eastAsia="en-US"/>
        </w:rPr>
        <w:t>The number of new ratings subsequently declined, but stayed above previous levels as the CBD Program was phased in and (for some buildings) a delay in the requirement for a BEEC (and therefore a NABERS rating) being triggered.</w:t>
      </w:r>
    </w:p>
    <w:p w14:paraId="19F503EA" w14:textId="77777777" w:rsidR="00ED0E85" w:rsidRDefault="00ED0E85" w:rsidP="00ED0E85">
      <w:pPr>
        <w:pStyle w:val="ListBullet"/>
        <w:rPr>
          <w:lang w:eastAsia="en-US"/>
        </w:rPr>
      </w:pPr>
      <w:r>
        <w:rPr>
          <w:lang w:eastAsia="en-US"/>
        </w:rPr>
        <w:t>A second (albeit smaller) spike in the number of buildings entering the NABERS system for the first time was recorded in 2017</w:t>
      </w:r>
      <w:r>
        <w:rPr>
          <w:lang w:eastAsia="en-US"/>
        </w:rPr>
        <w:noBreakHyphen/>
        <w:t>18 reflecting the reduction in the threshold from 2000 m</w:t>
      </w:r>
      <w:r w:rsidRPr="00BF052B">
        <w:rPr>
          <w:vertAlign w:val="superscript"/>
          <w:lang w:eastAsia="en-US"/>
        </w:rPr>
        <w:t>2</w:t>
      </w:r>
      <w:r>
        <w:rPr>
          <w:lang w:eastAsia="en-US"/>
        </w:rPr>
        <w:t xml:space="preserve"> to 1000 m</w:t>
      </w:r>
      <w:r w:rsidRPr="00BF052B">
        <w:rPr>
          <w:vertAlign w:val="superscript"/>
          <w:lang w:eastAsia="en-US"/>
        </w:rPr>
        <w:t>2</w:t>
      </w:r>
      <w:r>
        <w:rPr>
          <w:lang w:eastAsia="en-US"/>
        </w:rPr>
        <w:t>.</w:t>
      </w:r>
    </w:p>
    <w:p w14:paraId="67A3E213" w14:textId="19A9C933"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w:instrText>
      </w:r>
      <w:r w:rsidRPr="00695C93">
        <w:fldChar w:fldCharType="separate"/>
      </w:r>
      <w:r w:rsidR="00AD3561">
        <w:rPr>
          <w:noProof/>
        </w:rPr>
        <w:instrText>4</w:instrText>
      </w:r>
      <w:r w:rsidR="00AD3561"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rsidRPr="00695C93">
        <w:instrText xml:space="preserve">." </w:instrText>
      </w:r>
      <w:r w:rsidRPr="00695C93">
        <w:fldChar w:fldCharType="separate"/>
      </w:r>
      <w:r w:rsidR="00C353B5">
        <w:rPr>
          <w:noProof/>
        </w:rPr>
        <w:instrText>4</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2</w:instrText>
      </w:r>
      <w:r w:rsidRPr="00695C93">
        <w:fldChar w:fldCharType="end"/>
      </w:r>
      <w:r w:rsidRPr="00695C93">
        <w:instrText xml:space="preserve">" "" </w:instrText>
      </w:r>
      <w:r w:rsidRPr="00695C93">
        <w:fldChar w:fldCharType="separate"/>
      </w:r>
      <w:bookmarkStart w:id="1316" w:name="_Caption9229"/>
      <w:bookmarkStart w:id="1317" w:name="_Caption4468"/>
      <w:bookmarkStart w:id="1318" w:name="_Caption8498"/>
      <w:bookmarkStart w:id="1319" w:name="_Caption8550"/>
      <w:bookmarkStart w:id="1320" w:name="_Caption5077"/>
      <w:bookmarkStart w:id="1321" w:name="_Caption9435"/>
      <w:bookmarkStart w:id="1322" w:name="_Caption8613"/>
      <w:bookmarkStart w:id="1323" w:name="_Caption0989"/>
      <w:bookmarkStart w:id="1324" w:name="_Caption4149"/>
      <w:bookmarkStart w:id="1325" w:name="_Caption6831"/>
      <w:bookmarkStart w:id="1326" w:name="_Caption5934"/>
      <w:bookmarkStart w:id="1327" w:name="_Caption1175"/>
      <w:bookmarkStart w:id="1328" w:name="_Caption9179"/>
      <w:bookmarkStart w:id="1329" w:name="_Caption6973"/>
      <w:bookmarkStart w:id="1330" w:name="_Caption1477"/>
      <w:bookmarkStart w:id="1331" w:name="_Caption6733"/>
      <w:bookmarkStart w:id="1332" w:name="_Caption0468"/>
      <w:bookmarkStart w:id="1333" w:name="_Caption9850"/>
      <w:bookmarkStart w:id="1334" w:name="_Caption2807"/>
      <w:bookmarkStart w:id="1335" w:name="_Caption3355"/>
      <w:bookmarkStart w:id="1336" w:name="_Caption3473"/>
      <w:bookmarkStart w:id="1337" w:name="_Caption7389"/>
      <w:bookmarkStart w:id="1338" w:name="_Caption9332"/>
      <w:bookmarkStart w:id="1339" w:name="_Caption2869"/>
      <w:bookmarkStart w:id="1340" w:name="_Caption8444"/>
      <w:bookmarkStart w:id="1341" w:name="_Caption9521"/>
      <w:bookmarkStart w:id="1342" w:name="_Caption0072"/>
      <w:bookmarkStart w:id="1343" w:name="_Caption0555"/>
      <w:bookmarkStart w:id="1344" w:name="_Caption9704"/>
      <w:bookmarkStart w:id="1345" w:name="_Caption6722"/>
      <w:bookmarkStart w:id="1346" w:name="_Caption1373"/>
      <w:bookmarkStart w:id="1347" w:name="_Caption5572"/>
      <w:bookmarkStart w:id="1348" w:name="_Caption3565"/>
      <w:bookmarkStart w:id="1349" w:name="_Caption5739"/>
      <w:bookmarkStart w:id="1350" w:name="_Caption6893"/>
      <w:bookmarkStart w:id="1351" w:name="_Caption7787"/>
      <w:bookmarkStart w:id="1352" w:name="_Caption3960"/>
      <w:bookmarkStart w:id="1353" w:name="_Caption9007"/>
      <w:bookmarkStart w:id="1354" w:name="_Caption4308"/>
      <w:bookmarkStart w:id="1355" w:name="_Caption5478"/>
      <w:bookmarkStart w:id="1356" w:name="_Caption6222"/>
      <w:bookmarkStart w:id="1357" w:name="_Caption9388"/>
      <w:bookmarkStart w:id="1358" w:name="_Caption8800"/>
      <w:bookmarkStart w:id="1359" w:name="_Caption7601"/>
      <w:bookmarkStart w:id="1360" w:name="_Caption1388"/>
      <w:bookmarkStart w:id="1361" w:name="_Caption6632"/>
      <w:bookmarkStart w:id="1362" w:name="_Caption4921"/>
      <w:bookmarkStart w:id="1363" w:name="_Caption7027"/>
      <w:bookmarkStart w:id="1364" w:name="_Caption8519"/>
      <w:bookmarkStart w:id="1365" w:name="_Caption0023"/>
      <w:bookmarkStart w:id="1366" w:name="_Caption0088"/>
      <w:bookmarkStart w:id="1367" w:name="_Caption1213"/>
      <w:bookmarkStart w:id="1368" w:name="_Caption0471"/>
      <w:bookmarkStart w:id="1369" w:name="_Caption1749"/>
      <w:bookmarkStart w:id="1370" w:name="_Caption8901"/>
      <w:bookmarkStart w:id="1371" w:name="_Toc19275571"/>
      <w:bookmarkStart w:id="1372" w:name="_Toc19276181"/>
      <w:bookmarkStart w:id="1373" w:name="_Toc19280180"/>
      <w:r w:rsidR="00C353B5">
        <w:rPr>
          <w:noProof/>
        </w:rPr>
        <w:t>4</w:t>
      </w:r>
      <w:r w:rsidR="00C353B5" w:rsidRPr="00695C93">
        <w:rPr>
          <w:noProof/>
        </w:rPr>
        <w:t>.</w:t>
      </w:r>
      <w:r w:rsidR="00C353B5">
        <w:rPr>
          <w:noProof/>
        </w:rPr>
        <w:t>2</w:t>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r w:rsidRPr="00695C93">
        <w:fldChar w:fldCharType="end"/>
      </w:r>
      <w:r w:rsidRPr="00695C93">
        <w:tab/>
      </w:r>
      <w:r>
        <w:t>Number of new NABERS Office Energy ratings</w:t>
      </w:r>
      <w:bookmarkEnd w:id="1371"/>
      <w:bookmarkEnd w:id="1372"/>
      <w:bookmarkEnd w:id="1373"/>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443ED39D" w14:textId="77777777" w:rsidTr="00ED0E85">
        <w:trPr>
          <w:cantSplit/>
        </w:trPr>
        <w:tc>
          <w:tcPr>
            <w:tcW w:w="7938" w:type="dxa"/>
            <w:shd w:val="clear" w:color="auto" w:fill="E9E8E5" w:themeFill="background2"/>
          </w:tcPr>
          <w:p w14:paraId="1524EA57" w14:textId="77777777" w:rsidR="00ED0E85" w:rsidRDefault="00ED0E85" w:rsidP="00ED0E85">
            <w:pPr>
              <w:pStyle w:val="Chart"/>
              <w:spacing w:after="120"/>
              <w:jc w:val="center"/>
            </w:pPr>
            <w:r w:rsidRPr="00C52D32">
              <w:rPr>
                <w:noProof/>
                <w:lang w:eastAsia="en-AU"/>
              </w:rPr>
              <w:drawing>
                <wp:inline distT="0" distB="0" distL="0" distR="0" wp14:anchorId="5230D9E5" wp14:editId="37240D4B">
                  <wp:extent cx="4886325" cy="2425065"/>
                  <wp:effectExtent l="0" t="0" r="9525"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r="3061"/>
                          <a:stretch/>
                        </pic:blipFill>
                        <pic:spPr bwMode="auto">
                          <a:xfrm>
                            <a:off x="0" y="0"/>
                            <a:ext cx="4886325" cy="24250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948F6DE" w14:textId="77777777" w:rsidR="00ED0E85" w:rsidRPr="00A97BEC" w:rsidRDefault="00ED0E85" w:rsidP="00ED0E85">
      <w:pPr>
        <w:pStyle w:val="Note"/>
      </w:pPr>
      <w:r w:rsidRPr="00A97BEC">
        <w:rPr>
          <w:i/>
        </w:rPr>
        <w:t xml:space="preserve">Note: </w:t>
      </w:r>
      <w:r w:rsidRPr="00BF052B">
        <w:t>Includes base building and new building ratings.</w:t>
      </w:r>
    </w:p>
    <w:p w14:paraId="3F336B67" w14:textId="77777777" w:rsidR="00ED0E85" w:rsidRDefault="00ED0E85" w:rsidP="00ED0E85">
      <w:pPr>
        <w:pStyle w:val="Source"/>
      </w:pPr>
      <w:r>
        <w:rPr>
          <w:i/>
        </w:rPr>
        <w:t>Data source</w:t>
      </w:r>
      <w:r w:rsidRPr="00A67576">
        <w:rPr>
          <w:i/>
        </w:rPr>
        <w:t>:</w:t>
      </w:r>
      <w:r>
        <w:t xml:space="preserve"> NABERS database.</w:t>
      </w:r>
    </w:p>
    <w:p w14:paraId="32AC3692" w14:textId="31D46DC6" w:rsidR="00ED0E85" w:rsidRDefault="00ED0E85" w:rsidP="00ED0E85">
      <w:pPr>
        <w:pStyle w:val="BodyText"/>
        <w:rPr>
          <w:lang w:eastAsia="en-US"/>
        </w:rPr>
      </w:pPr>
      <w:r>
        <w:rPr>
          <w:lang w:eastAsia="en-US"/>
        </w:rPr>
        <w:t>The impact of the CBD Program can also be seen in the size composition of buildings entering the NABERS system for the first time (chart </w:t>
      </w:r>
      <w:r>
        <w:rPr>
          <w:lang w:eastAsia="en-US"/>
        </w:rPr>
        <w:fldChar w:fldCharType="begin"/>
      </w:r>
      <w:r>
        <w:rPr>
          <w:lang w:eastAsia="en-US"/>
        </w:rPr>
        <w:instrText xml:space="preserve"> REF _Caption8191 </w:instrText>
      </w:r>
      <w:r>
        <w:rPr>
          <w:lang w:eastAsia="en-US"/>
        </w:rPr>
        <w:fldChar w:fldCharType="separate"/>
      </w:r>
      <w:r w:rsidR="00AD3561">
        <w:rPr>
          <w:noProof/>
        </w:rPr>
        <w:t>4</w:t>
      </w:r>
      <w:r w:rsidR="00AD3561" w:rsidRPr="000E4D37">
        <w:rPr>
          <w:noProof/>
        </w:rPr>
        <w:t>.</w:t>
      </w:r>
      <w:r w:rsidR="00AD3561">
        <w:rPr>
          <w:noProof/>
        </w:rPr>
        <w:t>3</w:t>
      </w:r>
      <w:r>
        <w:rPr>
          <w:lang w:eastAsia="en-US"/>
        </w:rPr>
        <w:fldChar w:fldCharType="end"/>
      </w:r>
      <w:r>
        <w:rPr>
          <w:lang w:eastAsia="en-US"/>
        </w:rPr>
        <w:t>).</w:t>
      </w:r>
    </w:p>
    <w:p w14:paraId="13B644F3" w14:textId="77777777" w:rsidR="00ED0E85" w:rsidRDefault="00ED0E85" w:rsidP="00ED0E85">
      <w:pPr>
        <w:pStyle w:val="ListBullet"/>
        <w:rPr>
          <w:lang w:eastAsia="en-US"/>
        </w:rPr>
      </w:pPr>
      <w:r>
        <w:rPr>
          <w:lang w:eastAsia="en-US"/>
        </w:rPr>
        <w:t>Prior to the introduction of the CBD Program, the buildings that were voluntarily rating were mostly larger buildings (particularly those with a net lettable area above 10 000 m</w:t>
      </w:r>
      <w:r w:rsidRPr="00BF052B">
        <w:rPr>
          <w:vertAlign w:val="superscript"/>
          <w:lang w:eastAsia="en-US"/>
        </w:rPr>
        <w:t>2</w:t>
      </w:r>
      <w:r>
        <w:rPr>
          <w:lang w:eastAsia="en-US"/>
        </w:rPr>
        <w:t>).</w:t>
      </w:r>
    </w:p>
    <w:p w14:paraId="527FE3CF" w14:textId="77777777" w:rsidR="00ED0E85" w:rsidRDefault="00ED0E85" w:rsidP="00ED0E85">
      <w:pPr>
        <w:pStyle w:val="ListBullet"/>
        <w:rPr>
          <w:lang w:eastAsia="en-US"/>
        </w:rPr>
      </w:pPr>
      <w:r>
        <w:rPr>
          <w:lang w:eastAsia="en-US"/>
        </w:rPr>
        <w:t>It is not straightforward to identify the impact of the recent changes to the CBD Program as the requirement to obtain a BEEC is triggered by a tenancy, while the NABERS and CBD datasets refer to the NLA of the building. Nevertheless, the change in the threshold has skewed the composition of buildings entering the NABERS system for the first time towards buildings less than 2000 m</w:t>
      </w:r>
      <w:r w:rsidRPr="00BF052B">
        <w:rPr>
          <w:vertAlign w:val="superscript"/>
          <w:lang w:eastAsia="en-US"/>
        </w:rPr>
        <w:t>2</w:t>
      </w:r>
      <w:r>
        <w:rPr>
          <w:lang w:eastAsia="en-US"/>
        </w:rPr>
        <w:t>.</w:t>
      </w:r>
    </w:p>
    <w:p w14:paraId="0F536B9F" w14:textId="30619306" w:rsidR="00ED0E85" w:rsidRPr="000E4D37" w:rsidRDefault="00ED0E85" w:rsidP="00ED0E85">
      <w:pPr>
        <w:pStyle w:val="Caption"/>
      </w:pPr>
      <w:r w:rsidRPr="000E4D37">
        <w:fldChar w:fldCharType="begin"/>
      </w:r>
      <w:r w:rsidRPr="000E4D37">
        <w:instrText xml:space="preserve"> IF 1 = 1 "</w:instrText>
      </w:r>
      <w:r w:rsidRPr="000E4D37">
        <w:fldChar w:fldCharType="begin"/>
      </w:r>
      <w:r w:rsidRPr="000E4D37">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0E4D37">
        <w:instrText xml:space="preserve"> = 0 "</w:instrText>
      </w:r>
      <w:r w:rsidRPr="000E4D37">
        <w:fldChar w:fldCharType="begin"/>
      </w:r>
      <w:r w:rsidRPr="000E4D37">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0E4D37">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0E4D37">
        <w:instrText xml:space="preserve">." </w:instrText>
      </w:r>
      <w:r w:rsidRPr="000E4D37">
        <w:fldChar w:fldCharType="separate"/>
      </w:r>
      <w:r w:rsidR="00AD3561">
        <w:rPr>
          <w:noProof/>
        </w:rPr>
        <w:instrText>4</w:instrText>
      </w:r>
      <w:r w:rsidR="00AD3561" w:rsidRPr="000E4D37">
        <w:rPr>
          <w:noProof/>
        </w:rPr>
        <w:instrText>.</w:instrText>
      </w:r>
      <w:r w:rsidRPr="000E4D37">
        <w:fldChar w:fldCharType="end"/>
      </w:r>
      <w:r w:rsidRPr="000E4D37">
        <w:instrText>" "</w:instrText>
      </w:r>
      <w:r w:rsidR="004550CB">
        <w:rPr>
          <w:noProof/>
        </w:rPr>
        <w:fldChar w:fldCharType="begin"/>
      </w:r>
      <w:r w:rsidR="004550CB">
        <w:rPr>
          <w:noProof/>
        </w:rPr>
        <w:instrText xml:space="preserve"> STYLEREF "Heading 6" \l \n </w:instrText>
      </w:r>
      <w:r w:rsidR="004550CB">
        <w:rPr>
          <w:noProof/>
        </w:rPr>
        <w:fldChar w:fldCharType="separate"/>
      </w:r>
      <w:r w:rsidRPr="000E4D37">
        <w:rPr>
          <w:noProof/>
        </w:rPr>
        <w:instrText>A</w:instrText>
      </w:r>
      <w:r w:rsidR="004550CB">
        <w:rPr>
          <w:noProof/>
        </w:rPr>
        <w:fldChar w:fldCharType="end"/>
      </w:r>
      <w:r w:rsidRPr="000E4D37">
        <w:instrText xml:space="preserve">." </w:instrText>
      </w:r>
      <w:r w:rsidRPr="000E4D37">
        <w:fldChar w:fldCharType="separate"/>
      </w:r>
      <w:r w:rsidR="00C353B5">
        <w:rPr>
          <w:noProof/>
        </w:rPr>
        <w:instrText>4</w:instrText>
      </w:r>
      <w:r w:rsidR="00C353B5" w:rsidRPr="000E4D37">
        <w:rPr>
          <w:noProof/>
        </w:rPr>
        <w:instrText>.</w:instrText>
      </w:r>
      <w:r w:rsidRPr="000E4D37">
        <w:fldChar w:fldCharType="end"/>
      </w:r>
      <w:r w:rsidRPr="000E4D37">
        <w:fldChar w:fldCharType="begin"/>
      </w:r>
      <w:r w:rsidRPr="000E4D37">
        <w:instrText xml:space="preserve"> SEQ Item \* ARABIC \s </w:instrText>
      </w:r>
      <w:r w:rsidRPr="000E4D37">
        <w:fldChar w:fldCharType="begin"/>
      </w:r>
      <w:r w:rsidRPr="000E4D37">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0E4D37">
        <w:instrText xml:space="preserve"> = 0 "</w:instrText>
      </w:r>
      <w:r w:rsidRPr="000E4D37">
        <w:fldChar w:fldCharType="begin"/>
      </w:r>
      <w:r w:rsidRPr="000E4D37">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0E4D37">
        <w:instrText xml:space="preserve"> = 0 "" "1" </w:instrText>
      </w:r>
      <w:r w:rsidRPr="000E4D37">
        <w:fldChar w:fldCharType="separate"/>
      </w:r>
      <w:r w:rsidR="00C353B5" w:rsidRPr="000E4D37">
        <w:rPr>
          <w:noProof/>
        </w:rPr>
        <w:instrText>1</w:instrText>
      </w:r>
      <w:r w:rsidRPr="000E4D37">
        <w:fldChar w:fldCharType="end"/>
      </w:r>
      <w:r w:rsidRPr="000E4D37">
        <w:instrText xml:space="preserve">" "6" </w:instrText>
      </w:r>
      <w:r w:rsidRPr="000E4D37">
        <w:fldChar w:fldCharType="separate"/>
      </w:r>
      <w:r w:rsidR="00C353B5" w:rsidRPr="000E4D37">
        <w:rPr>
          <w:noProof/>
        </w:rPr>
        <w:instrText>1</w:instrText>
      </w:r>
      <w:r w:rsidRPr="000E4D37">
        <w:fldChar w:fldCharType="end"/>
      </w:r>
      <w:r w:rsidRPr="000E4D37">
        <w:instrText xml:space="preserve"> </w:instrText>
      </w:r>
      <w:r w:rsidRPr="000E4D37">
        <w:fldChar w:fldCharType="separate"/>
      </w:r>
      <w:r w:rsidR="00AD3561">
        <w:rPr>
          <w:noProof/>
        </w:rPr>
        <w:instrText>3</w:instrText>
      </w:r>
      <w:r w:rsidRPr="000E4D37">
        <w:fldChar w:fldCharType="end"/>
      </w:r>
      <w:r w:rsidRPr="000E4D37">
        <w:instrText xml:space="preserve">" "" </w:instrText>
      </w:r>
      <w:r w:rsidRPr="000E4D37">
        <w:fldChar w:fldCharType="separate"/>
      </w:r>
      <w:bookmarkStart w:id="1374" w:name="_Caption5103"/>
      <w:bookmarkStart w:id="1375" w:name="_Caption3278"/>
      <w:bookmarkStart w:id="1376" w:name="_Caption6468"/>
      <w:bookmarkStart w:id="1377" w:name="_Caption4517"/>
      <w:bookmarkStart w:id="1378" w:name="_Caption9991"/>
      <w:bookmarkStart w:id="1379" w:name="_Caption4109"/>
      <w:bookmarkStart w:id="1380" w:name="_Caption4511"/>
      <w:bookmarkStart w:id="1381" w:name="_Caption2886"/>
      <w:bookmarkStart w:id="1382" w:name="_Caption1025"/>
      <w:bookmarkStart w:id="1383" w:name="_Caption9567"/>
      <w:bookmarkStart w:id="1384" w:name="_Caption2023"/>
      <w:bookmarkStart w:id="1385" w:name="_Caption7130"/>
      <w:bookmarkStart w:id="1386" w:name="_Caption0914"/>
      <w:bookmarkStart w:id="1387" w:name="_Caption9176"/>
      <w:bookmarkStart w:id="1388" w:name="_Caption0152"/>
      <w:bookmarkStart w:id="1389" w:name="_Caption9738"/>
      <w:bookmarkStart w:id="1390" w:name="_Caption2711"/>
      <w:bookmarkStart w:id="1391" w:name="_Caption9784"/>
      <w:bookmarkStart w:id="1392" w:name="_Caption7267"/>
      <w:bookmarkStart w:id="1393" w:name="_Caption1687"/>
      <w:bookmarkStart w:id="1394" w:name="_Caption5263"/>
      <w:bookmarkStart w:id="1395" w:name="_Caption9285"/>
      <w:bookmarkStart w:id="1396" w:name="_Caption9947"/>
      <w:bookmarkStart w:id="1397" w:name="_Caption2629"/>
      <w:bookmarkStart w:id="1398" w:name="_Caption4812"/>
      <w:bookmarkStart w:id="1399" w:name="_Caption7237"/>
      <w:bookmarkStart w:id="1400" w:name="_Caption2407"/>
      <w:bookmarkStart w:id="1401" w:name="_Caption7844"/>
      <w:bookmarkStart w:id="1402" w:name="_Caption8191"/>
      <w:bookmarkStart w:id="1403" w:name="_Caption1630"/>
      <w:bookmarkStart w:id="1404" w:name="_Caption2541"/>
      <w:bookmarkStart w:id="1405" w:name="_Caption9053"/>
      <w:bookmarkStart w:id="1406" w:name="_Caption6019"/>
      <w:bookmarkStart w:id="1407" w:name="_Caption0094"/>
      <w:bookmarkStart w:id="1408" w:name="_Caption9950"/>
      <w:bookmarkStart w:id="1409" w:name="_Caption5452"/>
      <w:bookmarkStart w:id="1410" w:name="_Caption1010"/>
      <w:bookmarkStart w:id="1411" w:name="_Caption2706"/>
      <w:bookmarkStart w:id="1412" w:name="_Caption9603"/>
      <w:bookmarkStart w:id="1413" w:name="_Caption0119"/>
      <w:bookmarkStart w:id="1414" w:name="_Caption2125"/>
      <w:bookmarkStart w:id="1415" w:name="_Caption3821"/>
      <w:bookmarkStart w:id="1416" w:name="_Caption1402"/>
      <w:bookmarkStart w:id="1417" w:name="_Caption9211"/>
      <w:bookmarkStart w:id="1418" w:name="_Caption7336"/>
      <w:bookmarkStart w:id="1419" w:name="_Caption3853"/>
      <w:bookmarkStart w:id="1420" w:name="_Caption8762"/>
      <w:bookmarkStart w:id="1421" w:name="_Caption4888"/>
      <w:bookmarkStart w:id="1422" w:name="_Caption7674"/>
      <w:bookmarkStart w:id="1423" w:name="_Caption2824"/>
      <w:bookmarkStart w:id="1424" w:name="_Caption1415"/>
      <w:bookmarkStart w:id="1425" w:name="_Caption5369"/>
      <w:bookmarkStart w:id="1426" w:name="_Caption9123"/>
      <w:bookmarkStart w:id="1427" w:name="_Caption2865"/>
      <w:bookmarkStart w:id="1428" w:name="_Toc19275572"/>
      <w:bookmarkStart w:id="1429" w:name="_Toc19276182"/>
      <w:bookmarkStart w:id="1430" w:name="_Toc19280181"/>
      <w:r w:rsidR="00C353B5">
        <w:rPr>
          <w:noProof/>
        </w:rPr>
        <w:t>4</w:t>
      </w:r>
      <w:r w:rsidR="00C353B5" w:rsidRPr="000E4D37">
        <w:rPr>
          <w:noProof/>
        </w:rPr>
        <w:t>.</w:t>
      </w:r>
      <w:r w:rsidR="00C353B5">
        <w:rPr>
          <w:noProof/>
        </w:rPr>
        <w:t>3</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r w:rsidRPr="000E4D37">
        <w:fldChar w:fldCharType="end"/>
      </w:r>
      <w:r w:rsidRPr="000E4D37">
        <w:tab/>
        <w:t>Composition of new NABERS Office Energy ratings by net lettable area</w:t>
      </w:r>
      <w:bookmarkEnd w:id="1428"/>
      <w:bookmarkEnd w:id="1429"/>
      <w:bookmarkEnd w:id="1430"/>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57759D3C" w14:textId="77777777" w:rsidTr="00ED0E85">
        <w:trPr>
          <w:cantSplit/>
        </w:trPr>
        <w:tc>
          <w:tcPr>
            <w:tcW w:w="7938" w:type="dxa"/>
            <w:shd w:val="clear" w:color="auto" w:fill="E9E8E5" w:themeFill="background2"/>
          </w:tcPr>
          <w:p w14:paraId="0E546A10" w14:textId="77777777" w:rsidR="00ED0E85" w:rsidRDefault="00ED0E85" w:rsidP="00ED0E85">
            <w:pPr>
              <w:pStyle w:val="Chart"/>
            </w:pPr>
            <w:r w:rsidRPr="000020A4">
              <w:rPr>
                <w:noProof/>
                <w:lang w:eastAsia="en-AU"/>
              </w:rPr>
              <w:drawing>
                <wp:inline distT="0" distB="0" distL="0" distR="0" wp14:anchorId="7D1ECDAF" wp14:editId="21C5B1CE">
                  <wp:extent cx="5040630" cy="2431415"/>
                  <wp:effectExtent l="0" t="0" r="762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0630" cy="2431415"/>
                          </a:xfrm>
                          <a:prstGeom prst="rect">
                            <a:avLst/>
                          </a:prstGeom>
                          <a:noFill/>
                          <a:ln>
                            <a:noFill/>
                          </a:ln>
                        </pic:spPr>
                      </pic:pic>
                    </a:graphicData>
                  </a:graphic>
                </wp:inline>
              </w:drawing>
            </w:r>
          </w:p>
        </w:tc>
      </w:tr>
    </w:tbl>
    <w:p w14:paraId="561DF431" w14:textId="77777777" w:rsidR="00ED0E85" w:rsidRPr="00A97BEC" w:rsidRDefault="00ED0E85" w:rsidP="00ED0E85">
      <w:pPr>
        <w:pStyle w:val="Note"/>
      </w:pPr>
      <w:r w:rsidRPr="00A97BEC">
        <w:rPr>
          <w:i/>
        </w:rPr>
        <w:t xml:space="preserve">Note: </w:t>
      </w:r>
      <w:r w:rsidRPr="00BF052B">
        <w:t>Includes base building and whole building ratings</w:t>
      </w:r>
      <w:r>
        <w:rPr>
          <w:i/>
        </w:rPr>
        <w:t>.</w:t>
      </w:r>
    </w:p>
    <w:p w14:paraId="562DDD22" w14:textId="77777777" w:rsidR="00ED0E85" w:rsidRDefault="00ED0E85" w:rsidP="00ED0E85">
      <w:pPr>
        <w:pStyle w:val="Source"/>
      </w:pPr>
      <w:r>
        <w:rPr>
          <w:i/>
        </w:rPr>
        <w:t>Data source</w:t>
      </w:r>
      <w:r w:rsidRPr="00A67576">
        <w:rPr>
          <w:i/>
        </w:rPr>
        <w:t>:</w:t>
      </w:r>
      <w:r>
        <w:t xml:space="preserve"> NABERS database.</w:t>
      </w:r>
    </w:p>
    <w:p w14:paraId="38893951" w14:textId="0D256C65" w:rsidR="00ED0E85" w:rsidRDefault="00ED0E85" w:rsidP="00ED0E85">
      <w:pPr>
        <w:pStyle w:val="BodyText"/>
        <w:rPr>
          <w:lang w:eastAsia="en-US"/>
        </w:rPr>
      </w:pPr>
      <w:r>
        <w:rPr>
          <w:lang w:eastAsia="en-US"/>
        </w:rPr>
        <w:t>Focusing more closely on the impact of the recent change, the increase in the number of new NABERS ratings is mostly due to more small buildings (i.e. NLA less than 2000 m</w:t>
      </w:r>
      <w:r w:rsidRPr="009253DC">
        <w:rPr>
          <w:vertAlign w:val="superscript"/>
          <w:lang w:eastAsia="en-US"/>
        </w:rPr>
        <w:t>2</w:t>
      </w:r>
      <w:r>
        <w:rPr>
          <w:lang w:eastAsia="en-US"/>
        </w:rPr>
        <w:t>) entering the NABERS system (chart </w:t>
      </w:r>
      <w:r>
        <w:rPr>
          <w:lang w:eastAsia="en-US"/>
        </w:rPr>
        <w:fldChar w:fldCharType="begin"/>
      </w:r>
      <w:r>
        <w:rPr>
          <w:lang w:eastAsia="en-US"/>
        </w:rPr>
        <w:instrText xml:space="preserve"> REF _Caption3111 </w:instrText>
      </w:r>
      <w:r>
        <w:rPr>
          <w:lang w:eastAsia="en-US"/>
        </w:rPr>
        <w:fldChar w:fldCharType="separate"/>
      </w:r>
      <w:r w:rsidR="00AD3561">
        <w:rPr>
          <w:noProof/>
        </w:rPr>
        <w:t>4.7</w:t>
      </w:r>
      <w:r>
        <w:rPr>
          <w:lang w:eastAsia="en-US"/>
        </w:rPr>
        <w:fldChar w:fldCharType="end"/>
      </w:r>
      <w:r>
        <w:rPr>
          <w:lang w:eastAsia="en-US"/>
        </w:rPr>
        <w:t>).</w:t>
      </w:r>
    </w:p>
    <w:p w14:paraId="0368BBB6" w14:textId="04E6237E" w:rsidR="00ED0E85" w:rsidRPr="000E4D37" w:rsidRDefault="00ED0E85" w:rsidP="00ED0E85">
      <w:pPr>
        <w:pStyle w:val="Caption"/>
      </w:pPr>
      <w:r w:rsidRPr="000E4D37">
        <w:fldChar w:fldCharType="begin"/>
      </w:r>
      <w:r w:rsidRPr="000E4D37">
        <w:instrText xml:space="preserve"> IF 1 = 1 "</w:instrText>
      </w:r>
      <w:r w:rsidRPr="000E4D37">
        <w:fldChar w:fldCharType="begin"/>
      </w:r>
      <w:r w:rsidRPr="000E4D37">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0E4D37">
        <w:instrText xml:space="preserve"> = 0 "</w:instrText>
      </w:r>
      <w:r w:rsidRPr="000E4D37">
        <w:fldChar w:fldCharType="begin"/>
      </w:r>
      <w:r w:rsidRPr="000E4D37">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0E4D37">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0E4D37">
        <w:instrText xml:space="preserve">." </w:instrText>
      </w:r>
      <w:r w:rsidRPr="000E4D37">
        <w:fldChar w:fldCharType="separate"/>
      </w:r>
      <w:r w:rsidR="00AD3561">
        <w:rPr>
          <w:noProof/>
        </w:rPr>
        <w:instrText>4</w:instrText>
      </w:r>
      <w:r w:rsidR="00AD3561" w:rsidRPr="000E4D37">
        <w:rPr>
          <w:noProof/>
        </w:rPr>
        <w:instrText>.</w:instrText>
      </w:r>
      <w:r w:rsidRPr="000E4D37">
        <w:fldChar w:fldCharType="end"/>
      </w:r>
      <w:r w:rsidRPr="000E4D37">
        <w:instrText>" "</w:instrText>
      </w:r>
      <w:r w:rsidR="004550CB">
        <w:rPr>
          <w:noProof/>
        </w:rPr>
        <w:fldChar w:fldCharType="begin"/>
      </w:r>
      <w:r w:rsidR="004550CB">
        <w:rPr>
          <w:noProof/>
        </w:rPr>
        <w:instrText xml:space="preserve"> STYLEREF "Heading 6" \l \n </w:instrText>
      </w:r>
      <w:r w:rsidR="004550CB">
        <w:rPr>
          <w:noProof/>
        </w:rPr>
        <w:fldChar w:fldCharType="separate"/>
      </w:r>
      <w:r w:rsidRPr="000E4D37">
        <w:rPr>
          <w:noProof/>
        </w:rPr>
        <w:instrText>A</w:instrText>
      </w:r>
      <w:r w:rsidR="004550CB">
        <w:rPr>
          <w:noProof/>
        </w:rPr>
        <w:fldChar w:fldCharType="end"/>
      </w:r>
      <w:r w:rsidRPr="000E4D37">
        <w:instrText xml:space="preserve">." </w:instrText>
      </w:r>
      <w:r w:rsidRPr="000E4D37">
        <w:fldChar w:fldCharType="separate"/>
      </w:r>
      <w:r w:rsidR="00C353B5">
        <w:rPr>
          <w:noProof/>
        </w:rPr>
        <w:instrText>4</w:instrText>
      </w:r>
      <w:r w:rsidR="00C353B5" w:rsidRPr="000E4D37">
        <w:rPr>
          <w:noProof/>
        </w:rPr>
        <w:instrText>.</w:instrText>
      </w:r>
      <w:r w:rsidRPr="000E4D37">
        <w:fldChar w:fldCharType="end"/>
      </w:r>
      <w:r w:rsidRPr="000E4D37">
        <w:fldChar w:fldCharType="begin"/>
      </w:r>
      <w:r w:rsidRPr="000E4D37">
        <w:instrText xml:space="preserve"> SEQ Item \* ARABIC \s </w:instrText>
      </w:r>
      <w:r w:rsidRPr="000E4D37">
        <w:fldChar w:fldCharType="begin"/>
      </w:r>
      <w:r w:rsidRPr="000E4D37">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0E4D37">
        <w:instrText xml:space="preserve"> = 0 "</w:instrText>
      </w:r>
      <w:r w:rsidRPr="000E4D37">
        <w:fldChar w:fldCharType="begin"/>
      </w:r>
      <w:r w:rsidRPr="000E4D37">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0E4D37">
        <w:instrText xml:space="preserve"> = 0 "" "1" </w:instrText>
      </w:r>
      <w:r w:rsidRPr="000E4D37">
        <w:fldChar w:fldCharType="separate"/>
      </w:r>
      <w:r w:rsidR="00C353B5" w:rsidRPr="000E4D37">
        <w:rPr>
          <w:noProof/>
        </w:rPr>
        <w:instrText>1</w:instrText>
      </w:r>
      <w:r w:rsidRPr="000E4D37">
        <w:fldChar w:fldCharType="end"/>
      </w:r>
      <w:r w:rsidRPr="000E4D37">
        <w:instrText xml:space="preserve">" "6" </w:instrText>
      </w:r>
      <w:r w:rsidRPr="000E4D37">
        <w:fldChar w:fldCharType="separate"/>
      </w:r>
      <w:r w:rsidR="00C353B5" w:rsidRPr="000E4D37">
        <w:rPr>
          <w:noProof/>
        </w:rPr>
        <w:instrText>1</w:instrText>
      </w:r>
      <w:r w:rsidRPr="000E4D37">
        <w:fldChar w:fldCharType="end"/>
      </w:r>
      <w:r w:rsidRPr="000E4D37">
        <w:instrText xml:space="preserve"> </w:instrText>
      </w:r>
      <w:r w:rsidRPr="000E4D37">
        <w:fldChar w:fldCharType="separate"/>
      </w:r>
      <w:r w:rsidR="00AD3561">
        <w:rPr>
          <w:noProof/>
        </w:rPr>
        <w:instrText>4</w:instrText>
      </w:r>
      <w:r w:rsidRPr="000E4D37">
        <w:fldChar w:fldCharType="end"/>
      </w:r>
      <w:r w:rsidRPr="000E4D37">
        <w:instrText xml:space="preserve">" "" </w:instrText>
      </w:r>
      <w:r w:rsidRPr="000E4D37">
        <w:fldChar w:fldCharType="separate"/>
      </w:r>
      <w:bookmarkStart w:id="1431" w:name="_Caption1792"/>
      <w:bookmarkStart w:id="1432" w:name="_Caption7915"/>
      <w:bookmarkStart w:id="1433" w:name="_Caption4399"/>
      <w:bookmarkStart w:id="1434" w:name="_Caption3073"/>
      <w:bookmarkStart w:id="1435" w:name="_Caption2569"/>
      <w:bookmarkStart w:id="1436" w:name="_Caption1520"/>
      <w:bookmarkStart w:id="1437" w:name="_Caption4190"/>
      <w:bookmarkStart w:id="1438" w:name="_Caption1737"/>
      <w:bookmarkStart w:id="1439" w:name="_Caption3442"/>
      <w:bookmarkStart w:id="1440" w:name="_Caption0061"/>
      <w:bookmarkStart w:id="1441" w:name="_Caption1209"/>
      <w:bookmarkStart w:id="1442" w:name="_Caption2044"/>
      <w:bookmarkStart w:id="1443" w:name="_Caption1021"/>
      <w:bookmarkStart w:id="1444" w:name="_Caption8001"/>
      <w:bookmarkStart w:id="1445" w:name="_Caption9083"/>
      <w:bookmarkStart w:id="1446" w:name="_Caption0232"/>
      <w:bookmarkStart w:id="1447" w:name="_Caption3326"/>
      <w:bookmarkStart w:id="1448" w:name="_Caption7327"/>
      <w:bookmarkStart w:id="1449" w:name="_Caption7308"/>
      <w:bookmarkStart w:id="1450" w:name="_Caption1539"/>
      <w:bookmarkStart w:id="1451" w:name="_Caption7679"/>
      <w:bookmarkStart w:id="1452" w:name="_Caption6161"/>
      <w:bookmarkStart w:id="1453" w:name="_Caption6293"/>
      <w:bookmarkStart w:id="1454" w:name="_Caption2601"/>
      <w:bookmarkStart w:id="1455" w:name="_Caption7483"/>
      <w:bookmarkStart w:id="1456" w:name="_Caption7618"/>
      <w:bookmarkStart w:id="1457" w:name="_Caption3369"/>
      <w:bookmarkStart w:id="1458" w:name="_Caption8632"/>
      <w:bookmarkStart w:id="1459" w:name="_Caption5815"/>
      <w:bookmarkStart w:id="1460" w:name="_Caption6289"/>
      <w:bookmarkStart w:id="1461" w:name="_Caption1981"/>
      <w:bookmarkStart w:id="1462" w:name="_Caption7277"/>
      <w:bookmarkStart w:id="1463" w:name="_Caption9109"/>
      <w:bookmarkStart w:id="1464" w:name="_Caption4393"/>
      <w:bookmarkStart w:id="1465" w:name="_Caption2300"/>
      <w:bookmarkStart w:id="1466" w:name="_Caption6601"/>
      <w:bookmarkStart w:id="1467" w:name="_Caption4027"/>
      <w:bookmarkStart w:id="1468" w:name="_Caption7512"/>
      <w:bookmarkStart w:id="1469" w:name="_Caption1699"/>
      <w:bookmarkStart w:id="1470" w:name="_Caption8517"/>
      <w:bookmarkStart w:id="1471" w:name="_Caption5168"/>
      <w:bookmarkStart w:id="1472" w:name="_Caption6416"/>
      <w:bookmarkStart w:id="1473" w:name="_Caption7557"/>
      <w:bookmarkStart w:id="1474" w:name="_Caption9318"/>
      <w:bookmarkStart w:id="1475" w:name="_Caption3130"/>
      <w:bookmarkStart w:id="1476" w:name="_Caption4988"/>
      <w:bookmarkStart w:id="1477" w:name="_Caption6625"/>
      <w:bookmarkStart w:id="1478" w:name="_Caption3886"/>
      <w:bookmarkStart w:id="1479" w:name="_Caption4775"/>
      <w:bookmarkStart w:id="1480" w:name="_Caption2290"/>
      <w:bookmarkStart w:id="1481" w:name="_Caption2336"/>
      <w:bookmarkStart w:id="1482" w:name="_Caption7892"/>
      <w:bookmarkStart w:id="1483" w:name="_Caption3461"/>
      <w:bookmarkStart w:id="1484" w:name="_Caption5535"/>
      <w:bookmarkStart w:id="1485" w:name="_Toc19275573"/>
      <w:bookmarkStart w:id="1486" w:name="_Toc19276183"/>
      <w:bookmarkStart w:id="1487" w:name="_Toc19280182"/>
      <w:r w:rsidR="00C353B5">
        <w:rPr>
          <w:noProof/>
        </w:rPr>
        <w:t>4</w:t>
      </w:r>
      <w:r w:rsidR="00C353B5" w:rsidRPr="000E4D37">
        <w:rPr>
          <w:noProof/>
        </w:rPr>
        <w:t>.</w:t>
      </w:r>
      <w:r w:rsidR="00C353B5">
        <w:rPr>
          <w:noProof/>
        </w:rPr>
        <w:t>4</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r w:rsidRPr="000E4D37">
        <w:fldChar w:fldCharType="end"/>
      </w:r>
      <w:r w:rsidRPr="000E4D37">
        <w:tab/>
        <w:t>Number of new NABERS ratings</w:t>
      </w:r>
      <w:bookmarkEnd w:id="1485"/>
      <w:bookmarkEnd w:id="1486"/>
      <w:bookmarkEnd w:id="1487"/>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6A08D67C" w14:textId="77777777" w:rsidTr="00ED0E85">
        <w:trPr>
          <w:cantSplit/>
        </w:trPr>
        <w:tc>
          <w:tcPr>
            <w:tcW w:w="7938" w:type="dxa"/>
            <w:shd w:val="clear" w:color="auto" w:fill="E9E8E5" w:themeFill="background2"/>
          </w:tcPr>
          <w:p w14:paraId="63F5DC14" w14:textId="77777777" w:rsidR="00ED0E85" w:rsidRDefault="00ED0E85" w:rsidP="00ED0E85">
            <w:pPr>
              <w:pStyle w:val="Chart"/>
            </w:pPr>
            <w:r w:rsidRPr="000020A4">
              <w:rPr>
                <w:noProof/>
                <w:lang w:eastAsia="en-AU"/>
              </w:rPr>
              <w:drawing>
                <wp:inline distT="0" distB="0" distL="0" distR="0" wp14:anchorId="3842EFCC" wp14:editId="7AF63548">
                  <wp:extent cx="5040630" cy="2431415"/>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0630" cy="2431415"/>
                          </a:xfrm>
                          <a:prstGeom prst="rect">
                            <a:avLst/>
                          </a:prstGeom>
                          <a:noFill/>
                          <a:ln>
                            <a:noFill/>
                          </a:ln>
                        </pic:spPr>
                      </pic:pic>
                    </a:graphicData>
                  </a:graphic>
                </wp:inline>
              </w:drawing>
            </w:r>
          </w:p>
        </w:tc>
      </w:tr>
    </w:tbl>
    <w:p w14:paraId="70195079" w14:textId="77777777" w:rsidR="00ED0E85" w:rsidRDefault="00ED0E85" w:rsidP="00ED0E85">
      <w:pPr>
        <w:pStyle w:val="Source"/>
      </w:pPr>
      <w:r>
        <w:rPr>
          <w:i/>
        </w:rPr>
        <w:t>Data source</w:t>
      </w:r>
      <w:r w:rsidRPr="00A67576">
        <w:rPr>
          <w:i/>
        </w:rPr>
        <w:t>:</w:t>
      </w:r>
      <w:r>
        <w:t xml:space="preserve"> NABERS dataset.</w:t>
      </w:r>
    </w:p>
    <w:p w14:paraId="163134B6" w14:textId="77777777" w:rsidR="00ED0E85" w:rsidRDefault="00ED0E85" w:rsidP="00ED0E85">
      <w:pPr>
        <w:pStyle w:val="Heading2"/>
        <w:numPr>
          <w:ilvl w:val="1"/>
          <w:numId w:val="5"/>
        </w:numPr>
      </w:pPr>
      <w:bookmarkStart w:id="1488" w:name="_Toc19275504"/>
      <w:bookmarkStart w:id="1489" w:name="_Toc19276114"/>
      <w:bookmarkStart w:id="1490" w:name="_Toc19280113"/>
      <w:r>
        <w:t>Impact on energy performance</w:t>
      </w:r>
      <w:bookmarkEnd w:id="1488"/>
      <w:bookmarkEnd w:id="1489"/>
      <w:bookmarkEnd w:id="1490"/>
    </w:p>
    <w:p w14:paraId="78BFDC3E" w14:textId="77777777" w:rsidR="00ED0E85" w:rsidRDefault="00ED0E85" w:rsidP="00ED0E85">
      <w:pPr>
        <w:pStyle w:val="BodyText"/>
        <w:rPr>
          <w:lang w:bidi="fa-IR"/>
        </w:rPr>
      </w:pPr>
      <w:r>
        <w:rPr>
          <w:lang w:bidi="fa-IR"/>
        </w:rPr>
        <w:t>The CBD Program makes public its data on the ratings and energy use achieved by buildings each time they obtain a Building Energy Efficiency Certificate (BEEC). This data shows substantial improvements in building performance over time.</w:t>
      </w:r>
    </w:p>
    <w:p w14:paraId="73712437" w14:textId="58487900" w:rsidR="00ED0E85" w:rsidRDefault="00ED0E85" w:rsidP="00ED0E85">
      <w:pPr>
        <w:pStyle w:val="ListBullet"/>
        <w:rPr>
          <w:lang w:bidi="fa-IR"/>
        </w:rPr>
      </w:pPr>
      <w:r>
        <w:rPr>
          <w:lang w:bidi="fa-IR"/>
        </w:rPr>
        <w:t>Since 2011, the share of buildings covered by the program achieving higher ratings has increased substantially (chart </w:t>
      </w:r>
      <w:r>
        <w:rPr>
          <w:lang w:bidi="fa-IR"/>
        </w:rPr>
        <w:fldChar w:fldCharType="begin"/>
      </w:r>
      <w:r>
        <w:rPr>
          <w:lang w:bidi="fa-IR"/>
        </w:rPr>
        <w:instrText xml:space="preserve"> REF _Caption9760 </w:instrText>
      </w:r>
      <w:r>
        <w:rPr>
          <w:lang w:bidi="fa-IR"/>
        </w:rPr>
        <w:fldChar w:fldCharType="separate"/>
      </w:r>
      <w:r w:rsidR="00AD3561">
        <w:rPr>
          <w:noProof/>
        </w:rPr>
        <w:t>4.5</w:t>
      </w:r>
      <w:r>
        <w:rPr>
          <w:lang w:bidi="fa-IR"/>
        </w:rPr>
        <w:fldChar w:fldCharType="end"/>
      </w:r>
      <w:r>
        <w:rPr>
          <w:lang w:bidi="fa-IR"/>
        </w:rPr>
        <w:t>).</w:t>
      </w:r>
    </w:p>
    <w:p w14:paraId="56874F2F" w14:textId="7B62A733" w:rsidR="00ED0E85" w:rsidRDefault="00ED0E85" w:rsidP="00ED0E85">
      <w:pPr>
        <w:pStyle w:val="ListBullet"/>
        <w:rPr>
          <w:lang w:bidi="fa-IR"/>
        </w:rPr>
      </w:pPr>
      <w:r>
        <w:rPr>
          <w:lang w:bidi="fa-IR"/>
        </w:rPr>
        <w:t>The average star rating achieved across BEECs has increased by almost one star from 2011 to 2018, and energy use per m</w:t>
      </w:r>
      <w:r w:rsidRPr="009253DC">
        <w:rPr>
          <w:vertAlign w:val="superscript"/>
          <w:lang w:bidi="fa-IR"/>
        </w:rPr>
        <w:t>2</w:t>
      </w:r>
      <w:r>
        <w:rPr>
          <w:lang w:bidi="fa-IR"/>
        </w:rPr>
        <w:t xml:space="preserve"> of floor space has fallen substantially (chart </w:t>
      </w:r>
      <w:r>
        <w:rPr>
          <w:lang w:bidi="fa-IR"/>
        </w:rPr>
        <w:fldChar w:fldCharType="begin"/>
      </w:r>
      <w:r>
        <w:rPr>
          <w:lang w:bidi="fa-IR"/>
        </w:rPr>
        <w:instrText xml:space="preserve"> REF _Caption7092 </w:instrText>
      </w:r>
      <w:r>
        <w:rPr>
          <w:lang w:bidi="fa-IR"/>
        </w:rPr>
        <w:fldChar w:fldCharType="separate"/>
      </w:r>
      <w:r w:rsidR="00AD3561">
        <w:rPr>
          <w:noProof/>
        </w:rPr>
        <w:t>4.6</w:t>
      </w:r>
      <w:r>
        <w:rPr>
          <w:lang w:bidi="fa-IR"/>
        </w:rPr>
        <w:fldChar w:fldCharType="end"/>
      </w:r>
      <w:r>
        <w:rPr>
          <w:lang w:bidi="fa-IR"/>
        </w:rPr>
        <w:t>).</w:t>
      </w:r>
    </w:p>
    <w:p w14:paraId="1FF5ABFF" w14:textId="77777777" w:rsidR="00ED0E85" w:rsidRDefault="00ED0E85" w:rsidP="00ED0E85">
      <w:pPr>
        <w:pStyle w:val="BodyText"/>
        <w:rPr>
          <w:lang w:bidi="fa-IR"/>
        </w:rPr>
      </w:pPr>
      <w:r>
        <w:rPr>
          <w:lang w:bidi="fa-IR"/>
        </w:rPr>
        <w:t>The changes in building energy use and star ratings will not be solely attributable to the CBD Program. Other factors such as changing electricity prices, Government requirements for higher star buildings, higher employment to workspace ratios, corporate sustainability objectives and other government programs will also have changed the energy efficiency of buildings.</w:t>
      </w:r>
    </w:p>
    <w:p w14:paraId="2ED41B06" w14:textId="4947A986" w:rsidR="00ED0E85" w:rsidRDefault="00ED0E85" w:rsidP="00ED0E85">
      <w:pPr>
        <w:pStyle w:val="Caption"/>
      </w:pPr>
      <w:r>
        <w:fldChar w:fldCharType="begin"/>
      </w:r>
      <w:r>
        <w:instrText xml:space="preserve"> IF 1 = 1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4</w:instrText>
      </w:r>
      <w:r>
        <w:rPr>
          <w:noProof/>
        </w:rPr>
        <w:fldChar w:fldCharType="end"/>
      </w:r>
      <w:r>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4</w:instrText>
      </w:r>
      <w:r>
        <w:rPr>
          <w:noProof/>
        </w:rPr>
        <w:fldChar w:fldCharType="end"/>
      </w:r>
      <w:r>
        <w:instrText xml:space="preserve">." </w:instrText>
      </w:r>
      <w:r>
        <w:fldChar w:fldCharType="separate"/>
      </w:r>
      <w:r w:rsidR="00AD3561">
        <w:rPr>
          <w:noProof/>
        </w:rPr>
        <w:instrText>4.</w:instrText>
      </w:r>
      <w:r>
        <w:fldChar w:fldCharType="end"/>
      </w:r>
      <w:r>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instrText xml:space="preserve">." </w:instrText>
      </w:r>
      <w:r>
        <w:fldChar w:fldCharType="separate"/>
      </w:r>
      <w:r w:rsidR="00C353B5">
        <w:rPr>
          <w:noProof/>
        </w:rPr>
        <w:instrText>4.</w:instrText>
      </w:r>
      <w:r>
        <w:fldChar w:fldCharType="end"/>
      </w:r>
      <w:r>
        <w:fldChar w:fldCharType="begin"/>
      </w:r>
      <w:r>
        <w:instrText xml:space="preserve"> SEQ Item \* ARABIC \s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4</w:instrText>
      </w:r>
      <w:r>
        <w:rPr>
          <w:noProof/>
        </w:rPr>
        <w:fldChar w:fldCharType="end"/>
      </w:r>
      <w:r>
        <w:instrText xml:space="preserve"> = 0 "" "1" </w:instrText>
      </w:r>
      <w:r>
        <w:fldChar w:fldCharType="separate"/>
      </w:r>
      <w:r w:rsidR="00C353B5">
        <w:rPr>
          <w:noProof/>
        </w:rPr>
        <w:instrText>1</w:instrText>
      </w:r>
      <w:r>
        <w:fldChar w:fldCharType="end"/>
      </w:r>
      <w:r>
        <w:instrText xml:space="preserve">" "6" </w:instrText>
      </w:r>
      <w:r>
        <w:fldChar w:fldCharType="separate"/>
      </w:r>
      <w:r w:rsidR="00C353B5">
        <w:rPr>
          <w:noProof/>
        </w:rPr>
        <w:instrText>1</w:instrText>
      </w:r>
      <w:r>
        <w:fldChar w:fldCharType="end"/>
      </w:r>
      <w:r>
        <w:instrText xml:space="preserve"> </w:instrText>
      </w:r>
      <w:r>
        <w:fldChar w:fldCharType="separate"/>
      </w:r>
      <w:r w:rsidR="00AD3561">
        <w:rPr>
          <w:noProof/>
        </w:rPr>
        <w:instrText>5</w:instrText>
      </w:r>
      <w:r>
        <w:fldChar w:fldCharType="end"/>
      </w:r>
      <w:r>
        <w:instrText xml:space="preserve">" "" </w:instrText>
      </w:r>
      <w:r>
        <w:fldChar w:fldCharType="separate"/>
      </w:r>
      <w:bookmarkStart w:id="1491" w:name="_Caption4996"/>
      <w:bookmarkStart w:id="1492" w:name="_Caption4869"/>
      <w:bookmarkStart w:id="1493" w:name="_Caption4701"/>
      <w:bookmarkStart w:id="1494" w:name="_Caption7386"/>
      <w:bookmarkStart w:id="1495" w:name="_Caption6628"/>
      <w:bookmarkStart w:id="1496" w:name="_Caption3015"/>
      <w:bookmarkStart w:id="1497" w:name="_Caption0920"/>
      <w:bookmarkStart w:id="1498" w:name="_Caption2676"/>
      <w:bookmarkStart w:id="1499" w:name="_Caption8849"/>
      <w:bookmarkStart w:id="1500" w:name="_Caption9221"/>
      <w:bookmarkStart w:id="1501" w:name="_Caption0998"/>
      <w:bookmarkStart w:id="1502" w:name="_Caption1576"/>
      <w:bookmarkStart w:id="1503" w:name="_Caption3356"/>
      <w:bookmarkStart w:id="1504" w:name="_Caption1526"/>
      <w:bookmarkStart w:id="1505" w:name="_Caption3890"/>
      <w:bookmarkStart w:id="1506" w:name="_Caption3462"/>
      <w:bookmarkStart w:id="1507" w:name="_Caption6169"/>
      <w:bookmarkStart w:id="1508" w:name="_Caption9931"/>
      <w:bookmarkStart w:id="1509" w:name="_Caption3142"/>
      <w:bookmarkStart w:id="1510" w:name="_Caption5344"/>
      <w:bookmarkStart w:id="1511" w:name="_Caption2873"/>
      <w:bookmarkStart w:id="1512" w:name="_Caption8577"/>
      <w:bookmarkStart w:id="1513" w:name="_Caption6573"/>
      <w:bookmarkStart w:id="1514" w:name="_Caption5953"/>
      <w:bookmarkStart w:id="1515" w:name="_Caption9472"/>
      <w:bookmarkStart w:id="1516" w:name="_Caption3773"/>
      <w:bookmarkStart w:id="1517" w:name="_Caption7829"/>
      <w:bookmarkStart w:id="1518" w:name="_Caption3612"/>
      <w:bookmarkStart w:id="1519" w:name="_Caption3887"/>
      <w:bookmarkStart w:id="1520" w:name="_Caption6977"/>
      <w:bookmarkStart w:id="1521" w:name="_Caption1944"/>
      <w:bookmarkStart w:id="1522" w:name="_Caption9721"/>
      <w:bookmarkStart w:id="1523" w:name="_Caption6012"/>
      <w:bookmarkStart w:id="1524" w:name="_Caption3206"/>
      <w:bookmarkStart w:id="1525" w:name="_Caption8558"/>
      <w:bookmarkStart w:id="1526" w:name="_Caption4972"/>
      <w:bookmarkStart w:id="1527" w:name="_Caption6763"/>
      <w:bookmarkStart w:id="1528" w:name="_Caption3704"/>
      <w:bookmarkStart w:id="1529" w:name="_Caption2790"/>
      <w:bookmarkStart w:id="1530" w:name="_Caption9183"/>
      <w:bookmarkStart w:id="1531" w:name="_Caption2622"/>
      <w:bookmarkStart w:id="1532" w:name="_Caption6811"/>
      <w:bookmarkStart w:id="1533" w:name="_Caption3190"/>
      <w:bookmarkStart w:id="1534" w:name="_Caption9749"/>
      <w:bookmarkStart w:id="1535" w:name="_Caption2211"/>
      <w:bookmarkStart w:id="1536" w:name="_Caption7633"/>
      <w:bookmarkStart w:id="1537" w:name="_Caption8593"/>
      <w:bookmarkStart w:id="1538" w:name="_Caption2684"/>
      <w:bookmarkStart w:id="1539" w:name="_Caption8302"/>
      <w:bookmarkStart w:id="1540" w:name="_Caption2870"/>
      <w:bookmarkStart w:id="1541" w:name="_Caption7494"/>
      <w:bookmarkStart w:id="1542" w:name="_Caption9760"/>
      <w:bookmarkStart w:id="1543" w:name="_Caption2816"/>
      <w:bookmarkStart w:id="1544" w:name="_Caption9244"/>
      <w:bookmarkStart w:id="1545" w:name="_Caption0936"/>
      <w:bookmarkStart w:id="1546" w:name="_Caption8089"/>
      <w:bookmarkStart w:id="1547" w:name="_Caption4623"/>
      <w:bookmarkStart w:id="1548" w:name="_Caption6254"/>
      <w:bookmarkStart w:id="1549" w:name="_Caption6301"/>
      <w:bookmarkStart w:id="1550" w:name="_Caption8165"/>
      <w:bookmarkStart w:id="1551" w:name="_Caption9238"/>
      <w:bookmarkStart w:id="1552" w:name="_Caption4401"/>
      <w:bookmarkStart w:id="1553" w:name="_Caption2309"/>
      <w:bookmarkStart w:id="1554" w:name="_Caption7999"/>
      <w:bookmarkStart w:id="1555" w:name="_Caption6767"/>
      <w:bookmarkStart w:id="1556" w:name="_Caption5673"/>
      <w:bookmarkStart w:id="1557" w:name="_Caption9412"/>
      <w:bookmarkStart w:id="1558" w:name="_Caption6438"/>
      <w:bookmarkStart w:id="1559" w:name="_Caption0451"/>
      <w:bookmarkStart w:id="1560" w:name="_Caption5317"/>
      <w:bookmarkStart w:id="1561" w:name="_Caption5247"/>
      <w:bookmarkStart w:id="1562" w:name="_Caption9795"/>
      <w:bookmarkStart w:id="1563" w:name="_Caption3452"/>
      <w:bookmarkStart w:id="1564" w:name="_Caption3221"/>
      <w:bookmarkStart w:id="1565" w:name="_Caption0552"/>
      <w:bookmarkStart w:id="1566" w:name="_Caption7613"/>
      <w:bookmarkStart w:id="1567" w:name="_Caption3534"/>
      <w:bookmarkStart w:id="1568" w:name="_Caption0097"/>
      <w:bookmarkStart w:id="1569" w:name="_Caption5515"/>
      <w:bookmarkStart w:id="1570" w:name="_Caption0183"/>
      <w:bookmarkStart w:id="1571" w:name="_Caption4850"/>
      <w:bookmarkStart w:id="1572" w:name="_Caption7429"/>
      <w:bookmarkStart w:id="1573" w:name="_Caption8015"/>
      <w:bookmarkStart w:id="1574" w:name="_Caption6937"/>
      <w:bookmarkStart w:id="1575" w:name="_Caption3337"/>
      <w:bookmarkStart w:id="1576" w:name="_Caption9040"/>
      <w:bookmarkStart w:id="1577" w:name="_Caption2413"/>
      <w:bookmarkStart w:id="1578" w:name="_Caption2735"/>
      <w:bookmarkStart w:id="1579" w:name="_Caption1096"/>
      <w:bookmarkStart w:id="1580" w:name="_Caption3843"/>
      <w:bookmarkStart w:id="1581" w:name="_Caption1341"/>
      <w:bookmarkStart w:id="1582" w:name="_Caption0940"/>
      <w:bookmarkStart w:id="1583" w:name="_Caption7257"/>
      <w:bookmarkStart w:id="1584" w:name="_Caption8727"/>
      <w:bookmarkStart w:id="1585" w:name="_Caption4343"/>
      <w:bookmarkStart w:id="1586" w:name="_Caption4514"/>
      <w:bookmarkStart w:id="1587" w:name="_Caption7650"/>
      <w:bookmarkStart w:id="1588" w:name="_Caption3733"/>
      <w:bookmarkStart w:id="1589" w:name="_Caption6727"/>
      <w:bookmarkStart w:id="1590" w:name="_Caption3680"/>
      <w:bookmarkStart w:id="1591" w:name="_Caption0656"/>
      <w:bookmarkStart w:id="1592" w:name="_Caption0178"/>
      <w:bookmarkStart w:id="1593" w:name="_Caption9787"/>
      <w:bookmarkStart w:id="1594" w:name="_Caption6850"/>
      <w:bookmarkStart w:id="1595" w:name="_Caption4326"/>
      <w:bookmarkStart w:id="1596" w:name="_Caption5757"/>
      <w:bookmarkStart w:id="1597" w:name="_Caption3091"/>
      <w:bookmarkStart w:id="1598" w:name="_Caption9137"/>
      <w:bookmarkStart w:id="1599" w:name="_Caption9420"/>
      <w:bookmarkStart w:id="1600" w:name="_Caption4179"/>
      <w:bookmarkStart w:id="1601" w:name="_Caption7458"/>
      <w:bookmarkStart w:id="1602" w:name="_Caption9528"/>
      <w:bookmarkStart w:id="1603" w:name="_Caption5634"/>
      <w:bookmarkStart w:id="1604" w:name="_Caption2876"/>
      <w:bookmarkStart w:id="1605" w:name="_Caption9948"/>
      <w:bookmarkStart w:id="1606" w:name="_Caption5451"/>
      <w:bookmarkStart w:id="1607" w:name="_Caption1497"/>
      <w:bookmarkStart w:id="1608" w:name="_Caption1725"/>
      <w:bookmarkStart w:id="1609" w:name="_Caption0807"/>
      <w:bookmarkStart w:id="1610" w:name="_Caption4977"/>
      <w:bookmarkStart w:id="1611" w:name="_Caption3092"/>
      <w:bookmarkStart w:id="1612" w:name="_Caption5250"/>
      <w:bookmarkStart w:id="1613" w:name="_Caption3323"/>
      <w:bookmarkStart w:id="1614" w:name="_Caption4994"/>
      <w:bookmarkStart w:id="1615" w:name="_Caption3547"/>
      <w:bookmarkStart w:id="1616" w:name="_Caption5435"/>
      <w:bookmarkStart w:id="1617" w:name="_Caption7075"/>
      <w:bookmarkStart w:id="1618" w:name="_Caption2916"/>
      <w:bookmarkStart w:id="1619" w:name="_Caption4347"/>
      <w:bookmarkStart w:id="1620" w:name="_Caption9322"/>
      <w:bookmarkStart w:id="1621" w:name="_Caption8825"/>
      <w:bookmarkStart w:id="1622" w:name="_Caption0370"/>
      <w:bookmarkStart w:id="1623" w:name="_Caption1381"/>
      <w:bookmarkStart w:id="1624" w:name="_Caption0708"/>
      <w:bookmarkStart w:id="1625" w:name="_Caption9936"/>
      <w:bookmarkStart w:id="1626" w:name="_Caption4515"/>
      <w:bookmarkStart w:id="1627" w:name="_Caption2637"/>
      <w:bookmarkStart w:id="1628" w:name="_Toc171557"/>
      <w:bookmarkStart w:id="1629" w:name="_Toc536623140"/>
      <w:bookmarkStart w:id="1630" w:name="_Toc530942263"/>
      <w:bookmarkStart w:id="1631" w:name="_Toc19275574"/>
      <w:bookmarkStart w:id="1632" w:name="_Toc19276184"/>
      <w:bookmarkStart w:id="1633" w:name="_Toc19280183"/>
      <w:r w:rsidR="00C353B5">
        <w:rPr>
          <w:noProof/>
        </w:rPr>
        <w:t>4.5</w:t>
      </w:r>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r>
        <w:fldChar w:fldCharType="end"/>
      </w:r>
      <w:r>
        <w:tab/>
        <w:t>Share of BEECs achieving different star ratings</w:t>
      </w:r>
      <w:bookmarkEnd w:id="1628"/>
      <w:bookmarkEnd w:id="1629"/>
      <w:bookmarkEnd w:id="1630"/>
      <w:bookmarkEnd w:id="1631"/>
      <w:bookmarkEnd w:id="1632"/>
      <w:bookmarkEnd w:id="1633"/>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ED0E85" w14:paraId="7669F982" w14:textId="77777777" w:rsidTr="00ED0E85">
        <w:trPr>
          <w:cantSplit/>
        </w:trPr>
        <w:tc>
          <w:tcPr>
            <w:tcW w:w="7938" w:type="dxa"/>
            <w:shd w:val="clear" w:color="auto" w:fill="E9E8E5" w:themeFill="background2"/>
            <w:hideMark/>
          </w:tcPr>
          <w:p w14:paraId="1A1D704D" w14:textId="77777777" w:rsidR="00ED0E85" w:rsidRDefault="00ED0E85" w:rsidP="00ED0E85">
            <w:pPr>
              <w:pStyle w:val="Chart"/>
              <w:jc w:val="center"/>
            </w:pPr>
            <w:r>
              <w:rPr>
                <w:noProof/>
                <w:lang w:eastAsia="en-AU"/>
              </w:rPr>
              <w:drawing>
                <wp:inline distT="0" distB="0" distL="0" distR="0" wp14:anchorId="5266F2A2" wp14:editId="527704D8">
                  <wp:extent cx="4800600" cy="252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r="3767"/>
                          <a:stretch>
                            <a:fillRect/>
                          </a:stretch>
                        </pic:blipFill>
                        <pic:spPr bwMode="auto">
                          <a:xfrm>
                            <a:off x="0" y="0"/>
                            <a:ext cx="4800600" cy="2527300"/>
                          </a:xfrm>
                          <a:prstGeom prst="rect">
                            <a:avLst/>
                          </a:prstGeom>
                          <a:noFill/>
                          <a:ln>
                            <a:noFill/>
                          </a:ln>
                        </pic:spPr>
                      </pic:pic>
                    </a:graphicData>
                  </a:graphic>
                </wp:inline>
              </w:drawing>
            </w:r>
          </w:p>
        </w:tc>
      </w:tr>
    </w:tbl>
    <w:p w14:paraId="5A95F1A0" w14:textId="77777777" w:rsidR="00ED0E85" w:rsidRDefault="00ED0E85" w:rsidP="00ED0E85">
      <w:pPr>
        <w:pStyle w:val="Note"/>
      </w:pPr>
      <w:r>
        <w:rPr>
          <w:i/>
        </w:rPr>
        <w:t xml:space="preserve">Note: </w:t>
      </w:r>
      <w:r>
        <w:t>For base buildings only.</w:t>
      </w:r>
    </w:p>
    <w:p w14:paraId="45637BA3" w14:textId="77777777" w:rsidR="00ED0E85" w:rsidRDefault="00ED0E85" w:rsidP="00ED0E85">
      <w:pPr>
        <w:pStyle w:val="Source"/>
      </w:pPr>
      <w:r>
        <w:rPr>
          <w:i/>
        </w:rPr>
        <w:t>Data source:</w:t>
      </w:r>
      <w:r>
        <w:t xml:space="preserve"> CBD dataset, CIE analysis.</w:t>
      </w:r>
    </w:p>
    <w:p w14:paraId="148B075E" w14:textId="338CCC8C" w:rsidR="00ED0E85" w:rsidRDefault="00ED0E85" w:rsidP="00ED0E85">
      <w:pPr>
        <w:pStyle w:val="Caption"/>
      </w:pPr>
      <w:r>
        <w:fldChar w:fldCharType="begin"/>
      </w:r>
      <w:r>
        <w:instrText xml:space="preserve"> IF 1 = 1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4</w:instrText>
      </w:r>
      <w:r>
        <w:rPr>
          <w:noProof/>
        </w:rPr>
        <w:fldChar w:fldCharType="end"/>
      </w:r>
      <w:r>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4</w:instrText>
      </w:r>
      <w:r>
        <w:rPr>
          <w:noProof/>
        </w:rPr>
        <w:fldChar w:fldCharType="end"/>
      </w:r>
      <w:r>
        <w:instrText xml:space="preserve">." </w:instrText>
      </w:r>
      <w:r>
        <w:fldChar w:fldCharType="separate"/>
      </w:r>
      <w:r w:rsidR="00AD3561">
        <w:rPr>
          <w:noProof/>
        </w:rPr>
        <w:instrText>4.</w:instrText>
      </w:r>
      <w:r>
        <w:fldChar w:fldCharType="end"/>
      </w:r>
      <w:r>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instrText xml:space="preserve">." </w:instrText>
      </w:r>
      <w:r>
        <w:fldChar w:fldCharType="separate"/>
      </w:r>
      <w:r w:rsidR="00C353B5">
        <w:rPr>
          <w:noProof/>
        </w:rPr>
        <w:instrText>4.</w:instrText>
      </w:r>
      <w:r>
        <w:fldChar w:fldCharType="end"/>
      </w:r>
      <w:r>
        <w:fldChar w:fldCharType="begin"/>
      </w:r>
      <w:r>
        <w:instrText xml:space="preserve"> SEQ Item \* ARABIC \s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4</w:instrText>
      </w:r>
      <w:r>
        <w:rPr>
          <w:noProof/>
        </w:rPr>
        <w:fldChar w:fldCharType="end"/>
      </w:r>
      <w:r>
        <w:instrText xml:space="preserve"> = 0 "" "1" </w:instrText>
      </w:r>
      <w:r>
        <w:fldChar w:fldCharType="separate"/>
      </w:r>
      <w:r w:rsidR="00C353B5">
        <w:rPr>
          <w:noProof/>
        </w:rPr>
        <w:instrText>1</w:instrText>
      </w:r>
      <w:r>
        <w:fldChar w:fldCharType="end"/>
      </w:r>
      <w:r>
        <w:instrText xml:space="preserve">" "6" </w:instrText>
      </w:r>
      <w:r>
        <w:fldChar w:fldCharType="separate"/>
      </w:r>
      <w:r w:rsidR="00C353B5">
        <w:rPr>
          <w:noProof/>
        </w:rPr>
        <w:instrText>1</w:instrText>
      </w:r>
      <w:r>
        <w:fldChar w:fldCharType="end"/>
      </w:r>
      <w:r>
        <w:instrText xml:space="preserve"> </w:instrText>
      </w:r>
      <w:r>
        <w:fldChar w:fldCharType="separate"/>
      </w:r>
      <w:r w:rsidR="00AD3561">
        <w:rPr>
          <w:noProof/>
        </w:rPr>
        <w:instrText>6</w:instrText>
      </w:r>
      <w:r>
        <w:fldChar w:fldCharType="end"/>
      </w:r>
      <w:r>
        <w:instrText xml:space="preserve">" "" </w:instrText>
      </w:r>
      <w:r>
        <w:fldChar w:fldCharType="separate"/>
      </w:r>
      <w:bookmarkStart w:id="1634" w:name="_Caption7921"/>
      <w:bookmarkStart w:id="1635" w:name="_Caption1856"/>
      <w:bookmarkStart w:id="1636" w:name="_Caption1431"/>
      <w:bookmarkStart w:id="1637" w:name="_Caption6690"/>
      <w:bookmarkStart w:id="1638" w:name="_Caption9379"/>
      <w:bookmarkStart w:id="1639" w:name="_Caption0039"/>
      <w:bookmarkStart w:id="1640" w:name="_Caption9652"/>
      <w:bookmarkStart w:id="1641" w:name="_Caption6735"/>
      <w:bookmarkStart w:id="1642" w:name="_Caption5924"/>
      <w:bookmarkStart w:id="1643" w:name="_Caption5777"/>
      <w:bookmarkStart w:id="1644" w:name="_Caption9650"/>
      <w:bookmarkStart w:id="1645" w:name="_Caption3992"/>
      <w:bookmarkStart w:id="1646" w:name="_Caption1434"/>
      <w:bookmarkStart w:id="1647" w:name="_Caption0805"/>
      <w:bookmarkStart w:id="1648" w:name="_Caption9470"/>
      <w:bookmarkStart w:id="1649" w:name="_Caption9551"/>
      <w:bookmarkStart w:id="1650" w:name="_Caption2164"/>
      <w:bookmarkStart w:id="1651" w:name="_Caption3990"/>
      <w:bookmarkStart w:id="1652" w:name="_Caption5639"/>
      <w:bookmarkStart w:id="1653" w:name="_Caption4276"/>
      <w:bookmarkStart w:id="1654" w:name="_Caption0950"/>
      <w:bookmarkStart w:id="1655" w:name="_Caption3771"/>
      <w:bookmarkStart w:id="1656" w:name="_Caption8389"/>
      <w:bookmarkStart w:id="1657" w:name="_Caption4030"/>
      <w:bookmarkStart w:id="1658" w:name="_Caption6160"/>
      <w:bookmarkStart w:id="1659" w:name="_Caption0635"/>
      <w:bookmarkStart w:id="1660" w:name="_Caption0525"/>
      <w:bookmarkStart w:id="1661" w:name="_Caption3491"/>
      <w:bookmarkStart w:id="1662" w:name="_Caption6211"/>
      <w:bookmarkStart w:id="1663" w:name="_Caption3666"/>
      <w:bookmarkStart w:id="1664" w:name="_Caption8459"/>
      <w:bookmarkStart w:id="1665" w:name="_Caption6837"/>
      <w:bookmarkStart w:id="1666" w:name="_Caption6119"/>
      <w:bookmarkStart w:id="1667" w:name="_Caption7077"/>
      <w:bookmarkStart w:id="1668" w:name="_Caption2256"/>
      <w:bookmarkStart w:id="1669" w:name="_Caption2365"/>
      <w:bookmarkStart w:id="1670" w:name="_Caption0542"/>
      <w:bookmarkStart w:id="1671" w:name="_Caption8003"/>
      <w:bookmarkStart w:id="1672" w:name="_Caption5207"/>
      <w:bookmarkStart w:id="1673" w:name="_Caption5698"/>
      <w:bookmarkStart w:id="1674" w:name="_Caption5373"/>
      <w:bookmarkStart w:id="1675" w:name="_Caption9227"/>
      <w:bookmarkStart w:id="1676" w:name="_Caption4752"/>
      <w:bookmarkStart w:id="1677" w:name="_Caption4983"/>
      <w:bookmarkStart w:id="1678" w:name="_Caption0182"/>
      <w:bookmarkStart w:id="1679" w:name="_Caption1932"/>
      <w:bookmarkStart w:id="1680" w:name="_Caption8538"/>
      <w:bookmarkStart w:id="1681" w:name="_Caption1417"/>
      <w:bookmarkStart w:id="1682" w:name="_Caption5314"/>
      <w:bookmarkStart w:id="1683" w:name="_Caption1776"/>
      <w:bookmarkStart w:id="1684" w:name="_Caption9459"/>
      <w:bookmarkStart w:id="1685" w:name="_Caption3218"/>
      <w:bookmarkStart w:id="1686" w:name="_Caption3777"/>
      <w:bookmarkStart w:id="1687" w:name="_Caption1060"/>
      <w:bookmarkStart w:id="1688" w:name="_Caption0443"/>
      <w:bookmarkStart w:id="1689" w:name="_Caption0078"/>
      <w:bookmarkStart w:id="1690" w:name="_Caption6786"/>
      <w:bookmarkStart w:id="1691" w:name="_Caption9351"/>
      <w:bookmarkStart w:id="1692" w:name="_Caption8544"/>
      <w:bookmarkStart w:id="1693" w:name="_Caption5708"/>
      <w:bookmarkStart w:id="1694" w:name="_Caption8917"/>
      <w:bookmarkStart w:id="1695" w:name="_Caption7926"/>
      <w:bookmarkStart w:id="1696" w:name="_Caption3536"/>
      <w:bookmarkStart w:id="1697" w:name="_Caption6997"/>
      <w:bookmarkStart w:id="1698" w:name="_Caption9033"/>
      <w:bookmarkStart w:id="1699" w:name="_Caption2789"/>
      <w:bookmarkStart w:id="1700" w:name="_Caption3792"/>
      <w:bookmarkStart w:id="1701" w:name="_Caption3381"/>
      <w:bookmarkStart w:id="1702" w:name="_Caption1261"/>
      <w:bookmarkStart w:id="1703" w:name="_Caption0389"/>
      <w:bookmarkStart w:id="1704" w:name="_Caption6635"/>
      <w:bookmarkStart w:id="1705" w:name="_Caption4521"/>
      <w:bookmarkStart w:id="1706" w:name="_Caption7404"/>
      <w:bookmarkStart w:id="1707" w:name="_Caption7092"/>
      <w:bookmarkStart w:id="1708" w:name="_Caption7150"/>
      <w:bookmarkStart w:id="1709" w:name="_Caption0110"/>
      <w:bookmarkStart w:id="1710" w:name="_Caption2787"/>
      <w:bookmarkStart w:id="1711" w:name="_Caption4848"/>
      <w:bookmarkStart w:id="1712" w:name="_Caption7726"/>
      <w:bookmarkStart w:id="1713" w:name="_Caption1262"/>
      <w:bookmarkStart w:id="1714" w:name="_Caption1300"/>
      <w:bookmarkStart w:id="1715" w:name="_Caption8722"/>
      <w:bookmarkStart w:id="1716" w:name="_Caption4481"/>
      <w:bookmarkStart w:id="1717" w:name="_Caption7543"/>
      <w:bookmarkStart w:id="1718" w:name="_Caption7426"/>
      <w:bookmarkStart w:id="1719" w:name="_Caption6711"/>
      <w:bookmarkStart w:id="1720" w:name="_Caption5486"/>
      <w:bookmarkStart w:id="1721" w:name="_Caption3627"/>
      <w:bookmarkStart w:id="1722" w:name="_Caption8731"/>
      <w:bookmarkStart w:id="1723" w:name="_Caption3883"/>
      <w:bookmarkStart w:id="1724" w:name="_Caption1286"/>
      <w:bookmarkStart w:id="1725" w:name="_Caption3021"/>
      <w:bookmarkStart w:id="1726" w:name="_Caption8818"/>
      <w:bookmarkStart w:id="1727" w:name="_Caption5670"/>
      <w:bookmarkStart w:id="1728" w:name="_Caption1979"/>
      <w:bookmarkStart w:id="1729" w:name="_Caption8812"/>
      <w:bookmarkStart w:id="1730" w:name="_Caption6382"/>
      <w:bookmarkStart w:id="1731" w:name="_Caption4628"/>
      <w:bookmarkStart w:id="1732" w:name="_Caption9143"/>
      <w:bookmarkStart w:id="1733" w:name="_Caption7979"/>
      <w:bookmarkStart w:id="1734" w:name="_Caption4954"/>
      <w:bookmarkStart w:id="1735" w:name="_Caption0896"/>
      <w:bookmarkStart w:id="1736" w:name="_Caption5021"/>
      <w:bookmarkStart w:id="1737" w:name="_Caption0201"/>
      <w:bookmarkStart w:id="1738" w:name="_Caption7597"/>
      <w:bookmarkStart w:id="1739" w:name="_Caption8508"/>
      <w:bookmarkStart w:id="1740" w:name="_Caption7643"/>
      <w:bookmarkStart w:id="1741" w:name="_Caption2234"/>
      <w:bookmarkStart w:id="1742" w:name="_Caption6790"/>
      <w:bookmarkStart w:id="1743" w:name="_Caption3801"/>
      <w:bookmarkStart w:id="1744" w:name="_Caption4747"/>
      <w:bookmarkStart w:id="1745" w:name="_Caption4187"/>
      <w:bookmarkStart w:id="1746" w:name="_Caption5568"/>
      <w:bookmarkStart w:id="1747" w:name="_Caption5258"/>
      <w:bookmarkStart w:id="1748" w:name="_Caption7248"/>
      <w:bookmarkStart w:id="1749" w:name="_Caption8456"/>
      <w:bookmarkStart w:id="1750" w:name="_Caption6904"/>
      <w:bookmarkStart w:id="1751" w:name="_Caption0311"/>
      <w:bookmarkStart w:id="1752" w:name="_Caption4012"/>
      <w:bookmarkStart w:id="1753" w:name="_Caption8848"/>
      <w:bookmarkStart w:id="1754" w:name="_Caption8384"/>
      <w:bookmarkStart w:id="1755" w:name="_Caption3567"/>
      <w:bookmarkStart w:id="1756" w:name="_Caption1559"/>
      <w:bookmarkStart w:id="1757" w:name="_Caption5274"/>
      <w:bookmarkStart w:id="1758" w:name="_Caption2476"/>
      <w:bookmarkStart w:id="1759" w:name="_Caption8640"/>
      <w:bookmarkStart w:id="1760" w:name="_Caption5727"/>
      <w:bookmarkStart w:id="1761" w:name="_Caption1034"/>
      <w:bookmarkStart w:id="1762" w:name="_Caption0715"/>
      <w:bookmarkStart w:id="1763" w:name="_Caption0162"/>
      <w:bookmarkStart w:id="1764" w:name="_Caption5300"/>
      <w:bookmarkStart w:id="1765" w:name="_Caption1810"/>
      <w:bookmarkStart w:id="1766" w:name="_Caption6961"/>
      <w:bookmarkStart w:id="1767" w:name="_Caption4873"/>
      <w:bookmarkStart w:id="1768" w:name="_Caption3207"/>
      <w:bookmarkStart w:id="1769" w:name="_Caption4729"/>
      <w:bookmarkStart w:id="1770" w:name="_Caption7590"/>
      <w:bookmarkStart w:id="1771" w:name="_Toc171558"/>
      <w:bookmarkStart w:id="1772" w:name="_Toc536623141"/>
      <w:bookmarkStart w:id="1773" w:name="_Toc530942264"/>
      <w:bookmarkStart w:id="1774" w:name="_Toc19275575"/>
      <w:bookmarkStart w:id="1775" w:name="_Toc19276185"/>
      <w:bookmarkStart w:id="1776" w:name="_Toc19280184"/>
      <w:r w:rsidR="00C353B5">
        <w:rPr>
          <w:noProof/>
        </w:rPr>
        <w:t>4.6</w:t>
      </w:r>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r>
        <w:fldChar w:fldCharType="end"/>
      </w:r>
      <w:r>
        <w:tab/>
        <w:t>Average energy use and average star rating</w:t>
      </w:r>
      <w:bookmarkEnd w:id="1771"/>
      <w:bookmarkEnd w:id="1772"/>
      <w:bookmarkEnd w:id="1773"/>
      <w:bookmarkEnd w:id="1774"/>
      <w:bookmarkEnd w:id="1775"/>
      <w:bookmarkEnd w:id="1776"/>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ED0E85" w14:paraId="6A93A09B" w14:textId="77777777" w:rsidTr="00ED0E85">
        <w:trPr>
          <w:cantSplit/>
        </w:trPr>
        <w:tc>
          <w:tcPr>
            <w:tcW w:w="7938" w:type="dxa"/>
            <w:shd w:val="clear" w:color="auto" w:fill="E9E8E5" w:themeFill="background2"/>
            <w:hideMark/>
          </w:tcPr>
          <w:p w14:paraId="34A64AE2" w14:textId="77777777" w:rsidR="00ED0E85" w:rsidRDefault="00ED0E85" w:rsidP="00ED0E85">
            <w:pPr>
              <w:pStyle w:val="Chart"/>
              <w:jc w:val="center"/>
            </w:pPr>
            <w:r>
              <w:rPr>
                <w:noProof/>
                <w:lang w:eastAsia="en-AU"/>
              </w:rPr>
              <w:drawing>
                <wp:inline distT="0" distB="0" distL="0" distR="0" wp14:anchorId="3B01C410" wp14:editId="4DCB5B60">
                  <wp:extent cx="4997450" cy="2527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97450" cy="2527300"/>
                          </a:xfrm>
                          <a:prstGeom prst="rect">
                            <a:avLst/>
                          </a:prstGeom>
                          <a:noFill/>
                          <a:ln>
                            <a:noFill/>
                          </a:ln>
                        </pic:spPr>
                      </pic:pic>
                    </a:graphicData>
                  </a:graphic>
                </wp:inline>
              </w:drawing>
            </w:r>
          </w:p>
        </w:tc>
      </w:tr>
    </w:tbl>
    <w:p w14:paraId="3C8558B7" w14:textId="77777777" w:rsidR="00ED0E85" w:rsidRDefault="00ED0E85" w:rsidP="00ED0E85">
      <w:pPr>
        <w:pStyle w:val="Note"/>
      </w:pPr>
      <w:r>
        <w:rPr>
          <w:i/>
        </w:rPr>
        <w:t xml:space="preserve">Note: </w:t>
      </w:r>
      <w:r>
        <w:t>For base buildings only. Averages are floor are weighted averages.</w:t>
      </w:r>
    </w:p>
    <w:p w14:paraId="62A9285D" w14:textId="77777777" w:rsidR="00ED0E85" w:rsidRDefault="00ED0E85" w:rsidP="00ED0E85">
      <w:pPr>
        <w:pStyle w:val="Source"/>
      </w:pPr>
      <w:r>
        <w:rPr>
          <w:i/>
        </w:rPr>
        <w:t>Data source:</w:t>
      </w:r>
      <w:r>
        <w:t xml:space="preserve"> CBD dataset, CIE analysis.</w:t>
      </w:r>
    </w:p>
    <w:p w14:paraId="0E7E675B" w14:textId="77777777" w:rsidR="00ED0E85" w:rsidRDefault="00ED0E85" w:rsidP="00ED0E85">
      <w:pPr>
        <w:pStyle w:val="BodyText"/>
      </w:pPr>
      <w:r>
        <w:t>The pattern of impacts across buildings is quite variable. About one</w:t>
      </w:r>
      <w:r>
        <w:noBreakHyphen/>
        <w:t>third of buildings have the same star rating as they had initially with the program. A further quarter have improved their star rating by 0.5 stars, and about the same amount have improved their rating by one star or more. About 12 per cent of buildings have a lower star rating than when they were first rated under the CBD Program. Note that some buildings have only rated twice, while others have rated up to 11 times.</w:t>
      </w:r>
    </w:p>
    <w:p w14:paraId="224FD34B" w14:textId="77777777" w:rsidR="00ED0E85" w:rsidRDefault="00ED0E85" w:rsidP="00ED0E85">
      <w:pPr>
        <w:pStyle w:val="BodyText"/>
      </w:pPr>
      <w:r>
        <w:t>The same pattern is observed for energy use per square metre, with a large number of buildings have similar or marginally lower energy use, a smaller number having made very large reductions in energy use, and a smaller number again increasing their energy use.</w:t>
      </w:r>
    </w:p>
    <w:p w14:paraId="6B69B7CA" w14:textId="6BAF0DFC" w:rsidR="00ED0E85" w:rsidRDefault="00ED0E85" w:rsidP="00ED0E85">
      <w:pPr>
        <w:pStyle w:val="Caption"/>
      </w:pPr>
      <w:r>
        <w:fldChar w:fldCharType="begin"/>
      </w:r>
      <w:r>
        <w:instrText xml:space="preserve"> IF 1 = 1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4</w:instrText>
      </w:r>
      <w:r>
        <w:rPr>
          <w:noProof/>
        </w:rPr>
        <w:fldChar w:fldCharType="end"/>
      </w:r>
      <w:r>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4</w:instrText>
      </w:r>
      <w:r>
        <w:rPr>
          <w:noProof/>
        </w:rPr>
        <w:fldChar w:fldCharType="end"/>
      </w:r>
      <w:r>
        <w:instrText xml:space="preserve">." </w:instrText>
      </w:r>
      <w:r>
        <w:fldChar w:fldCharType="separate"/>
      </w:r>
      <w:r w:rsidR="00AD3561">
        <w:rPr>
          <w:noProof/>
        </w:rPr>
        <w:instrText>4.</w:instrText>
      </w:r>
      <w:r>
        <w:fldChar w:fldCharType="end"/>
      </w:r>
      <w:r>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instrText xml:space="preserve">." </w:instrText>
      </w:r>
      <w:r>
        <w:fldChar w:fldCharType="separate"/>
      </w:r>
      <w:r w:rsidR="00C353B5">
        <w:rPr>
          <w:noProof/>
        </w:rPr>
        <w:instrText>4.</w:instrText>
      </w:r>
      <w:r>
        <w:fldChar w:fldCharType="end"/>
      </w:r>
      <w:r>
        <w:fldChar w:fldCharType="begin"/>
      </w:r>
      <w:r>
        <w:instrText xml:space="preserve"> SEQ Item \* ARABIC \s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4</w:instrText>
      </w:r>
      <w:r>
        <w:rPr>
          <w:noProof/>
        </w:rPr>
        <w:fldChar w:fldCharType="end"/>
      </w:r>
      <w:r>
        <w:instrText xml:space="preserve"> = 0 "" "1" </w:instrText>
      </w:r>
      <w:r>
        <w:fldChar w:fldCharType="separate"/>
      </w:r>
      <w:r w:rsidR="00C353B5">
        <w:rPr>
          <w:noProof/>
        </w:rPr>
        <w:instrText>1</w:instrText>
      </w:r>
      <w:r>
        <w:fldChar w:fldCharType="end"/>
      </w:r>
      <w:r>
        <w:instrText xml:space="preserve">" "6" </w:instrText>
      </w:r>
      <w:r>
        <w:fldChar w:fldCharType="separate"/>
      </w:r>
      <w:r w:rsidR="00C353B5">
        <w:rPr>
          <w:noProof/>
        </w:rPr>
        <w:instrText>1</w:instrText>
      </w:r>
      <w:r>
        <w:fldChar w:fldCharType="end"/>
      </w:r>
      <w:r>
        <w:instrText xml:space="preserve"> </w:instrText>
      </w:r>
      <w:r>
        <w:fldChar w:fldCharType="separate"/>
      </w:r>
      <w:r w:rsidR="00AD3561">
        <w:rPr>
          <w:noProof/>
        </w:rPr>
        <w:instrText>7</w:instrText>
      </w:r>
      <w:r>
        <w:fldChar w:fldCharType="end"/>
      </w:r>
      <w:r>
        <w:instrText xml:space="preserve">" "" </w:instrText>
      </w:r>
      <w:r>
        <w:fldChar w:fldCharType="separate"/>
      </w:r>
      <w:bookmarkStart w:id="1777" w:name="_Caption3435"/>
      <w:bookmarkStart w:id="1778" w:name="_Caption1801"/>
      <w:bookmarkStart w:id="1779" w:name="_Caption2819"/>
      <w:bookmarkStart w:id="1780" w:name="_Caption1710"/>
      <w:bookmarkStart w:id="1781" w:name="_Caption3158"/>
      <w:bookmarkStart w:id="1782" w:name="_Caption4592"/>
      <w:bookmarkStart w:id="1783" w:name="_Caption1641"/>
      <w:bookmarkStart w:id="1784" w:name="_Caption8989"/>
      <w:bookmarkStart w:id="1785" w:name="_Caption9368"/>
      <w:bookmarkStart w:id="1786" w:name="_Caption5055"/>
      <w:bookmarkStart w:id="1787" w:name="_Caption6873"/>
      <w:bookmarkStart w:id="1788" w:name="_Caption1146"/>
      <w:bookmarkStart w:id="1789" w:name="_Caption0086"/>
      <w:bookmarkStart w:id="1790" w:name="_Caption3527"/>
      <w:bookmarkStart w:id="1791" w:name="_Caption4984"/>
      <w:bookmarkStart w:id="1792" w:name="_Caption8630"/>
      <w:bookmarkStart w:id="1793" w:name="_Caption4260"/>
      <w:bookmarkStart w:id="1794" w:name="_Caption6527"/>
      <w:bookmarkStart w:id="1795" w:name="_Caption5492"/>
      <w:bookmarkStart w:id="1796" w:name="_Caption2007"/>
      <w:bookmarkStart w:id="1797" w:name="_Caption0991"/>
      <w:bookmarkStart w:id="1798" w:name="_Caption4172"/>
      <w:bookmarkStart w:id="1799" w:name="_Caption4945"/>
      <w:bookmarkStart w:id="1800" w:name="_Caption9010"/>
      <w:bookmarkStart w:id="1801" w:name="_Caption6094"/>
      <w:bookmarkStart w:id="1802" w:name="_Caption5334"/>
      <w:bookmarkStart w:id="1803" w:name="_Caption9015"/>
      <w:bookmarkStart w:id="1804" w:name="_Caption2316"/>
      <w:bookmarkStart w:id="1805" w:name="_Caption2810"/>
      <w:bookmarkStart w:id="1806" w:name="_Caption6255"/>
      <w:bookmarkStart w:id="1807" w:name="_Caption8912"/>
      <w:bookmarkStart w:id="1808" w:name="_Caption2357"/>
      <w:bookmarkStart w:id="1809" w:name="_Caption5799"/>
      <w:bookmarkStart w:id="1810" w:name="_Caption7025"/>
      <w:bookmarkStart w:id="1811" w:name="_Caption1162"/>
      <w:bookmarkStart w:id="1812" w:name="_Caption6744"/>
      <w:bookmarkStart w:id="1813" w:name="_Caption9205"/>
      <w:bookmarkStart w:id="1814" w:name="_Caption7763"/>
      <w:bookmarkStart w:id="1815" w:name="_Caption0614"/>
      <w:bookmarkStart w:id="1816" w:name="_Caption6151"/>
      <w:bookmarkStart w:id="1817" w:name="_Caption1808"/>
      <w:bookmarkStart w:id="1818" w:name="_Caption4634"/>
      <w:bookmarkStart w:id="1819" w:name="_Caption2722"/>
      <w:bookmarkStart w:id="1820" w:name="_Caption1698"/>
      <w:bookmarkStart w:id="1821" w:name="_Caption6270"/>
      <w:bookmarkStart w:id="1822" w:name="_Caption4348"/>
      <w:bookmarkStart w:id="1823" w:name="_Caption3972"/>
      <w:bookmarkStart w:id="1824" w:name="_Caption6435"/>
      <w:bookmarkStart w:id="1825" w:name="_Caption7400"/>
      <w:bookmarkStart w:id="1826" w:name="_Caption6789"/>
      <w:bookmarkStart w:id="1827" w:name="_Caption4841"/>
      <w:bookmarkStart w:id="1828" w:name="_Caption7040"/>
      <w:bookmarkStart w:id="1829" w:name="_Caption1228"/>
      <w:bookmarkStart w:id="1830" w:name="_Caption2217"/>
      <w:bookmarkStart w:id="1831" w:name="_Caption0289"/>
      <w:bookmarkStart w:id="1832" w:name="_Caption9239"/>
      <w:bookmarkStart w:id="1833" w:name="_Caption6493"/>
      <w:bookmarkStart w:id="1834" w:name="_Caption7370"/>
      <w:bookmarkStart w:id="1835" w:name="_Caption7331"/>
      <w:bookmarkStart w:id="1836" w:name="_Caption6663"/>
      <w:bookmarkStart w:id="1837" w:name="_Caption0146"/>
      <w:bookmarkStart w:id="1838" w:name="_Caption7785"/>
      <w:bookmarkStart w:id="1839" w:name="_Caption0951"/>
      <w:bookmarkStart w:id="1840" w:name="_Caption6642"/>
      <w:bookmarkStart w:id="1841" w:name="_Caption0820"/>
      <w:bookmarkStart w:id="1842" w:name="_Caption2024"/>
      <w:bookmarkStart w:id="1843" w:name="_Caption3227"/>
      <w:bookmarkStart w:id="1844" w:name="_Caption2879"/>
      <w:bookmarkStart w:id="1845" w:name="_Caption1892"/>
      <w:bookmarkStart w:id="1846" w:name="_Caption3111"/>
      <w:bookmarkStart w:id="1847" w:name="_Caption1881"/>
      <w:bookmarkStart w:id="1848" w:name="_Caption3937"/>
      <w:bookmarkStart w:id="1849" w:name="_Caption1473"/>
      <w:bookmarkStart w:id="1850" w:name="_Caption1947"/>
      <w:bookmarkStart w:id="1851" w:name="_Caption5036"/>
      <w:bookmarkStart w:id="1852" w:name="_Caption3754"/>
      <w:bookmarkStart w:id="1853" w:name="_Caption9890"/>
      <w:bookmarkStart w:id="1854" w:name="_Caption7983"/>
      <w:bookmarkStart w:id="1855" w:name="_Caption6584"/>
      <w:bookmarkStart w:id="1856" w:name="_Caption7475"/>
      <w:bookmarkStart w:id="1857" w:name="_Caption1643"/>
      <w:bookmarkStart w:id="1858" w:name="_Caption5588"/>
      <w:bookmarkStart w:id="1859" w:name="_Caption3594"/>
      <w:bookmarkStart w:id="1860" w:name="_Caption2949"/>
      <w:bookmarkStart w:id="1861" w:name="_Caption6868"/>
      <w:bookmarkStart w:id="1862" w:name="_Caption5736"/>
      <w:bookmarkStart w:id="1863" w:name="_Caption3259"/>
      <w:bookmarkStart w:id="1864" w:name="_Caption2015"/>
      <w:bookmarkStart w:id="1865" w:name="_Caption7725"/>
      <w:bookmarkStart w:id="1866" w:name="_Caption4718"/>
      <w:bookmarkStart w:id="1867" w:name="_Caption7477"/>
      <w:bookmarkStart w:id="1868" w:name="_Caption6050"/>
      <w:bookmarkStart w:id="1869" w:name="_Caption0332"/>
      <w:bookmarkStart w:id="1870" w:name="_Caption9712"/>
      <w:bookmarkStart w:id="1871" w:name="_Toc19275576"/>
      <w:bookmarkStart w:id="1872" w:name="_Toc19276186"/>
      <w:bookmarkStart w:id="1873" w:name="_Toc19280185"/>
      <w:r w:rsidR="00C353B5">
        <w:rPr>
          <w:noProof/>
        </w:rPr>
        <w:t>4.7</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r>
        <w:fldChar w:fldCharType="end"/>
      </w:r>
      <w:r>
        <w:tab/>
        <w:t>Changes in star rating across buildings</w:t>
      </w:r>
      <w:bookmarkEnd w:id="1871"/>
      <w:bookmarkEnd w:id="1872"/>
      <w:bookmarkEnd w:id="1873"/>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ED0E85" w14:paraId="4E804B7B" w14:textId="77777777" w:rsidTr="00ED0E85">
        <w:trPr>
          <w:cantSplit/>
        </w:trPr>
        <w:tc>
          <w:tcPr>
            <w:tcW w:w="7938" w:type="dxa"/>
            <w:shd w:val="clear" w:color="auto" w:fill="E9E8E5" w:themeFill="background2"/>
            <w:hideMark/>
          </w:tcPr>
          <w:p w14:paraId="51BCAE87" w14:textId="77777777" w:rsidR="00ED0E85" w:rsidRDefault="00ED0E85" w:rsidP="00ED0E85">
            <w:pPr>
              <w:pStyle w:val="Chart"/>
              <w:spacing w:after="120"/>
              <w:jc w:val="center"/>
            </w:pPr>
            <w:r>
              <w:rPr>
                <w:noProof/>
                <w:lang w:eastAsia="en-AU"/>
              </w:rPr>
              <w:drawing>
                <wp:inline distT="0" distB="0" distL="0" distR="0" wp14:anchorId="0D7D493F" wp14:editId="1A6FA16C">
                  <wp:extent cx="4968875" cy="249555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68875" cy="2495550"/>
                          </a:xfrm>
                          <a:prstGeom prst="rect">
                            <a:avLst/>
                          </a:prstGeom>
                          <a:noFill/>
                          <a:ln>
                            <a:noFill/>
                          </a:ln>
                        </pic:spPr>
                      </pic:pic>
                    </a:graphicData>
                  </a:graphic>
                </wp:inline>
              </w:drawing>
            </w:r>
          </w:p>
        </w:tc>
      </w:tr>
    </w:tbl>
    <w:p w14:paraId="2ADC90BE" w14:textId="77777777" w:rsidR="00ED0E85" w:rsidRDefault="00ED0E85" w:rsidP="00ED0E85">
      <w:pPr>
        <w:pStyle w:val="Note"/>
      </w:pPr>
      <w:r>
        <w:rPr>
          <w:i/>
        </w:rPr>
        <w:t xml:space="preserve">Note: </w:t>
      </w:r>
      <w:r>
        <w:t>This is for base buildings only. It excludes ratings where the area rated is less than 80 per cent of the maximum area rated. The change is from the first rating under the CBD Program to the last rating under the CBD Program.</w:t>
      </w:r>
    </w:p>
    <w:p w14:paraId="6AA98171" w14:textId="77777777" w:rsidR="00ED0E85" w:rsidRDefault="00ED0E85" w:rsidP="00ED0E85">
      <w:pPr>
        <w:pStyle w:val="Source"/>
      </w:pPr>
      <w:r>
        <w:rPr>
          <w:i/>
        </w:rPr>
        <w:t>Data source:</w:t>
      </w:r>
      <w:r>
        <w:t xml:space="preserve"> The CIE; CBD dataset.</w:t>
      </w:r>
    </w:p>
    <w:p w14:paraId="03D7C3A4" w14:textId="0812DB3D" w:rsidR="00ED0E85" w:rsidRDefault="00ED0E85" w:rsidP="00ED0E85">
      <w:pPr>
        <w:pStyle w:val="BodyText"/>
        <w:rPr>
          <w:lang w:eastAsia="en-US"/>
        </w:rPr>
      </w:pPr>
      <w:r>
        <w:rPr>
          <w:lang w:eastAsia="en-US"/>
        </w:rPr>
        <w:t>The change in energy star rating and energy intensity since the CBD Program has been in operation for buildings with different initial energy ratings is shown in table </w:t>
      </w:r>
      <w:r>
        <w:rPr>
          <w:lang w:eastAsia="en-US"/>
        </w:rPr>
        <w:fldChar w:fldCharType="begin"/>
      </w:r>
      <w:r>
        <w:rPr>
          <w:lang w:eastAsia="en-US"/>
        </w:rPr>
        <w:instrText xml:space="preserve"> REF _Caption5260 </w:instrText>
      </w:r>
      <w:r>
        <w:rPr>
          <w:lang w:eastAsia="en-US"/>
        </w:rPr>
        <w:fldChar w:fldCharType="separate"/>
      </w:r>
      <w:r w:rsidR="00AD3561">
        <w:rPr>
          <w:noProof/>
        </w:rPr>
        <w:t>4.8</w:t>
      </w:r>
      <w:r>
        <w:rPr>
          <w:lang w:eastAsia="en-US"/>
        </w:rPr>
        <w:fldChar w:fldCharType="end"/>
      </w:r>
      <w:r>
        <w:rPr>
          <w:lang w:eastAsia="en-US"/>
        </w:rPr>
        <w:t>. Buildings with low initial ratings have had larger reductions in energy use, despite often only being rated twice within the CBD Program period.</w:t>
      </w:r>
    </w:p>
    <w:p w14:paraId="07791A29" w14:textId="551814F1" w:rsidR="00ED0E85" w:rsidRDefault="00ED0E85" w:rsidP="00ED0E85">
      <w:pPr>
        <w:pStyle w:val="Caption"/>
      </w:pPr>
      <w:r>
        <w:fldChar w:fldCharType="begin"/>
      </w:r>
      <w:r>
        <w:instrText xml:space="preserve"> IF 1 = 1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4</w:instrText>
      </w:r>
      <w:r>
        <w:rPr>
          <w:noProof/>
        </w:rPr>
        <w:fldChar w:fldCharType="end"/>
      </w:r>
      <w:r>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4</w:instrText>
      </w:r>
      <w:r>
        <w:rPr>
          <w:noProof/>
        </w:rPr>
        <w:fldChar w:fldCharType="end"/>
      </w:r>
      <w:r>
        <w:instrText xml:space="preserve">." </w:instrText>
      </w:r>
      <w:r>
        <w:fldChar w:fldCharType="separate"/>
      </w:r>
      <w:r w:rsidR="00AD3561">
        <w:rPr>
          <w:noProof/>
        </w:rPr>
        <w:instrText>4.</w:instrText>
      </w:r>
      <w:r>
        <w:fldChar w:fldCharType="end"/>
      </w:r>
      <w:r>
        <w:instrText>" "</w:instrText>
      </w:r>
      <w:r w:rsidR="00C353B5">
        <w:fldChar w:fldCharType="begin"/>
      </w:r>
      <w:r w:rsidR="00C353B5">
        <w:instrText xml:space="preserve"> STYLEREF "Heading 6" \l \n </w:instrText>
      </w:r>
      <w:r w:rsidR="00C353B5">
        <w:fldChar w:fldCharType="separate"/>
      </w:r>
      <w:r>
        <w:instrText>B</w:instrText>
      </w:r>
      <w:r w:rsidR="00C353B5">
        <w:fldChar w:fldCharType="end"/>
      </w:r>
      <w:r>
        <w:instrText xml:space="preserve">." </w:instrText>
      </w:r>
      <w:r>
        <w:fldChar w:fldCharType="separate"/>
      </w:r>
      <w:r w:rsidR="00C353B5">
        <w:rPr>
          <w:noProof/>
        </w:rPr>
        <w:instrText>4.</w:instrText>
      </w:r>
      <w:r>
        <w:fldChar w:fldCharType="end"/>
      </w:r>
      <w:r>
        <w:fldChar w:fldCharType="begin"/>
      </w:r>
      <w:r>
        <w:instrText xml:space="preserve"> SEQ Item \* ARABIC \s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4</w:instrText>
      </w:r>
      <w:r>
        <w:rPr>
          <w:noProof/>
        </w:rPr>
        <w:fldChar w:fldCharType="end"/>
      </w:r>
      <w:r>
        <w:instrText xml:space="preserve"> = 0 "" "1" </w:instrText>
      </w:r>
      <w:r>
        <w:fldChar w:fldCharType="separate"/>
      </w:r>
      <w:r w:rsidR="00C353B5">
        <w:rPr>
          <w:noProof/>
        </w:rPr>
        <w:instrText>1</w:instrText>
      </w:r>
      <w:r>
        <w:fldChar w:fldCharType="end"/>
      </w:r>
      <w:r>
        <w:instrText xml:space="preserve">" "6" </w:instrText>
      </w:r>
      <w:r>
        <w:fldChar w:fldCharType="separate"/>
      </w:r>
      <w:r w:rsidR="00C353B5">
        <w:rPr>
          <w:noProof/>
        </w:rPr>
        <w:instrText>1</w:instrText>
      </w:r>
      <w:r>
        <w:fldChar w:fldCharType="end"/>
      </w:r>
      <w:r>
        <w:instrText xml:space="preserve"> </w:instrText>
      </w:r>
      <w:r>
        <w:fldChar w:fldCharType="separate"/>
      </w:r>
      <w:r w:rsidR="00AD3561">
        <w:rPr>
          <w:noProof/>
        </w:rPr>
        <w:instrText>8</w:instrText>
      </w:r>
      <w:r>
        <w:fldChar w:fldCharType="end"/>
      </w:r>
      <w:r>
        <w:instrText xml:space="preserve">" "" </w:instrText>
      </w:r>
      <w:r>
        <w:fldChar w:fldCharType="separate"/>
      </w:r>
      <w:bookmarkStart w:id="1874" w:name="_Caption9416"/>
      <w:bookmarkStart w:id="1875" w:name="_Caption6824"/>
      <w:bookmarkStart w:id="1876" w:name="_Caption1151"/>
      <w:bookmarkStart w:id="1877" w:name="_Caption5541"/>
      <w:bookmarkStart w:id="1878" w:name="_Caption9165"/>
      <w:bookmarkStart w:id="1879" w:name="_Caption7663"/>
      <w:bookmarkStart w:id="1880" w:name="_Caption1786"/>
      <w:bookmarkStart w:id="1881" w:name="_Caption7641"/>
      <w:bookmarkStart w:id="1882" w:name="_Caption1692"/>
      <w:bookmarkStart w:id="1883" w:name="_Caption6271"/>
      <w:bookmarkStart w:id="1884" w:name="_Caption2026"/>
      <w:bookmarkStart w:id="1885" w:name="_Caption4497"/>
      <w:bookmarkStart w:id="1886" w:name="_Caption1474"/>
      <w:bookmarkStart w:id="1887" w:name="_Caption2780"/>
      <w:bookmarkStart w:id="1888" w:name="_Caption1500"/>
      <w:bookmarkStart w:id="1889" w:name="_Caption8736"/>
      <w:bookmarkStart w:id="1890" w:name="_Caption0816"/>
      <w:bookmarkStart w:id="1891" w:name="_Caption3817"/>
      <w:bookmarkStart w:id="1892" w:name="_Caption5311"/>
      <w:bookmarkStart w:id="1893" w:name="_Caption0578"/>
      <w:bookmarkStart w:id="1894" w:name="_Caption5503"/>
      <w:bookmarkStart w:id="1895" w:name="_Caption1889"/>
      <w:bookmarkStart w:id="1896" w:name="_Caption1567"/>
      <w:bookmarkStart w:id="1897" w:name="_Caption4071"/>
      <w:bookmarkStart w:id="1898" w:name="_Caption3663"/>
      <w:bookmarkStart w:id="1899" w:name="_Caption1449"/>
      <w:bookmarkStart w:id="1900" w:name="_Caption1513"/>
      <w:bookmarkStart w:id="1901" w:name="_Caption5841"/>
      <w:bookmarkStart w:id="1902" w:name="_Caption1635"/>
      <w:bookmarkStart w:id="1903" w:name="_Caption1142"/>
      <w:bookmarkStart w:id="1904" w:name="_Caption2864"/>
      <w:bookmarkStart w:id="1905" w:name="_Caption3745"/>
      <w:bookmarkStart w:id="1906" w:name="_Caption6760"/>
      <w:bookmarkStart w:id="1907" w:name="_Caption4995"/>
      <w:bookmarkStart w:id="1908" w:name="_Caption9756"/>
      <w:bookmarkStart w:id="1909" w:name="_Caption3606"/>
      <w:bookmarkStart w:id="1910" w:name="_Caption3839"/>
      <w:bookmarkStart w:id="1911" w:name="_Caption3170"/>
      <w:bookmarkStart w:id="1912" w:name="_Caption0400"/>
      <w:bookmarkStart w:id="1913" w:name="_Caption7448"/>
      <w:bookmarkStart w:id="1914" w:name="_Caption7816"/>
      <w:bookmarkStart w:id="1915" w:name="_Caption5134"/>
      <w:bookmarkStart w:id="1916" w:name="_Caption6155"/>
      <w:bookmarkStart w:id="1917" w:name="_Caption7105"/>
      <w:bookmarkStart w:id="1918" w:name="_Caption5349"/>
      <w:bookmarkStart w:id="1919" w:name="_Caption9755"/>
      <w:bookmarkStart w:id="1920" w:name="_Caption5260"/>
      <w:bookmarkStart w:id="1921" w:name="_Caption1606"/>
      <w:bookmarkStart w:id="1922" w:name="_Caption2877"/>
      <w:bookmarkStart w:id="1923" w:name="_Caption5295"/>
      <w:bookmarkStart w:id="1924" w:name="_Caption1234"/>
      <w:bookmarkStart w:id="1925" w:name="_Caption3070"/>
      <w:bookmarkStart w:id="1926" w:name="_Caption1435"/>
      <w:bookmarkStart w:id="1927" w:name="_Caption0650"/>
      <w:bookmarkStart w:id="1928" w:name="_Caption9025"/>
      <w:bookmarkStart w:id="1929" w:name="_Caption6588"/>
      <w:bookmarkStart w:id="1930" w:name="_Caption2564"/>
      <w:bookmarkStart w:id="1931" w:name="_Caption0683"/>
      <w:bookmarkStart w:id="1932" w:name="_Caption6424"/>
      <w:bookmarkStart w:id="1933" w:name="_Caption0934"/>
      <w:bookmarkStart w:id="1934" w:name="_Caption1910"/>
      <w:bookmarkStart w:id="1935" w:name="_Caption8240"/>
      <w:bookmarkStart w:id="1936" w:name="_Caption2303"/>
      <w:bookmarkStart w:id="1937" w:name="_Caption4024"/>
      <w:bookmarkStart w:id="1938" w:name="_Caption6323"/>
      <w:bookmarkStart w:id="1939" w:name="_Caption1812"/>
      <w:bookmarkStart w:id="1940" w:name="_Caption7859"/>
      <w:bookmarkStart w:id="1941" w:name="_Caption8154"/>
      <w:bookmarkStart w:id="1942" w:name="_Caption5169"/>
      <w:bookmarkStart w:id="1943" w:name="_Caption5752"/>
      <w:bookmarkStart w:id="1944" w:name="_Caption3871"/>
      <w:bookmarkStart w:id="1945" w:name="_Caption8950"/>
      <w:bookmarkStart w:id="1946" w:name="_Caption7715"/>
      <w:bookmarkStart w:id="1947" w:name="_Caption6171"/>
      <w:bookmarkStart w:id="1948" w:name="_Caption9267"/>
      <w:bookmarkStart w:id="1949" w:name="_Caption2855"/>
      <w:bookmarkStart w:id="1950" w:name="_Caption2296"/>
      <w:bookmarkStart w:id="1951" w:name="_Caption6716"/>
      <w:bookmarkStart w:id="1952" w:name="_Caption6245"/>
      <w:bookmarkStart w:id="1953" w:name="_Caption0641"/>
      <w:bookmarkStart w:id="1954" w:name="_Caption2029"/>
      <w:bookmarkStart w:id="1955" w:name="_Caption1454"/>
      <w:bookmarkStart w:id="1956" w:name="_Caption5299"/>
      <w:bookmarkStart w:id="1957" w:name="_Caption3557"/>
      <w:bookmarkStart w:id="1958" w:name="_Caption1997"/>
      <w:bookmarkStart w:id="1959" w:name="_Caption6622"/>
      <w:bookmarkStart w:id="1960" w:name="_Caption3857"/>
      <w:bookmarkStart w:id="1961" w:name="_Caption8245"/>
      <w:bookmarkStart w:id="1962" w:name="_Caption1433"/>
      <w:bookmarkStart w:id="1963" w:name="_Caption1613"/>
      <w:bookmarkStart w:id="1964" w:name="_Caption6172"/>
      <w:bookmarkStart w:id="1965" w:name="_Caption9610"/>
      <w:bookmarkStart w:id="1966" w:name="_Caption5694"/>
      <w:bookmarkStart w:id="1967" w:name="_Toc19275577"/>
      <w:bookmarkStart w:id="1968" w:name="_Toc19276187"/>
      <w:bookmarkStart w:id="1969" w:name="_Toc19280186"/>
      <w:r w:rsidR="00C353B5">
        <w:rPr>
          <w:noProof/>
        </w:rPr>
        <w:t>4.8</w:t>
      </w:r>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r>
        <w:fldChar w:fldCharType="end"/>
      </w:r>
      <w:r>
        <w:tab/>
        <w:t>Changes for buildings based on initial star rating</w:t>
      </w:r>
      <w:bookmarkEnd w:id="1967"/>
      <w:bookmarkEnd w:id="1968"/>
      <w:bookmarkEnd w:id="1969"/>
    </w:p>
    <w:tbl>
      <w:tblPr>
        <w:tblW w:w="7935" w:type="dxa"/>
        <w:tblLook w:val="04A0" w:firstRow="1" w:lastRow="0" w:firstColumn="1" w:lastColumn="0" w:noHBand="0" w:noVBand="1"/>
      </w:tblPr>
      <w:tblGrid>
        <w:gridCol w:w="1587"/>
        <w:gridCol w:w="1587"/>
        <w:gridCol w:w="1587"/>
        <w:gridCol w:w="1587"/>
        <w:gridCol w:w="1587"/>
      </w:tblGrid>
      <w:tr w:rsidR="00ED0E85" w14:paraId="14214F95" w14:textId="77777777" w:rsidTr="00ED0E85">
        <w:trPr>
          <w:trHeight w:val="250"/>
        </w:trPr>
        <w:tc>
          <w:tcPr>
            <w:tcW w:w="1587" w:type="dxa"/>
            <w:shd w:val="clear" w:color="auto" w:fill="6F6652"/>
            <w:noWrap/>
            <w:tcMar>
              <w:top w:w="0" w:type="dxa"/>
              <w:left w:w="57" w:type="dxa"/>
              <w:bottom w:w="0" w:type="dxa"/>
              <w:right w:w="57" w:type="dxa"/>
            </w:tcMar>
            <w:hideMark/>
          </w:tcPr>
          <w:p w14:paraId="4BED577B" w14:textId="77777777" w:rsidR="00ED0E85" w:rsidRDefault="00ED0E85" w:rsidP="00ED0E85">
            <w:pPr>
              <w:pStyle w:val="TableDataColumnHeading"/>
              <w:jc w:val="left"/>
            </w:pPr>
            <w:r>
              <w:t>First star rating</w:t>
            </w:r>
          </w:p>
        </w:tc>
        <w:tc>
          <w:tcPr>
            <w:tcW w:w="1587" w:type="dxa"/>
            <w:shd w:val="clear" w:color="auto" w:fill="6F6652"/>
            <w:noWrap/>
            <w:tcMar>
              <w:top w:w="0" w:type="dxa"/>
              <w:left w:w="57" w:type="dxa"/>
              <w:bottom w:w="0" w:type="dxa"/>
              <w:right w:w="57" w:type="dxa"/>
            </w:tcMar>
            <w:hideMark/>
          </w:tcPr>
          <w:p w14:paraId="6B41F98D" w14:textId="77777777" w:rsidR="00ED0E85" w:rsidRDefault="00ED0E85" w:rsidP="00ED0E85">
            <w:pPr>
              <w:pStyle w:val="TableDataColumnHeading"/>
            </w:pPr>
            <w:r>
              <w:t>Number of buildings</w:t>
            </w:r>
          </w:p>
        </w:tc>
        <w:tc>
          <w:tcPr>
            <w:tcW w:w="1587" w:type="dxa"/>
            <w:shd w:val="clear" w:color="auto" w:fill="6F6652"/>
            <w:noWrap/>
            <w:tcMar>
              <w:top w:w="0" w:type="dxa"/>
              <w:left w:w="57" w:type="dxa"/>
              <w:bottom w:w="0" w:type="dxa"/>
              <w:right w:w="57" w:type="dxa"/>
            </w:tcMar>
            <w:hideMark/>
          </w:tcPr>
          <w:p w14:paraId="5D0F7754" w14:textId="77777777" w:rsidR="00ED0E85" w:rsidRDefault="00ED0E85" w:rsidP="00ED0E85">
            <w:pPr>
              <w:pStyle w:val="TableDataColumnHeading"/>
            </w:pPr>
            <w:r>
              <w:t>Average number of ratings</w:t>
            </w:r>
          </w:p>
        </w:tc>
        <w:tc>
          <w:tcPr>
            <w:tcW w:w="1587" w:type="dxa"/>
            <w:shd w:val="clear" w:color="auto" w:fill="6F6652"/>
            <w:noWrap/>
            <w:tcMar>
              <w:top w:w="0" w:type="dxa"/>
              <w:left w:w="57" w:type="dxa"/>
              <w:bottom w:w="0" w:type="dxa"/>
              <w:right w:w="57" w:type="dxa"/>
            </w:tcMar>
            <w:hideMark/>
          </w:tcPr>
          <w:p w14:paraId="3561BAF1" w14:textId="77777777" w:rsidR="00ED0E85" w:rsidRDefault="00ED0E85" w:rsidP="00ED0E85">
            <w:pPr>
              <w:pStyle w:val="TableDataColumnHeading"/>
            </w:pPr>
            <w:r>
              <w:t>Change in star rating</w:t>
            </w:r>
          </w:p>
        </w:tc>
        <w:tc>
          <w:tcPr>
            <w:tcW w:w="1587" w:type="dxa"/>
            <w:shd w:val="clear" w:color="auto" w:fill="6F6652"/>
            <w:noWrap/>
            <w:tcMar>
              <w:top w:w="0" w:type="dxa"/>
              <w:left w:w="57" w:type="dxa"/>
              <w:bottom w:w="0" w:type="dxa"/>
              <w:right w:w="57" w:type="dxa"/>
            </w:tcMar>
            <w:hideMark/>
          </w:tcPr>
          <w:p w14:paraId="014D78D6" w14:textId="77777777" w:rsidR="00ED0E85" w:rsidRDefault="00ED0E85" w:rsidP="00ED0E85">
            <w:pPr>
              <w:pStyle w:val="TableDataColumnHeading"/>
            </w:pPr>
            <w:r>
              <w:t>Change in energy intensity</w:t>
            </w:r>
          </w:p>
        </w:tc>
      </w:tr>
      <w:tr w:rsidR="00ED0E85" w14:paraId="074151D9" w14:textId="77777777" w:rsidTr="00ED0E85">
        <w:trPr>
          <w:trHeight w:val="250"/>
        </w:trPr>
        <w:tc>
          <w:tcPr>
            <w:tcW w:w="1587" w:type="dxa"/>
            <w:tcBorders>
              <w:top w:val="nil"/>
              <w:left w:val="nil"/>
              <w:bottom w:val="single" w:sz="8" w:space="0" w:color="FFFFFF" w:themeColor="background1"/>
              <w:right w:val="nil"/>
            </w:tcBorders>
            <w:noWrap/>
            <w:tcMar>
              <w:top w:w="0" w:type="dxa"/>
              <w:left w:w="57" w:type="dxa"/>
              <w:bottom w:w="0" w:type="dxa"/>
              <w:right w:w="57" w:type="dxa"/>
            </w:tcMar>
            <w:hideMark/>
          </w:tcPr>
          <w:p w14:paraId="5CF6D68D" w14:textId="77777777" w:rsidR="00ED0E85" w:rsidRDefault="00ED0E85" w:rsidP="00ED0E85"/>
        </w:tc>
        <w:tc>
          <w:tcPr>
            <w:tcW w:w="1587" w:type="dxa"/>
            <w:tcBorders>
              <w:top w:val="nil"/>
              <w:left w:val="nil"/>
              <w:bottom w:val="single" w:sz="8" w:space="0" w:color="FFFFFF" w:themeColor="background1"/>
              <w:right w:val="nil"/>
            </w:tcBorders>
            <w:noWrap/>
            <w:tcMar>
              <w:top w:w="0" w:type="dxa"/>
              <w:left w:w="57" w:type="dxa"/>
              <w:bottom w:w="0" w:type="dxa"/>
              <w:right w:w="57" w:type="dxa"/>
            </w:tcMar>
            <w:hideMark/>
          </w:tcPr>
          <w:p w14:paraId="0491D93F" w14:textId="77777777" w:rsidR="00ED0E85" w:rsidRDefault="00ED0E85" w:rsidP="00ED0E85">
            <w:pPr>
              <w:pStyle w:val="TableUnit"/>
            </w:pPr>
            <w:r>
              <w:t>No.</w:t>
            </w:r>
          </w:p>
        </w:tc>
        <w:tc>
          <w:tcPr>
            <w:tcW w:w="1587" w:type="dxa"/>
            <w:tcBorders>
              <w:top w:val="nil"/>
              <w:left w:val="nil"/>
              <w:bottom w:val="single" w:sz="8" w:space="0" w:color="FFFFFF" w:themeColor="background1"/>
              <w:right w:val="nil"/>
            </w:tcBorders>
            <w:noWrap/>
            <w:tcMar>
              <w:top w:w="0" w:type="dxa"/>
              <w:left w:w="57" w:type="dxa"/>
              <w:bottom w:w="0" w:type="dxa"/>
              <w:right w:w="57" w:type="dxa"/>
            </w:tcMar>
            <w:hideMark/>
          </w:tcPr>
          <w:p w14:paraId="6A4804F9" w14:textId="77777777" w:rsidR="00ED0E85" w:rsidRDefault="00ED0E85" w:rsidP="00ED0E85">
            <w:pPr>
              <w:pStyle w:val="TableUnit"/>
            </w:pPr>
            <w:r>
              <w:t>No.</w:t>
            </w:r>
          </w:p>
        </w:tc>
        <w:tc>
          <w:tcPr>
            <w:tcW w:w="1587" w:type="dxa"/>
            <w:tcBorders>
              <w:top w:val="nil"/>
              <w:left w:val="nil"/>
              <w:bottom w:val="single" w:sz="8" w:space="0" w:color="FFFFFF" w:themeColor="background1"/>
              <w:right w:val="nil"/>
            </w:tcBorders>
            <w:noWrap/>
            <w:tcMar>
              <w:top w:w="0" w:type="dxa"/>
              <w:left w:w="57" w:type="dxa"/>
              <w:bottom w:w="0" w:type="dxa"/>
              <w:right w:w="57" w:type="dxa"/>
            </w:tcMar>
            <w:hideMark/>
          </w:tcPr>
          <w:p w14:paraId="67F3C269" w14:textId="77777777" w:rsidR="00ED0E85" w:rsidRDefault="00ED0E85" w:rsidP="00ED0E85">
            <w:pPr>
              <w:pStyle w:val="TableUnit"/>
            </w:pPr>
            <w:r>
              <w:t>Stars</w:t>
            </w:r>
          </w:p>
        </w:tc>
        <w:tc>
          <w:tcPr>
            <w:tcW w:w="1587" w:type="dxa"/>
            <w:tcBorders>
              <w:top w:val="nil"/>
              <w:left w:val="nil"/>
              <w:bottom w:val="single" w:sz="8" w:space="0" w:color="FFFFFF" w:themeColor="background1"/>
              <w:right w:val="nil"/>
            </w:tcBorders>
            <w:noWrap/>
            <w:tcMar>
              <w:top w:w="0" w:type="dxa"/>
              <w:left w:w="57" w:type="dxa"/>
              <w:bottom w:w="0" w:type="dxa"/>
              <w:right w:w="57" w:type="dxa"/>
            </w:tcMar>
            <w:hideMark/>
          </w:tcPr>
          <w:p w14:paraId="0D761CF3" w14:textId="77777777" w:rsidR="00ED0E85" w:rsidRDefault="00ED0E85" w:rsidP="00ED0E85">
            <w:pPr>
              <w:pStyle w:val="TableUnit"/>
            </w:pPr>
            <w:r>
              <w:t>MJ/m</w:t>
            </w:r>
            <w:r w:rsidRPr="003A10E6">
              <w:rPr>
                <w:vertAlign w:val="superscript"/>
              </w:rPr>
              <w:t>2</w:t>
            </w:r>
          </w:p>
        </w:tc>
      </w:tr>
      <w:tr w:rsidR="00ED0E85" w14:paraId="7A726CF9" w14:textId="77777777" w:rsidTr="00ED0E85">
        <w:trPr>
          <w:trHeight w:val="250"/>
        </w:trPr>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FEDB4D1" w14:textId="77777777" w:rsidR="00ED0E85" w:rsidRDefault="00ED0E85" w:rsidP="00ED0E85">
            <w:pPr>
              <w:pStyle w:val="TableDataEntries"/>
              <w:jc w:val="left"/>
            </w:pPr>
            <w:r>
              <w:t>0</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D3E9E9B" w14:textId="77777777" w:rsidR="00ED0E85" w:rsidRDefault="00ED0E85" w:rsidP="00ED0E85">
            <w:pPr>
              <w:pStyle w:val="TableDataEntries"/>
            </w:pPr>
            <w:r>
              <w:t>41</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6574A58" w14:textId="77777777" w:rsidR="00ED0E85" w:rsidRDefault="00ED0E85" w:rsidP="00ED0E85">
            <w:pPr>
              <w:pStyle w:val="TableDataEntries"/>
            </w:pPr>
            <w:r>
              <w:t>2.1</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DCBE7FC" w14:textId="77777777" w:rsidR="00ED0E85" w:rsidRDefault="00ED0E85" w:rsidP="00ED0E85">
            <w:pPr>
              <w:pStyle w:val="TableDataEntries"/>
            </w:pPr>
            <w:r>
              <w:t>1.6</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28F9C78" w14:textId="77777777" w:rsidR="00ED0E85" w:rsidRDefault="00ED0E85" w:rsidP="00ED0E85">
            <w:pPr>
              <w:pStyle w:val="TableDataEntries"/>
            </w:pPr>
            <w:r>
              <w:t>-176</w:t>
            </w:r>
          </w:p>
        </w:tc>
      </w:tr>
      <w:tr w:rsidR="00ED0E85" w14:paraId="2256C94A" w14:textId="77777777" w:rsidTr="00ED0E85">
        <w:trPr>
          <w:trHeight w:val="250"/>
        </w:trPr>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2CB944E" w14:textId="77777777" w:rsidR="00ED0E85" w:rsidRDefault="00ED0E85" w:rsidP="00ED0E85">
            <w:pPr>
              <w:pStyle w:val="TableDataEntries"/>
              <w:jc w:val="left"/>
            </w:pPr>
            <w:r>
              <w:t>1</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70533F4" w14:textId="77777777" w:rsidR="00ED0E85" w:rsidRDefault="00ED0E85" w:rsidP="00ED0E85">
            <w:pPr>
              <w:pStyle w:val="TableDataEntries"/>
            </w:pPr>
            <w:r>
              <w:t>22</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DA6D349" w14:textId="77777777" w:rsidR="00ED0E85" w:rsidRDefault="00ED0E85" w:rsidP="00ED0E85">
            <w:pPr>
              <w:pStyle w:val="TableDataEntries"/>
            </w:pPr>
            <w:r>
              <w:t>2.0</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4046179" w14:textId="77777777" w:rsidR="00ED0E85" w:rsidRDefault="00ED0E85" w:rsidP="00ED0E85">
            <w:pPr>
              <w:pStyle w:val="TableDataEntries"/>
            </w:pPr>
            <w:r>
              <w:t>1.6</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71C4383" w14:textId="77777777" w:rsidR="00ED0E85" w:rsidRDefault="00ED0E85" w:rsidP="00ED0E85">
            <w:pPr>
              <w:pStyle w:val="TableDataEntries"/>
            </w:pPr>
            <w:r>
              <w:t>-184</w:t>
            </w:r>
          </w:p>
        </w:tc>
      </w:tr>
      <w:tr w:rsidR="00ED0E85" w14:paraId="561C1C3D" w14:textId="77777777" w:rsidTr="00ED0E85">
        <w:trPr>
          <w:trHeight w:val="250"/>
        </w:trPr>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674E768" w14:textId="77777777" w:rsidR="00ED0E85" w:rsidRDefault="00ED0E85" w:rsidP="00ED0E85">
            <w:pPr>
              <w:pStyle w:val="TableDataEntries"/>
              <w:jc w:val="left"/>
            </w:pPr>
            <w:r>
              <w:t>1.5</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DDE8494" w14:textId="77777777" w:rsidR="00ED0E85" w:rsidRDefault="00ED0E85" w:rsidP="00ED0E85">
            <w:pPr>
              <w:pStyle w:val="TableDataEntries"/>
            </w:pPr>
            <w:r>
              <w:t>40</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C910F16" w14:textId="77777777" w:rsidR="00ED0E85" w:rsidRDefault="00ED0E85" w:rsidP="00ED0E85">
            <w:pPr>
              <w:pStyle w:val="TableDataEntries"/>
            </w:pPr>
            <w:r>
              <w:t>2.7</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3FC996E" w14:textId="77777777" w:rsidR="00ED0E85" w:rsidRDefault="00ED0E85" w:rsidP="00ED0E85">
            <w:pPr>
              <w:pStyle w:val="TableDataEntries"/>
            </w:pPr>
            <w:r>
              <w:t>1.4</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C96F404" w14:textId="77777777" w:rsidR="00ED0E85" w:rsidRDefault="00ED0E85" w:rsidP="00ED0E85">
            <w:pPr>
              <w:pStyle w:val="TableDataEntries"/>
            </w:pPr>
            <w:r>
              <w:t>-203</w:t>
            </w:r>
          </w:p>
        </w:tc>
      </w:tr>
      <w:tr w:rsidR="00ED0E85" w14:paraId="5D5B9C8B" w14:textId="77777777" w:rsidTr="00ED0E85">
        <w:trPr>
          <w:trHeight w:val="250"/>
        </w:trPr>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F742163" w14:textId="77777777" w:rsidR="00ED0E85" w:rsidRDefault="00ED0E85" w:rsidP="00ED0E85">
            <w:pPr>
              <w:pStyle w:val="TableDataEntries"/>
              <w:jc w:val="left"/>
            </w:pPr>
            <w:r>
              <w:t>2</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531828B" w14:textId="77777777" w:rsidR="00ED0E85" w:rsidRDefault="00ED0E85" w:rsidP="00ED0E85">
            <w:pPr>
              <w:pStyle w:val="TableDataEntries"/>
            </w:pPr>
            <w:r>
              <w:t>64</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769F574" w14:textId="77777777" w:rsidR="00ED0E85" w:rsidRDefault="00ED0E85" w:rsidP="00ED0E85">
            <w:pPr>
              <w:pStyle w:val="TableDataEntries"/>
            </w:pPr>
            <w:r>
              <w:t>2.6</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6FA0670" w14:textId="77777777" w:rsidR="00ED0E85" w:rsidRDefault="00ED0E85" w:rsidP="00ED0E85">
            <w:pPr>
              <w:pStyle w:val="TableDataEntries"/>
            </w:pPr>
            <w:r>
              <w:t>0.9</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0D59901" w14:textId="77777777" w:rsidR="00ED0E85" w:rsidRDefault="00ED0E85" w:rsidP="00ED0E85">
            <w:pPr>
              <w:pStyle w:val="TableDataEntries"/>
            </w:pPr>
            <w:r>
              <w:t>-123</w:t>
            </w:r>
          </w:p>
        </w:tc>
      </w:tr>
      <w:tr w:rsidR="00ED0E85" w14:paraId="44F46976" w14:textId="77777777" w:rsidTr="00ED0E85">
        <w:trPr>
          <w:trHeight w:val="250"/>
        </w:trPr>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E9170E4" w14:textId="77777777" w:rsidR="00ED0E85" w:rsidRDefault="00ED0E85" w:rsidP="00ED0E85">
            <w:pPr>
              <w:pStyle w:val="TableDataEntries"/>
              <w:jc w:val="left"/>
            </w:pPr>
            <w:r>
              <w:t>2.5</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CA49FFD" w14:textId="77777777" w:rsidR="00ED0E85" w:rsidRDefault="00ED0E85" w:rsidP="00ED0E85">
            <w:pPr>
              <w:pStyle w:val="TableDataEntries"/>
            </w:pPr>
            <w:r>
              <w:t>89</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29A797C" w14:textId="77777777" w:rsidR="00ED0E85" w:rsidRDefault="00ED0E85" w:rsidP="00ED0E85">
            <w:pPr>
              <w:pStyle w:val="TableDataEntries"/>
            </w:pPr>
            <w:r>
              <w:t>3.1</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B337C50" w14:textId="77777777" w:rsidR="00ED0E85" w:rsidRDefault="00ED0E85" w:rsidP="00ED0E85">
            <w:pPr>
              <w:pStyle w:val="TableDataEntries"/>
            </w:pPr>
            <w:r>
              <w:t>0.7</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134E2FA" w14:textId="77777777" w:rsidR="00ED0E85" w:rsidRDefault="00ED0E85" w:rsidP="00ED0E85">
            <w:pPr>
              <w:pStyle w:val="TableDataEntries"/>
            </w:pPr>
            <w:r>
              <w:t>-120</w:t>
            </w:r>
          </w:p>
        </w:tc>
      </w:tr>
      <w:tr w:rsidR="00ED0E85" w14:paraId="6628107B" w14:textId="77777777" w:rsidTr="00ED0E85">
        <w:trPr>
          <w:trHeight w:val="250"/>
        </w:trPr>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F7EA922" w14:textId="77777777" w:rsidR="00ED0E85" w:rsidRDefault="00ED0E85" w:rsidP="00ED0E85">
            <w:pPr>
              <w:pStyle w:val="TableDataEntries"/>
              <w:jc w:val="left"/>
            </w:pPr>
            <w:r>
              <w:t>3</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92B7250" w14:textId="77777777" w:rsidR="00ED0E85" w:rsidRDefault="00ED0E85" w:rsidP="00ED0E85">
            <w:pPr>
              <w:pStyle w:val="TableDataEntries"/>
            </w:pPr>
            <w:r>
              <w:t>100</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2CD55BB" w14:textId="77777777" w:rsidR="00ED0E85" w:rsidRDefault="00ED0E85" w:rsidP="00ED0E85">
            <w:pPr>
              <w:pStyle w:val="TableDataEntries"/>
            </w:pPr>
            <w:r>
              <w:t>3.4</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A5ECBA3" w14:textId="77777777" w:rsidR="00ED0E85" w:rsidRDefault="00ED0E85" w:rsidP="00ED0E85">
            <w:pPr>
              <w:pStyle w:val="TableDataEntries"/>
            </w:pPr>
            <w:r>
              <w:t>0.8</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1B70ADA" w14:textId="77777777" w:rsidR="00ED0E85" w:rsidRDefault="00ED0E85" w:rsidP="00ED0E85">
            <w:pPr>
              <w:pStyle w:val="TableDataEntries"/>
            </w:pPr>
            <w:r>
              <w:t>-90</w:t>
            </w:r>
          </w:p>
        </w:tc>
      </w:tr>
      <w:tr w:rsidR="00ED0E85" w14:paraId="74A25FC8" w14:textId="77777777" w:rsidTr="00ED0E85">
        <w:trPr>
          <w:trHeight w:val="250"/>
        </w:trPr>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A0D1CDF" w14:textId="77777777" w:rsidR="00ED0E85" w:rsidRDefault="00ED0E85" w:rsidP="00ED0E85">
            <w:pPr>
              <w:pStyle w:val="TableDataEntries"/>
              <w:jc w:val="left"/>
            </w:pPr>
            <w:r>
              <w:t>3.5</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4196DDA" w14:textId="77777777" w:rsidR="00ED0E85" w:rsidRDefault="00ED0E85" w:rsidP="00ED0E85">
            <w:pPr>
              <w:pStyle w:val="TableDataEntries"/>
            </w:pPr>
            <w:r>
              <w:t>143</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E98320A" w14:textId="77777777" w:rsidR="00ED0E85" w:rsidRDefault="00ED0E85" w:rsidP="00ED0E85">
            <w:pPr>
              <w:pStyle w:val="TableDataEntries"/>
            </w:pPr>
            <w:r>
              <w:t>3.5</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FC48E69" w14:textId="77777777" w:rsidR="00ED0E85" w:rsidRDefault="00ED0E85" w:rsidP="00ED0E85">
            <w:pPr>
              <w:pStyle w:val="TableDataEntries"/>
            </w:pPr>
            <w:r>
              <w:t>0.5</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29837D3" w14:textId="77777777" w:rsidR="00ED0E85" w:rsidRDefault="00ED0E85" w:rsidP="00ED0E85">
            <w:pPr>
              <w:pStyle w:val="TableDataEntries"/>
            </w:pPr>
            <w:r>
              <w:t>-68</w:t>
            </w:r>
          </w:p>
        </w:tc>
      </w:tr>
      <w:tr w:rsidR="00ED0E85" w14:paraId="0A4C1E4D" w14:textId="77777777" w:rsidTr="00ED0E85">
        <w:trPr>
          <w:trHeight w:val="250"/>
        </w:trPr>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4417C76" w14:textId="77777777" w:rsidR="00ED0E85" w:rsidRDefault="00ED0E85" w:rsidP="00ED0E85">
            <w:pPr>
              <w:pStyle w:val="TableDataEntries"/>
              <w:jc w:val="left"/>
            </w:pPr>
            <w:r>
              <w:t>4</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F5077A3" w14:textId="77777777" w:rsidR="00ED0E85" w:rsidRDefault="00ED0E85" w:rsidP="00ED0E85">
            <w:pPr>
              <w:pStyle w:val="TableDataEntries"/>
            </w:pPr>
            <w:r>
              <w:t>175</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D0A679B" w14:textId="77777777" w:rsidR="00ED0E85" w:rsidRDefault="00ED0E85" w:rsidP="00ED0E85">
            <w:pPr>
              <w:pStyle w:val="TableDataEntries"/>
            </w:pPr>
            <w:r>
              <w:t>3.7</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3357269" w14:textId="77777777" w:rsidR="00ED0E85" w:rsidRDefault="00ED0E85" w:rsidP="00ED0E85">
            <w:pPr>
              <w:pStyle w:val="TableDataEntries"/>
            </w:pPr>
            <w:r>
              <w:t>0.2</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472FC76" w14:textId="77777777" w:rsidR="00ED0E85" w:rsidRDefault="00ED0E85" w:rsidP="00ED0E85">
            <w:pPr>
              <w:pStyle w:val="TableDataEntries"/>
            </w:pPr>
            <w:r>
              <w:t>-36</w:t>
            </w:r>
          </w:p>
        </w:tc>
      </w:tr>
      <w:tr w:rsidR="00ED0E85" w14:paraId="067D31B2" w14:textId="77777777" w:rsidTr="00ED0E85">
        <w:trPr>
          <w:trHeight w:val="250"/>
        </w:trPr>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53324E0" w14:textId="77777777" w:rsidR="00ED0E85" w:rsidRDefault="00ED0E85" w:rsidP="00ED0E85">
            <w:pPr>
              <w:pStyle w:val="TableDataEntries"/>
              <w:jc w:val="left"/>
            </w:pPr>
            <w:r>
              <w:t>4.5</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61A61FE" w14:textId="77777777" w:rsidR="00ED0E85" w:rsidRDefault="00ED0E85" w:rsidP="00ED0E85">
            <w:pPr>
              <w:pStyle w:val="TableDataEntries"/>
            </w:pPr>
            <w:r>
              <w:t>183</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D2E2517" w14:textId="77777777" w:rsidR="00ED0E85" w:rsidRDefault="00ED0E85" w:rsidP="00ED0E85">
            <w:pPr>
              <w:pStyle w:val="TableDataEntries"/>
            </w:pPr>
            <w:r>
              <w:t>3.7</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E51B8B3" w14:textId="77777777" w:rsidR="00ED0E85" w:rsidRDefault="00ED0E85" w:rsidP="00ED0E85">
            <w:pPr>
              <w:pStyle w:val="TableDataEntries"/>
            </w:pPr>
            <w:r>
              <w:t>0.2</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027809A" w14:textId="77777777" w:rsidR="00ED0E85" w:rsidRDefault="00ED0E85" w:rsidP="00ED0E85">
            <w:pPr>
              <w:pStyle w:val="TableDataEntries"/>
            </w:pPr>
            <w:r>
              <w:t>-32</w:t>
            </w:r>
          </w:p>
        </w:tc>
      </w:tr>
      <w:tr w:rsidR="00ED0E85" w14:paraId="0C02E367" w14:textId="77777777" w:rsidTr="00ED0E85">
        <w:trPr>
          <w:trHeight w:val="250"/>
        </w:trPr>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BE8316A" w14:textId="77777777" w:rsidR="00ED0E85" w:rsidRDefault="00ED0E85" w:rsidP="00ED0E85">
            <w:pPr>
              <w:pStyle w:val="TableDataEntries"/>
              <w:jc w:val="left"/>
            </w:pPr>
            <w:r>
              <w:t>5</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5BC76C0" w14:textId="77777777" w:rsidR="00ED0E85" w:rsidRDefault="00ED0E85" w:rsidP="00ED0E85">
            <w:pPr>
              <w:pStyle w:val="TableDataEntries"/>
            </w:pPr>
            <w:r>
              <w:t>151</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A24831A" w14:textId="77777777" w:rsidR="00ED0E85" w:rsidRDefault="00ED0E85" w:rsidP="00ED0E85">
            <w:pPr>
              <w:pStyle w:val="TableDataEntries"/>
            </w:pPr>
            <w:r>
              <w:t>3.4</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5C6220F" w14:textId="77777777" w:rsidR="00ED0E85" w:rsidRDefault="00ED0E85" w:rsidP="00ED0E85">
            <w:pPr>
              <w:pStyle w:val="TableDataEntries"/>
            </w:pPr>
            <w:r>
              <w:t>0.0</w:t>
            </w:r>
          </w:p>
        </w:tc>
        <w:tc>
          <w:tcPr>
            <w:tcW w:w="158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D157A56" w14:textId="77777777" w:rsidR="00ED0E85" w:rsidRDefault="00ED0E85" w:rsidP="00ED0E85">
            <w:pPr>
              <w:pStyle w:val="TableDataEntries"/>
            </w:pPr>
            <w:r>
              <w:t>-17</w:t>
            </w:r>
          </w:p>
        </w:tc>
      </w:tr>
      <w:tr w:rsidR="00ED0E85" w14:paraId="1A07F753" w14:textId="77777777" w:rsidTr="00ED0E85">
        <w:trPr>
          <w:trHeight w:val="250"/>
        </w:trPr>
        <w:tc>
          <w:tcPr>
            <w:tcW w:w="1587"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65DA95B2" w14:textId="77777777" w:rsidR="00ED0E85" w:rsidRDefault="00ED0E85" w:rsidP="00ED0E85">
            <w:pPr>
              <w:pStyle w:val="TableDataEntries"/>
              <w:jc w:val="left"/>
            </w:pPr>
            <w:r>
              <w:t>&gt;5</w:t>
            </w:r>
          </w:p>
        </w:tc>
        <w:tc>
          <w:tcPr>
            <w:tcW w:w="1587"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0DADBF1C" w14:textId="77777777" w:rsidR="00ED0E85" w:rsidRDefault="00ED0E85" w:rsidP="00ED0E85">
            <w:pPr>
              <w:pStyle w:val="TableDataEntries"/>
            </w:pPr>
            <w:r>
              <w:t>42</w:t>
            </w:r>
          </w:p>
        </w:tc>
        <w:tc>
          <w:tcPr>
            <w:tcW w:w="1587"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5D8948CC" w14:textId="77777777" w:rsidR="00ED0E85" w:rsidRDefault="00ED0E85" w:rsidP="00ED0E85">
            <w:pPr>
              <w:pStyle w:val="TableDataEntries"/>
            </w:pPr>
            <w:r>
              <w:t>3.5</w:t>
            </w:r>
          </w:p>
        </w:tc>
        <w:tc>
          <w:tcPr>
            <w:tcW w:w="1587"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76BA99B7" w14:textId="77777777" w:rsidR="00ED0E85" w:rsidRDefault="00ED0E85" w:rsidP="00ED0E85">
            <w:pPr>
              <w:pStyle w:val="TableDataEntries"/>
            </w:pPr>
            <w:r>
              <w:t>-0.1</w:t>
            </w:r>
          </w:p>
        </w:tc>
        <w:tc>
          <w:tcPr>
            <w:tcW w:w="1587"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6FA7F8FD" w14:textId="77777777" w:rsidR="00ED0E85" w:rsidRDefault="00ED0E85" w:rsidP="00ED0E85">
            <w:pPr>
              <w:pStyle w:val="TableDataEntries"/>
            </w:pPr>
            <w:r>
              <w:t>-15</w:t>
            </w:r>
          </w:p>
        </w:tc>
      </w:tr>
    </w:tbl>
    <w:p w14:paraId="3EA7F6E8" w14:textId="77777777" w:rsidR="00ED0E85" w:rsidRDefault="00ED0E85" w:rsidP="00ED0E85">
      <w:pPr>
        <w:pStyle w:val="Note"/>
      </w:pPr>
      <w:r>
        <w:rPr>
          <w:i/>
        </w:rPr>
        <w:t xml:space="preserve">Note: </w:t>
      </w:r>
      <w:r>
        <w:t>This is for base buildings only. It excludes ratings where the area rated is less than 80 per cent of the maximum area rated. The change is from the first rating under the CBD Program to the last rating under the CBD Program.</w:t>
      </w:r>
    </w:p>
    <w:p w14:paraId="4CB7EE42" w14:textId="77777777" w:rsidR="00ED0E85" w:rsidRDefault="00ED0E85" w:rsidP="00ED0E85">
      <w:pPr>
        <w:pStyle w:val="Source"/>
      </w:pPr>
      <w:r>
        <w:rPr>
          <w:i/>
        </w:rPr>
        <w:t>Data source:</w:t>
      </w:r>
      <w:r>
        <w:t xml:space="preserve"> The CIE; CBD dataset.</w:t>
      </w:r>
    </w:p>
    <w:p w14:paraId="473C3ADC" w14:textId="77777777" w:rsidR="00ED0E85" w:rsidRDefault="00ED0E85" w:rsidP="00ED0E85">
      <w:pPr>
        <w:pStyle w:val="BodyText"/>
      </w:pPr>
      <w:r>
        <w:t>To more accurately estimate the impacts of obtaining successive BEECs, we have undertaken statistical modelling of the impacts, based on data from the CBD dataset, NABERS dataset, CityScope dataset and other data collated by the CIE. The overall findings are shown below, with Appendix C setting out the analysis in greater detail.</w:t>
      </w:r>
    </w:p>
    <w:p w14:paraId="6CAADE70" w14:textId="77777777" w:rsidR="00ED0E85" w:rsidRDefault="00ED0E85" w:rsidP="00ED0E85">
      <w:pPr>
        <w:pStyle w:val="BodyText"/>
        <w:rPr>
          <w:b/>
        </w:rPr>
      </w:pPr>
      <w:r>
        <w:t xml:space="preserve">The statistical analysis shows that typically, each additional NABERS rating generates an improvement in the star rating achieved </w:t>
      </w:r>
      <w:r>
        <w:rPr>
          <w:b/>
        </w:rPr>
        <w:t>~0.2 stars</w:t>
      </w:r>
      <w:r>
        <w:t>, and a reduction in energy use of ~</w:t>
      </w:r>
      <w:r>
        <w:rPr>
          <w:b/>
        </w:rPr>
        <w:t>20 MJ/m</w:t>
      </w:r>
      <w:r w:rsidRPr="009253DC">
        <w:rPr>
          <w:b/>
          <w:vertAlign w:val="superscript"/>
        </w:rPr>
        <w:t>2</w:t>
      </w:r>
      <w:r>
        <w:t>.</w:t>
      </w:r>
      <w:r>
        <w:rPr>
          <w:rStyle w:val="FootnoteReference"/>
        </w:rPr>
        <w:footnoteReference w:id="23"/>
      </w:r>
      <w:r>
        <w:t xml:space="preserve"> This impact persists over time and becomes cumulatively larger as more ratings are undertaken. However, the impact of each successive rating is smaller — by the fifth rating the reduction in energy use is estimated at ~</w:t>
      </w:r>
      <w:r>
        <w:rPr>
          <w:b/>
        </w:rPr>
        <w:t>14 MJ/m</w:t>
      </w:r>
      <w:r w:rsidRPr="009253DC">
        <w:rPr>
          <w:b/>
          <w:vertAlign w:val="superscript"/>
        </w:rPr>
        <w:t>2</w:t>
      </w:r>
      <w:r>
        <w:rPr>
          <w:b/>
        </w:rPr>
        <w:t xml:space="preserve">. </w:t>
      </w:r>
    </w:p>
    <w:p w14:paraId="72246AB1" w14:textId="77777777" w:rsidR="00ED0E85" w:rsidRDefault="00ED0E85" w:rsidP="00ED0E85">
      <w:pPr>
        <w:pStyle w:val="BodyText"/>
      </w:pPr>
      <w:r>
        <w:t>The impact also depends on the building characteristics. The stand-out characteristic driving changes in star ratings is the initial rating of the building — a building rated 2 stars will have improved its star rating over the CBD Program period by 0.8 stars less than a building rated 0 stars, other things equal. For example, the 0 star building might improve by 1.6 stars, while the 2 star building improves by 0.8 stars, other things equal.</w:t>
      </w:r>
    </w:p>
    <w:p w14:paraId="7A1DF9D0" w14:textId="4FE54ACC" w:rsidR="00ED0E85" w:rsidRDefault="00ED0E85" w:rsidP="00ED0E85">
      <w:pPr>
        <w:pStyle w:val="BodyText"/>
      </w:pPr>
      <w:r>
        <w:t>An overview of all the drivers of impact of the program and the direction of impact is shown in chart </w:t>
      </w:r>
      <w:r>
        <w:rPr>
          <w:noProof/>
        </w:rPr>
        <w:fldChar w:fldCharType="begin"/>
      </w:r>
      <w:r>
        <w:rPr>
          <w:noProof/>
        </w:rPr>
        <w:instrText xml:space="preserve"> REF _Caption9310 </w:instrText>
      </w:r>
      <w:r>
        <w:rPr>
          <w:noProof/>
        </w:rPr>
        <w:fldChar w:fldCharType="separate"/>
      </w:r>
      <w:r w:rsidR="00AD3561">
        <w:rPr>
          <w:noProof/>
        </w:rPr>
        <w:t>4.9</w:t>
      </w:r>
      <w:r>
        <w:rPr>
          <w:noProof/>
        </w:rPr>
        <w:fldChar w:fldCharType="end"/>
      </w:r>
      <w:r>
        <w:t>.</w:t>
      </w:r>
    </w:p>
    <w:p w14:paraId="6B05A7F5" w14:textId="77777777" w:rsidR="00ED0E85" w:rsidRDefault="00ED0E85" w:rsidP="00ED0E85">
      <w:pPr>
        <w:pStyle w:val="ListBullet"/>
      </w:pPr>
      <w:r>
        <w:t xml:space="preserve">Buildings have improved more rapidly if they had poor initial energy efficiency, have had more ratings, are larger and of a higher grade. Buildings with higher initial energy efficiency, fewer ratings, are smaller or of a lower grade have improved less rapidly. </w:t>
      </w:r>
    </w:p>
    <w:p w14:paraId="53094489" w14:textId="77777777" w:rsidR="00ED0E85" w:rsidRDefault="00ED0E85" w:rsidP="00ED0E85">
      <w:pPr>
        <w:pStyle w:val="ListBullet"/>
      </w:pPr>
      <w:r>
        <w:t xml:space="preserve">Factors that have not had an individual impact on the change in energy performance are the age of the building, the owner being part of GRESB (which is also an indicator of the professionalism of the building) or the state where the building is located. </w:t>
      </w:r>
    </w:p>
    <w:p w14:paraId="25971037" w14:textId="77777777" w:rsidR="00ED0E85" w:rsidRDefault="00ED0E85" w:rsidP="00ED0E85">
      <w:pPr>
        <w:pStyle w:val="ListBullet"/>
      </w:pPr>
      <w:r>
        <w:t>Whether the building had been rated prior to the CBD Program potentially has an impact, with building rated prior to CBD voluntarily having a marginally smaller improvement in energy performance, under some empirical specifications.</w:t>
      </w:r>
    </w:p>
    <w:p w14:paraId="2F55DCA8" w14:textId="77777777" w:rsidR="00ED0E85" w:rsidRDefault="00ED0E85" w:rsidP="00ED0E85">
      <w:pPr>
        <w:pStyle w:val="BodyText"/>
      </w:pPr>
      <w:r>
        <w:t>Note that individual buildings have a range of a characteristics and some factors may have impacts on the changes in energy performance that offset other factors over time. For example, a B grade building with a low initial star rating could have:</w:t>
      </w:r>
    </w:p>
    <w:p w14:paraId="0BFEE83C" w14:textId="77777777" w:rsidR="00ED0E85" w:rsidRDefault="00ED0E85" w:rsidP="00ED0E85">
      <w:pPr>
        <w:pStyle w:val="ListBullet"/>
      </w:pPr>
      <w:r>
        <w:t>a larger improvement than average because of its initial poor performance (i.e. the statistical analysis showed that buildings that initially performed poorly tended to make larger improvements over time)</w:t>
      </w:r>
    </w:p>
    <w:p w14:paraId="4D1FF90C" w14:textId="77777777" w:rsidR="00ED0E85" w:rsidRDefault="00ED0E85" w:rsidP="00ED0E85">
      <w:pPr>
        <w:pStyle w:val="ListBullet"/>
      </w:pPr>
      <w:r>
        <w:t>a smaller improvement than average, because it is a lower grade building (i.e. the statistical analysis showed that lower grade buildings tend to improve at a slower rate, compared to higher grade buildings).</w:t>
      </w:r>
    </w:p>
    <w:bookmarkStart w:id="1970" w:name="_Toc19280187"/>
    <w:p w14:paraId="5EA2247D" w14:textId="6A0FDCF1" w:rsidR="00ED0E85" w:rsidRDefault="00D84794" w:rsidP="00ED0E85">
      <w:pPr>
        <w:pStyle w:val="Caption"/>
      </w:pPr>
      <w:r>
        <w:rPr>
          <w:noProof/>
        </w:rPr>
        <mc:AlternateContent>
          <mc:Choice Requires="wpg">
            <w:drawing>
              <wp:anchor distT="0" distB="0" distL="114300" distR="114300" simplePos="0" relativeHeight="251682816" behindDoc="0" locked="0" layoutInCell="1" allowOverlap="1" wp14:anchorId="4790742A" wp14:editId="0BC5577D">
                <wp:simplePos x="0" y="0"/>
                <wp:positionH relativeFrom="column">
                  <wp:posOffset>-87630</wp:posOffset>
                </wp:positionH>
                <wp:positionV relativeFrom="paragraph">
                  <wp:posOffset>217170</wp:posOffset>
                </wp:positionV>
                <wp:extent cx="5137150" cy="3222625"/>
                <wp:effectExtent l="0" t="0" r="6350" b="0"/>
                <wp:wrapNone/>
                <wp:docPr id="258" name="Group 258"/>
                <wp:cNvGraphicFramePr/>
                <a:graphic xmlns:a="http://schemas.openxmlformats.org/drawingml/2006/main">
                  <a:graphicData uri="http://schemas.microsoft.com/office/word/2010/wordprocessingGroup">
                    <wpg:wgp>
                      <wpg:cNvGrpSpPr/>
                      <wpg:grpSpPr>
                        <a:xfrm>
                          <a:off x="0" y="0"/>
                          <a:ext cx="5137150" cy="3222625"/>
                          <a:chOff x="0" y="0"/>
                          <a:chExt cx="5137150" cy="3222625"/>
                        </a:xfrm>
                      </wpg:grpSpPr>
                      <wpg:grpSp>
                        <wpg:cNvPr id="47" name="Group 47"/>
                        <wpg:cNvGrpSpPr/>
                        <wpg:grpSpPr>
                          <a:xfrm>
                            <a:off x="0" y="0"/>
                            <a:ext cx="1746250" cy="2035175"/>
                            <a:chOff x="0" y="0"/>
                            <a:chExt cx="1746250" cy="2035175"/>
                          </a:xfrm>
                        </wpg:grpSpPr>
                        <wps:wsp>
                          <wps:cNvPr id="9" name="Rectangle 9"/>
                          <wps:cNvSpPr/>
                          <wps:spPr>
                            <a:xfrm>
                              <a:off x="0" y="0"/>
                              <a:ext cx="1746250" cy="368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613DBA" w14:textId="77777777" w:rsidR="003E0782" w:rsidRDefault="003E0782" w:rsidP="00ED0E85">
                                <w:pPr>
                                  <w:pStyle w:val="ChartHighlight"/>
                                  <w:rPr>
                                    <w:color w:val="F61D12" w:themeColor="accent2"/>
                                  </w:rPr>
                                </w:pPr>
                                <w:r>
                                  <w:rPr>
                                    <w:color w:val="F61D12" w:themeColor="accent2"/>
                                  </w:rPr>
                                  <w:t>smaller improvement impact</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g:grpSp>
                          <wpg:cNvPr id="45" name="Group 45"/>
                          <wpg:cNvGrpSpPr/>
                          <wpg:grpSpPr>
                            <a:xfrm>
                              <a:off x="228600" y="409575"/>
                              <a:ext cx="1259840" cy="1625600"/>
                              <a:chOff x="0" y="0"/>
                              <a:chExt cx="1259840" cy="1625600"/>
                            </a:xfrm>
                          </wpg:grpSpPr>
                          <wps:wsp>
                            <wps:cNvPr id="17" name="Rectangle 17"/>
                            <wps:cNvSpPr/>
                            <wps:spPr>
                              <a:xfrm>
                                <a:off x="0" y="0"/>
                                <a:ext cx="1259840" cy="3048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BA4AAE" w14:textId="77777777" w:rsidR="003E0782" w:rsidRDefault="003E0782" w:rsidP="00ED0E85">
                                  <w:pPr>
                                    <w:pStyle w:val="ChartBoldText"/>
                                    <w:rPr>
                                      <w:color w:val="FFFFFF" w:themeColor="background1"/>
                                    </w:rPr>
                                  </w:pPr>
                                  <w:r>
                                    <w:rPr>
                                      <w:color w:val="FFFFFF" w:themeColor="background1"/>
                                    </w:rPr>
                                    <w:t>High initial star rating</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13" name="Rectangle 13"/>
                            <wps:cNvSpPr/>
                            <wps:spPr>
                              <a:xfrm>
                                <a:off x="0" y="781050"/>
                                <a:ext cx="1259840" cy="400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EAACF" w14:textId="77777777" w:rsidR="003E0782" w:rsidRDefault="003E0782" w:rsidP="00ED0E85">
                                  <w:pPr>
                                    <w:pStyle w:val="ChartBoldText"/>
                                    <w:rPr>
                                      <w:color w:val="FFFFFF" w:themeColor="background1"/>
                                    </w:rPr>
                                  </w:pPr>
                                  <w:r>
                                    <w:rPr>
                                      <w:color w:val="FFFFFF" w:themeColor="background1"/>
                                    </w:rPr>
                                    <w:t>B-D grade buildings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14" name="Rectangle 14"/>
                            <wps:cNvSpPr/>
                            <wps:spPr>
                              <a:xfrm>
                                <a:off x="0" y="409575"/>
                                <a:ext cx="1259840" cy="279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E1669F" w14:textId="77777777" w:rsidR="003E0782" w:rsidRDefault="003E0782" w:rsidP="00ED0E85">
                                  <w:pPr>
                                    <w:pStyle w:val="ChartBoldText"/>
                                    <w:rPr>
                                      <w:color w:val="FFFFFF" w:themeColor="background1"/>
                                    </w:rPr>
                                  </w:pPr>
                                  <w:r>
                                    <w:rPr>
                                      <w:color w:val="FFFFFF" w:themeColor="background1"/>
                                    </w:rPr>
                                    <w:t>Fewer ratings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15" name="Rectangle 15"/>
                            <wps:cNvSpPr/>
                            <wps:spPr>
                              <a:xfrm>
                                <a:off x="0" y="1295400"/>
                                <a:ext cx="1259840" cy="330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82F863" w14:textId="77777777" w:rsidR="003E0782" w:rsidRDefault="003E0782" w:rsidP="00ED0E85">
                                  <w:pPr>
                                    <w:pStyle w:val="ChartBoldText"/>
                                    <w:rPr>
                                      <w:color w:val="FFFFFF" w:themeColor="background1"/>
                                    </w:rPr>
                                  </w:pPr>
                                  <w:r>
                                    <w:rPr>
                                      <w:color w:val="FFFFFF" w:themeColor="background1"/>
                                    </w:rPr>
                                    <w:t>Smaller buildings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grpSp>
                      </wpg:grpSp>
                      <wps:wsp>
                        <wps:cNvPr id="226" name="Rectangle 226"/>
                        <wps:cNvSpPr/>
                        <wps:spPr>
                          <a:xfrm>
                            <a:off x="3371850" y="400050"/>
                            <a:ext cx="1765300" cy="374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6B8965" w14:textId="77777777" w:rsidR="003E0782" w:rsidRDefault="003E0782" w:rsidP="00ED0E85">
                              <w:pPr>
                                <w:pStyle w:val="ChartHighlight"/>
                                <w:rPr>
                                  <w:color w:val="6F6652" w:themeColor="text2"/>
                                </w:rPr>
                              </w:pPr>
                              <w:r>
                                <w:rPr>
                                  <w:color w:val="6F6652" w:themeColor="text2"/>
                                </w:rPr>
                                <w:t>E</w:t>
                              </w:r>
                              <w:r>
                                <w:rPr>
                                  <w:caps w:val="0"/>
                                  <w:color w:val="6F6652" w:themeColor="text2"/>
                                </w:rPr>
                                <w:t>ach</w:t>
                              </w:r>
                              <w:r>
                                <w:rPr>
                                  <w:color w:val="6F6652" w:themeColor="text2"/>
                                </w:rPr>
                                <w:t xml:space="preserve"> </w:t>
                              </w:r>
                              <w:r>
                                <w:rPr>
                                  <w:caps w:val="0"/>
                                  <w:color w:val="6F6652" w:themeColor="text2"/>
                                </w:rPr>
                                <w:t>star</w:t>
                              </w:r>
                              <w:r>
                                <w:rPr>
                                  <w:color w:val="6F6652" w:themeColor="text2"/>
                                </w:rPr>
                                <w:t xml:space="preserve"> </w:t>
                              </w:r>
                              <w:r>
                                <w:rPr>
                                  <w:caps w:val="0"/>
                                  <w:color w:val="6F6652" w:themeColor="text2"/>
                                </w:rPr>
                                <w:t>higher</w:t>
                              </w:r>
                              <w:r>
                                <w:rPr>
                                  <w:color w:val="6F6652" w:themeColor="text2"/>
                                </w:rPr>
                                <w:t xml:space="preserve"> </w:t>
                              </w:r>
                              <w:r>
                                <w:rPr>
                                  <w:caps w:val="0"/>
                                  <w:color w:val="6F6652" w:themeColor="text2"/>
                                </w:rPr>
                                <w:t>means</w:t>
                              </w:r>
                              <w:r>
                                <w:rPr>
                                  <w:color w:val="6F6652" w:themeColor="text2"/>
                                </w:rPr>
                                <w:t xml:space="preserve"> ~0.4 </w:t>
                              </w:r>
                              <w:r>
                                <w:rPr>
                                  <w:caps w:val="0"/>
                                  <w:color w:val="6F6652" w:themeColor="text2"/>
                                </w:rPr>
                                <w:t>stars</w:t>
                              </w:r>
                              <w:r>
                                <w:rPr>
                                  <w:color w:val="6F6652" w:themeColor="text2"/>
                                </w:rPr>
                                <w:t xml:space="preserve"> </w:t>
                              </w:r>
                              <w:r>
                                <w:rPr>
                                  <w:caps w:val="0"/>
                                  <w:color w:val="6F6652" w:themeColor="text2"/>
                                </w:rPr>
                                <w:t>less improvement</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227" name="Rectangle 227"/>
                        <wps:cNvSpPr/>
                        <wps:spPr>
                          <a:xfrm>
                            <a:off x="3352800" y="771525"/>
                            <a:ext cx="1784350" cy="539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7FB62B" w14:textId="77777777" w:rsidR="003E0782" w:rsidRDefault="003E0782" w:rsidP="00ED0E85">
                              <w:pPr>
                                <w:pStyle w:val="ChartHighlight"/>
                                <w:rPr>
                                  <w:color w:val="6F6652" w:themeColor="text2"/>
                                </w:rPr>
                              </w:pPr>
                              <w:r>
                                <w:rPr>
                                  <w:color w:val="6F6652" w:themeColor="text2"/>
                                </w:rPr>
                                <w:t>E</w:t>
                              </w:r>
                              <w:r>
                                <w:rPr>
                                  <w:caps w:val="0"/>
                                  <w:color w:val="6F6652" w:themeColor="text2"/>
                                </w:rPr>
                                <w:t>ach</w:t>
                              </w:r>
                              <w:r>
                                <w:rPr>
                                  <w:color w:val="6F6652" w:themeColor="text2"/>
                                </w:rPr>
                                <w:t xml:space="preserve"> </w:t>
                              </w:r>
                              <w:r>
                                <w:rPr>
                                  <w:caps w:val="0"/>
                                  <w:color w:val="6F6652" w:themeColor="text2"/>
                                </w:rPr>
                                <w:t>additional</w:t>
                              </w:r>
                              <w:r>
                                <w:rPr>
                                  <w:color w:val="6F6652" w:themeColor="text2"/>
                                </w:rPr>
                                <w:t xml:space="preserve"> </w:t>
                              </w:r>
                              <w:r>
                                <w:rPr>
                                  <w:caps w:val="0"/>
                                  <w:color w:val="6F6652" w:themeColor="text2"/>
                                </w:rPr>
                                <w:t>rating</w:t>
                              </w:r>
                              <w:r>
                                <w:rPr>
                                  <w:color w:val="6F6652" w:themeColor="text2"/>
                                </w:rPr>
                                <w:t xml:space="preserve"> ~0.2 </w:t>
                              </w:r>
                              <w:r>
                                <w:rPr>
                                  <w:caps w:val="0"/>
                                  <w:color w:val="6F6652" w:themeColor="text2"/>
                                </w:rPr>
                                <w:t>stars</w:t>
                              </w:r>
                              <w:r>
                                <w:rPr>
                                  <w:color w:val="6F6652" w:themeColor="text2"/>
                                </w:rPr>
                                <w:t xml:space="preserve"> </w:t>
                              </w:r>
                              <w:r>
                                <w:rPr>
                                  <w:caps w:val="0"/>
                                  <w:color w:val="6F6652" w:themeColor="text2"/>
                                </w:rPr>
                                <w:t>more improvement</w:t>
                              </w:r>
                              <w:r>
                                <w:rPr>
                                  <w:color w:val="6F6652" w:themeColor="text2"/>
                                </w:rPr>
                                <w:t xml:space="preserve"> </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228" name="Rectangle 228"/>
                        <wps:cNvSpPr/>
                        <wps:spPr>
                          <a:xfrm>
                            <a:off x="3629025" y="1190625"/>
                            <a:ext cx="1327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631988" w14:textId="77777777" w:rsidR="003E0782" w:rsidRDefault="003E0782" w:rsidP="00ED0E85">
                              <w:pPr>
                                <w:pStyle w:val="ChartHighlight"/>
                                <w:rPr>
                                  <w:color w:val="6F6652" w:themeColor="text2"/>
                                </w:rPr>
                              </w:pPr>
                              <w:r>
                                <w:rPr>
                                  <w:color w:val="6F6652" w:themeColor="text2"/>
                                </w:rPr>
                                <w:t xml:space="preserve">0.2 </w:t>
                              </w:r>
                              <w:r>
                                <w:rPr>
                                  <w:caps w:val="0"/>
                                  <w:color w:val="6F6652" w:themeColor="text2"/>
                                </w:rPr>
                                <w:t>star</w:t>
                              </w:r>
                              <w:r>
                                <w:rPr>
                                  <w:color w:val="6F6652" w:themeColor="text2"/>
                                </w:rPr>
                                <w:t xml:space="preserve"> </w:t>
                              </w:r>
                              <w:r>
                                <w:rPr>
                                  <w:caps w:val="0"/>
                                  <w:color w:val="6F6652" w:themeColor="text2"/>
                                </w:rPr>
                                <w:t>more improvement</w:t>
                              </w:r>
                              <w:r>
                                <w:rPr>
                                  <w:color w:val="6F6652" w:themeColor="text2"/>
                                </w:rPr>
                                <w:t xml:space="preserve"> </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s:wsp>
                        <wps:cNvPr id="229" name="Rectangle 229"/>
                        <wps:cNvSpPr/>
                        <wps:spPr>
                          <a:xfrm>
                            <a:off x="3629025" y="1704975"/>
                            <a:ext cx="1327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A0EE99" w14:textId="77777777" w:rsidR="003E0782" w:rsidRDefault="003E0782" w:rsidP="00ED0E85">
                              <w:pPr>
                                <w:pStyle w:val="ChartHighlight"/>
                                <w:rPr>
                                  <w:color w:val="6F6652" w:themeColor="text2"/>
                                </w:rPr>
                              </w:pPr>
                              <w:r>
                                <w:rPr>
                                  <w:color w:val="6F6652" w:themeColor="text2"/>
                                </w:rPr>
                                <w:t xml:space="preserve">0.3 </w:t>
                              </w:r>
                              <w:r>
                                <w:rPr>
                                  <w:caps w:val="0"/>
                                  <w:color w:val="6F6652" w:themeColor="text2"/>
                                </w:rPr>
                                <w:t>star</w:t>
                              </w:r>
                              <w:r>
                                <w:rPr>
                                  <w:color w:val="6F6652" w:themeColor="text2"/>
                                </w:rPr>
                                <w:t xml:space="preserve"> </w:t>
                              </w:r>
                              <w:r>
                                <w:rPr>
                                  <w:caps w:val="0"/>
                                  <w:color w:val="6F6652" w:themeColor="text2"/>
                                </w:rPr>
                                <w:t>more improvement</w:t>
                              </w:r>
                              <w:r>
                                <w:rPr>
                                  <w:color w:val="6F6652" w:themeColor="text2"/>
                                </w:rPr>
                                <w:t xml:space="preserve"> </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g:grpSp>
                        <wpg:cNvPr id="41" name="Group 41"/>
                        <wpg:cNvGrpSpPr/>
                        <wpg:grpSpPr>
                          <a:xfrm>
                            <a:off x="247650" y="2228850"/>
                            <a:ext cx="2926715" cy="993775"/>
                            <a:chOff x="0" y="0"/>
                            <a:chExt cx="2926715" cy="993775"/>
                          </a:xfrm>
                        </wpg:grpSpPr>
                        <wps:wsp>
                          <wps:cNvPr id="31" name="Rectangle 31"/>
                          <wps:cNvSpPr/>
                          <wps:spPr>
                            <a:xfrm>
                              <a:off x="1038225" y="0"/>
                              <a:ext cx="838200" cy="234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18841" w14:textId="77777777" w:rsidR="003E0782" w:rsidRDefault="003E0782" w:rsidP="00ED0E85">
                                <w:pPr>
                                  <w:pStyle w:val="ChartHighlight"/>
                                  <w:rPr>
                                    <w:color w:val="6F6652" w:themeColor="text2"/>
                                  </w:rPr>
                                </w:pPr>
                                <w:r>
                                  <w:rPr>
                                    <w:color w:val="6F6652" w:themeColor="text2"/>
                                  </w:rPr>
                                  <w:t>No impact</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g:grpSp>
                          <wpg:cNvPr id="36" name="Group 36"/>
                          <wpg:cNvGrpSpPr/>
                          <wpg:grpSpPr>
                            <a:xfrm>
                              <a:off x="0" y="295275"/>
                              <a:ext cx="2926715" cy="698500"/>
                              <a:chOff x="0" y="0"/>
                              <a:chExt cx="2926715" cy="698500"/>
                            </a:xfrm>
                          </wpg:grpSpPr>
                          <wps:wsp>
                            <wps:cNvPr id="11" name="Rectangle 11"/>
                            <wps:cNvSpPr/>
                            <wps:spPr>
                              <a:xfrm>
                                <a:off x="1666875" y="0"/>
                                <a:ext cx="1259840" cy="29845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C80991" w14:textId="77777777" w:rsidR="003E0782" w:rsidRDefault="003E0782" w:rsidP="00ED0E85">
                                  <w:pPr>
                                    <w:pStyle w:val="ChartBoldText"/>
                                  </w:pPr>
                                  <w:r>
                                    <w:t>State</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8" name="Rectangle 8"/>
                            <wps:cNvSpPr/>
                            <wps:spPr>
                              <a:xfrm>
                                <a:off x="0" y="0"/>
                                <a:ext cx="1259840" cy="69850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49DE8" w14:textId="77777777" w:rsidR="003E0782" w:rsidRDefault="003E0782" w:rsidP="00ED0E85">
                                  <w:pPr>
                                    <w:pStyle w:val="ChartBoldText"/>
                                  </w:pPr>
                                  <w:r>
                                    <w:t>Owner being involved with the Global Real Estate Sustainability Benchmark</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250" name="Rectangle 250"/>
                            <wps:cNvSpPr/>
                            <wps:spPr>
                              <a:xfrm>
                                <a:off x="1666875" y="400050"/>
                                <a:ext cx="1259840" cy="27305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DB6B76" w14:textId="77777777" w:rsidR="003E0782" w:rsidRDefault="003E0782" w:rsidP="00ED0E85">
                                  <w:pPr>
                                    <w:pStyle w:val="ChartBoldText"/>
                                  </w:pPr>
                                  <w:r>
                                    <w:t>Building age</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grpSp>
                      </wpg:grpSp>
                      <wps:wsp>
                        <wps:cNvPr id="251" name="Straight Arrow Connector 251"/>
                        <wps:cNvCnPr/>
                        <wps:spPr>
                          <a:xfrm>
                            <a:off x="2266950" y="581025"/>
                            <a:ext cx="1174750" cy="0"/>
                          </a:xfrm>
                          <a:prstGeom prst="straightConnector1">
                            <a:avLst/>
                          </a:prstGeom>
                          <a:ln w="15875">
                            <a:tailEnd type="triangle"/>
                          </a:ln>
                        </wps:spPr>
                        <wps:style>
                          <a:lnRef idx="1">
                            <a:schemeClr val="accent4"/>
                          </a:lnRef>
                          <a:fillRef idx="0">
                            <a:schemeClr val="accent4"/>
                          </a:fillRef>
                          <a:effectRef idx="0">
                            <a:schemeClr val="accent4"/>
                          </a:effectRef>
                          <a:fontRef idx="minor">
                            <a:schemeClr val="tx1"/>
                          </a:fontRef>
                        </wps:style>
                        <wps:bodyPr/>
                      </wps:wsp>
                      <wps:wsp>
                        <wps:cNvPr id="252" name="Straight Arrow Connector 252"/>
                        <wps:cNvCnPr/>
                        <wps:spPr>
                          <a:xfrm>
                            <a:off x="2647950" y="1905000"/>
                            <a:ext cx="1174750" cy="0"/>
                          </a:xfrm>
                          <a:prstGeom prst="straightConnector1">
                            <a:avLst/>
                          </a:prstGeom>
                          <a:ln w="15875">
                            <a:tailEnd type="triangle"/>
                          </a:ln>
                        </wps:spPr>
                        <wps:style>
                          <a:lnRef idx="1">
                            <a:schemeClr val="accent4"/>
                          </a:lnRef>
                          <a:fillRef idx="0">
                            <a:schemeClr val="accent4"/>
                          </a:fillRef>
                          <a:effectRef idx="0">
                            <a:schemeClr val="accent4"/>
                          </a:effectRef>
                          <a:fontRef idx="minor">
                            <a:schemeClr val="tx1"/>
                          </a:fontRef>
                        </wps:style>
                        <wps:bodyPr/>
                      </wps:wsp>
                      <wps:wsp>
                        <wps:cNvPr id="253" name="Straight Arrow Connector 253"/>
                        <wps:cNvCnPr/>
                        <wps:spPr>
                          <a:xfrm>
                            <a:off x="2647950" y="1400175"/>
                            <a:ext cx="1174750" cy="0"/>
                          </a:xfrm>
                          <a:prstGeom prst="straightConnector1">
                            <a:avLst/>
                          </a:prstGeom>
                          <a:ln w="15875">
                            <a:tailEnd type="triangle"/>
                          </a:ln>
                        </wps:spPr>
                        <wps:style>
                          <a:lnRef idx="1">
                            <a:schemeClr val="accent4"/>
                          </a:lnRef>
                          <a:fillRef idx="0">
                            <a:schemeClr val="accent4"/>
                          </a:fillRef>
                          <a:effectRef idx="0">
                            <a:schemeClr val="accent4"/>
                          </a:effectRef>
                          <a:fontRef idx="minor">
                            <a:schemeClr val="tx1"/>
                          </a:fontRef>
                        </wps:style>
                        <wps:bodyPr/>
                      </wps:wsp>
                      <wps:wsp>
                        <wps:cNvPr id="254" name="Straight Arrow Connector 254"/>
                        <wps:cNvCnPr/>
                        <wps:spPr>
                          <a:xfrm>
                            <a:off x="2257425" y="952500"/>
                            <a:ext cx="1174750" cy="0"/>
                          </a:xfrm>
                          <a:prstGeom prst="straightConnector1">
                            <a:avLst/>
                          </a:prstGeom>
                          <a:ln w="15875">
                            <a:tailEnd type="triangle"/>
                          </a:ln>
                        </wps:spPr>
                        <wps:style>
                          <a:lnRef idx="1">
                            <a:schemeClr val="accent4"/>
                          </a:lnRef>
                          <a:fillRef idx="0">
                            <a:schemeClr val="accent4"/>
                          </a:fillRef>
                          <a:effectRef idx="0">
                            <a:schemeClr val="accent4"/>
                          </a:effectRef>
                          <a:fontRef idx="minor">
                            <a:schemeClr val="tx1"/>
                          </a:fontRef>
                        </wps:style>
                        <wps:bodyPr/>
                      </wps:wsp>
                      <wpg:grpSp>
                        <wpg:cNvPr id="56" name="Group 56"/>
                        <wpg:cNvGrpSpPr/>
                        <wpg:grpSpPr>
                          <a:xfrm>
                            <a:off x="1714500" y="66675"/>
                            <a:ext cx="1701800" cy="1978025"/>
                            <a:chOff x="0" y="0"/>
                            <a:chExt cx="1701800" cy="1978025"/>
                          </a:xfrm>
                        </wpg:grpSpPr>
                        <wps:wsp>
                          <wps:cNvPr id="10" name="Rectangle 10"/>
                          <wps:cNvSpPr/>
                          <wps:spPr>
                            <a:xfrm>
                              <a:off x="0" y="0"/>
                              <a:ext cx="1701800" cy="254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898C55" w14:textId="77777777" w:rsidR="003E0782" w:rsidRDefault="003E0782" w:rsidP="00ED0E85">
                                <w:pPr>
                                  <w:pStyle w:val="ChartHighlight"/>
                                  <w:rPr>
                                    <w:color w:val="006B7A" w:themeColor="accent1"/>
                                  </w:rPr>
                                </w:pPr>
                                <w:r>
                                  <w:rPr>
                                    <w:color w:val="006B7A" w:themeColor="accent1"/>
                                  </w:rPr>
                                  <w:t>Larger improvement</w:t>
                                </w: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wpg:grpSp>
                          <wpg:cNvPr id="52" name="Group 52"/>
                          <wpg:cNvGrpSpPr/>
                          <wpg:grpSpPr>
                            <a:xfrm>
                              <a:off x="200025" y="342900"/>
                              <a:ext cx="1259840" cy="1635125"/>
                              <a:chOff x="0" y="0"/>
                              <a:chExt cx="1259840" cy="1635125"/>
                            </a:xfrm>
                          </wpg:grpSpPr>
                          <wps:wsp>
                            <wps:cNvPr id="7" name="Rectangle 7"/>
                            <wps:cNvSpPr/>
                            <wps:spPr>
                              <a:xfrm>
                                <a:off x="0" y="781050"/>
                                <a:ext cx="1259840" cy="4000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B351FF" w14:textId="77777777" w:rsidR="003E0782" w:rsidRDefault="003E0782" w:rsidP="00ED0E85">
                                  <w:pPr>
                                    <w:pStyle w:val="ChartBoldText"/>
                                  </w:pPr>
                                  <w:r>
                                    <w:t>Premium and A grade buildings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30" name="Rectangle 30"/>
                            <wps:cNvSpPr/>
                            <wps:spPr>
                              <a:xfrm>
                                <a:off x="0" y="1304925"/>
                                <a:ext cx="1259840" cy="330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AB5368" w14:textId="77777777" w:rsidR="003E0782" w:rsidRDefault="003E0782" w:rsidP="00ED0E85">
                                  <w:pPr>
                                    <w:pStyle w:val="ChartBoldText"/>
                                  </w:pPr>
                                  <w:r>
                                    <w:t>Larger buildings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6" name="Rectangle 6"/>
                            <wps:cNvSpPr/>
                            <wps:spPr>
                              <a:xfrm>
                                <a:off x="0" y="409575"/>
                                <a:ext cx="1259840" cy="279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EF9BB5" w14:textId="77777777" w:rsidR="003E0782" w:rsidRDefault="003E0782" w:rsidP="00ED0E85">
                                  <w:pPr>
                                    <w:pStyle w:val="ChartBoldText"/>
                                  </w:pPr>
                                  <w:r>
                                    <w:t>More ratings</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s:wsp>
                            <wps:cNvPr id="28" name="Rectangle 28"/>
                            <wps:cNvSpPr/>
                            <wps:spPr>
                              <a:xfrm>
                                <a:off x="0" y="0"/>
                                <a:ext cx="1259840" cy="304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074F09" w14:textId="77777777" w:rsidR="003E0782" w:rsidRDefault="003E0782" w:rsidP="00ED0E85">
                                  <w:pPr>
                                    <w:pStyle w:val="ChartBoldText"/>
                                  </w:pPr>
                                  <w:r>
                                    <w:t>Low initial star rating</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wpg:grpSp>
                      </wpg:grp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4790742A" id="Group 258" o:spid="_x0000_s1062" style="position:absolute;margin-left:-6.9pt;margin-top:17.1pt;width:404.5pt;height:253.75pt;z-index:251682816" coordsize="51371,32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">
                <v:group id="Group 47" o:spid="_x0000_s1063" style="position:absolute;width:17462;height:20351" coordsize="17462,20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9" o:spid="_x0000_s1064" style="position:absolute;width:17462;height:3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" filled="f" stroked="f" strokeweight="2pt">
                    <v:textbox inset="2mm,1mm,2mm,1mm">
                      <w:txbxContent>
                        <w:p w14:paraId="17613DBA" w14:textId="77777777" w:rsidR="003E0782" w:rsidRDefault="003E0782" w:rsidP="00ED0E85">
                          <w:pPr>
                            <w:pStyle w:val="ChartHighlight"/>
                            <w:rPr>
                              <w:color w:val="F61D12" w:themeColor="accent2"/>
                            </w:rPr>
                          </w:pPr>
                          <w:r>
                            <w:rPr>
                              <w:color w:val="F61D12" w:themeColor="accent2"/>
                            </w:rPr>
                            <w:t>smaller improvement impact</w:t>
                          </w:r>
                        </w:p>
                      </w:txbxContent>
                    </v:textbox>
                  </v:rect>
                  <v:group id="Group 45" o:spid="_x0000_s1065" style="position:absolute;left:2286;top:4095;width:12598;height:16256" coordsize="12598,1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17" o:spid="_x0000_s1066" style="position:absolute;width:1259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" fillcolor="#f61d12 [3205]" stroked="f" strokeweight="2pt">
                      <v:textbox inset="2mm,1mm,2mm,1mm">
                        <w:txbxContent>
                          <w:p w14:paraId="14BA4AAE" w14:textId="77777777" w:rsidR="003E0782" w:rsidRDefault="003E0782" w:rsidP="00ED0E85">
                            <w:pPr>
                              <w:pStyle w:val="ChartBoldText"/>
                              <w:rPr>
                                <w:color w:val="FFFFFF" w:themeColor="background1"/>
                              </w:rPr>
                            </w:pPr>
                            <w:r>
                              <w:rPr>
                                <w:color w:val="FFFFFF" w:themeColor="background1"/>
                              </w:rPr>
                              <w:t>High initial star rating</w:t>
                            </w:r>
                          </w:p>
                        </w:txbxContent>
                      </v:textbox>
                    </v:rect>
                    <v:rect id="Rectangle 13" o:spid="_x0000_s1067" style="position:absolute;top:7810;width:12598;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" fillcolor="#f61d12 [3205]" stroked="f" strokeweight="2pt">
                      <v:textbox inset="2mm,1mm,2mm,1mm">
                        <w:txbxContent>
                          <w:p w14:paraId="26EEAACF" w14:textId="77777777" w:rsidR="003E0782" w:rsidRDefault="003E0782" w:rsidP="00ED0E85">
                            <w:pPr>
                              <w:pStyle w:val="ChartBoldText"/>
                              <w:rPr>
                                <w:color w:val="FFFFFF" w:themeColor="background1"/>
                              </w:rPr>
                            </w:pPr>
                            <w:r>
                              <w:rPr>
                                <w:color w:val="FFFFFF" w:themeColor="background1"/>
                              </w:rPr>
                              <w:t>B-D grade buildings</w:t>
                            </w:r>
                          </w:p>
                        </w:txbxContent>
                      </v:textbox>
                    </v:rect>
                    <v:rect id="Rectangle 14" o:spid="_x0000_s1068" style="position:absolute;top:4095;width:125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" fillcolor="#f61d12 [3205]" stroked="f" strokeweight="2pt">
                      <v:textbox inset="2mm,1mm,2mm,1mm">
                        <w:txbxContent>
                          <w:p w14:paraId="15E1669F" w14:textId="77777777" w:rsidR="003E0782" w:rsidRDefault="003E0782" w:rsidP="00ED0E85">
                            <w:pPr>
                              <w:pStyle w:val="ChartBoldText"/>
                              <w:rPr>
                                <w:color w:val="FFFFFF" w:themeColor="background1"/>
                              </w:rPr>
                            </w:pPr>
                            <w:r>
                              <w:rPr>
                                <w:color w:val="FFFFFF" w:themeColor="background1"/>
                              </w:rPr>
                              <w:t>Fewer ratings</w:t>
                            </w:r>
                          </w:p>
                        </w:txbxContent>
                      </v:textbox>
                    </v:rect>
                    <v:rect id="Rectangle 15" o:spid="_x0000_s1069" style="position:absolute;top:12954;width:12598;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" fillcolor="#f61d12 [3205]" stroked="f" strokeweight="2pt">
                      <v:textbox inset="2mm,1mm,2mm,1mm">
                        <w:txbxContent>
                          <w:p w14:paraId="0582F863" w14:textId="77777777" w:rsidR="003E0782" w:rsidRDefault="003E0782" w:rsidP="00ED0E85">
                            <w:pPr>
                              <w:pStyle w:val="ChartBoldText"/>
                              <w:rPr>
                                <w:color w:val="FFFFFF" w:themeColor="background1"/>
                              </w:rPr>
                            </w:pPr>
                            <w:r>
                              <w:rPr>
                                <w:color w:val="FFFFFF" w:themeColor="background1"/>
                              </w:rPr>
                              <w:t>Smaller buildings</w:t>
                            </w:r>
                          </w:p>
                        </w:txbxContent>
                      </v:textbox>
                    </v:rect>
                  </v:group>
                </v:group>
                <v:rect id="Rectangle 226" o:spid="_x0000_s1070" style="position:absolute;left:33718;top:4000;width:17653;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" filled="f" stroked="f" strokeweight="2pt">
                  <v:textbox inset="2mm,1mm,2mm,1mm">
                    <w:txbxContent>
                      <w:p w14:paraId="0A6B8965" w14:textId="77777777" w:rsidR="003E0782" w:rsidRDefault="003E0782" w:rsidP="00ED0E85">
                        <w:pPr>
                          <w:pStyle w:val="ChartHighlight"/>
                          <w:rPr>
                            <w:color w:val="6F6652" w:themeColor="text2"/>
                          </w:rPr>
                        </w:pPr>
                        <w:r>
                          <w:rPr>
                            <w:color w:val="6F6652" w:themeColor="text2"/>
                          </w:rPr>
                          <w:t>E</w:t>
                        </w:r>
                        <w:r>
                          <w:rPr>
                            <w:caps w:val="0"/>
                            <w:color w:val="6F6652" w:themeColor="text2"/>
                          </w:rPr>
                          <w:t>ach</w:t>
                        </w:r>
                        <w:r>
                          <w:rPr>
                            <w:color w:val="6F6652" w:themeColor="text2"/>
                          </w:rPr>
                          <w:t xml:space="preserve"> </w:t>
                        </w:r>
                        <w:r>
                          <w:rPr>
                            <w:caps w:val="0"/>
                            <w:color w:val="6F6652" w:themeColor="text2"/>
                          </w:rPr>
                          <w:t>star</w:t>
                        </w:r>
                        <w:r>
                          <w:rPr>
                            <w:color w:val="6F6652" w:themeColor="text2"/>
                          </w:rPr>
                          <w:t xml:space="preserve"> </w:t>
                        </w:r>
                        <w:r>
                          <w:rPr>
                            <w:caps w:val="0"/>
                            <w:color w:val="6F6652" w:themeColor="text2"/>
                          </w:rPr>
                          <w:t>higher</w:t>
                        </w:r>
                        <w:r>
                          <w:rPr>
                            <w:color w:val="6F6652" w:themeColor="text2"/>
                          </w:rPr>
                          <w:t xml:space="preserve"> </w:t>
                        </w:r>
                        <w:r>
                          <w:rPr>
                            <w:caps w:val="0"/>
                            <w:color w:val="6F6652" w:themeColor="text2"/>
                          </w:rPr>
                          <w:t>means</w:t>
                        </w:r>
                        <w:r>
                          <w:rPr>
                            <w:color w:val="6F6652" w:themeColor="text2"/>
                          </w:rPr>
                          <w:t xml:space="preserve"> ~0.4 </w:t>
                        </w:r>
                        <w:r>
                          <w:rPr>
                            <w:caps w:val="0"/>
                            <w:color w:val="6F6652" w:themeColor="text2"/>
                          </w:rPr>
                          <w:t>stars</w:t>
                        </w:r>
                        <w:r>
                          <w:rPr>
                            <w:color w:val="6F6652" w:themeColor="text2"/>
                          </w:rPr>
                          <w:t xml:space="preserve"> </w:t>
                        </w:r>
                        <w:r>
                          <w:rPr>
                            <w:caps w:val="0"/>
                            <w:color w:val="6F6652" w:themeColor="text2"/>
                          </w:rPr>
                          <w:t>less improvement</w:t>
                        </w:r>
                      </w:p>
                    </w:txbxContent>
                  </v:textbox>
                </v:rect>
                <v:rect id="Rectangle 227" o:spid="_x0000_s1071" style="position:absolute;left:33528;top:7715;width:17843;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" filled="f" stroked="f" strokeweight="2pt">
                  <v:textbox inset="2mm,1mm,2mm,1mm">
                    <w:txbxContent>
                      <w:p w14:paraId="137FB62B" w14:textId="77777777" w:rsidR="003E0782" w:rsidRDefault="003E0782" w:rsidP="00ED0E85">
                        <w:pPr>
                          <w:pStyle w:val="ChartHighlight"/>
                          <w:rPr>
                            <w:color w:val="6F6652" w:themeColor="text2"/>
                          </w:rPr>
                        </w:pPr>
                        <w:r>
                          <w:rPr>
                            <w:color w:val="6F6652" w:themeColor="text2"/>
                          </w:rPr>
                          <w:t>E</w:t>
                        </w:r>
                        <w:r>
                          <w:rPr>
                            <w:caps w:val="0"/>
                            <w:color w:val="6F6652" w:themeColor="text2"/>
                          </w:rPr>
                          <w:t>ach</w:t>
                        </w:r>
                        <w:r>
                          <w:rPr>
                            <w:color w:val="6F6652" w:themeColor="text2"/>
                          </w:rPr>
                          <w:t xml:space="preserve"> </w:t>
                        </w:r>
                        <w:r>
                          <w:rPr>
                            <w:caps w:val="0"/>
                            <w:color w:val="6F6652" w:themeColor="text2"/>
                          </w:rPr>
                          <w:t>additional</w:t>
                        </w:r>
                        <w:r>
                          <w:rPr>
                            <w:color w:val="6F6652" w:themeColor="text2"/>
                          </w:rPr>
                          <w:t xml:space="preserve"> </w:t>
                        </w:r>
                        <w:r>
                          <w:rPr>
                            <w:caps w:val="0"/>
                            <w:color w:val="6F6652" w:themeColor="text2"/>
                          </w:rPr>
                          <w:t>rating</w:t>
                        </w:r>
                        <w:r>
                          <w:rPr>
                            <w:color w:val="6F6652" w:themeColor="text2"/>
                          </w:rPr>
                          <w:t xml:space="preserve"> ~0.2 </w:t>
                        </w:r>
                        <w:r>
                          <w:rPr>
                            <w:caps w:val="0"/>
                            <w:color w:val="6F6652" w:themeColor="text2"/>
                          </w:rPr>
                          <w:t>stars</w:t>
                        </w:r>
                        <w:r>
                          <w:rPr>
                            <w:color w:val="6F6652" w:themeColor="text2"/>
                          </w:rPr>
                          <w:t xml:space="preserve"> </w:t>
                        </w:r>
                        <w:r>
                          <w:rPr>
                            <w:caps w:val="0"/>
                            <w:color w:val="6F6652" w:themeColor="text2"/>
                          </w:rPr>
                          <w:t>more improvement</w:t>
                        </w:r>
                        <w:r>
                          <w:rPr>
                            <w:color w:val="6F6652" w:themeColor="text2"/>
                          </w:rPr>
                          <w:t xml:space="preserve"> </w:t>
                        </w:r>
                      </w:p>
                    </w:txbxContent>
                  </v:textbox>
                </v:rect>
                <v:rect id="Rectangle 228" o:spid="_x0000_s1072" style="position:absolute;left:36290;top:11906;width:13271;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" filled="f" stroked="f" strokeweight="2pt">
                  <v:textbox inset="2mm,1mm,2mm,1mm">
                    <w:txbxContent>
                      <w:p w14:paraId="2C631988" w14:textId="77777777" w:rsidR="003E0782" w:rsidRDefault="003E0782" w:rsidP="00ED0E85">
                        <w:pPr>
                          <w:pStyle w:val="ChartHighlight"/>
                          <w:rPr>
                            <w:color w:val="6F6652" w:themeColor="text2"/>
                          </w:rPr>
                        </w:pPr>
                        <w:r>
                          <w:rPr>
                            <w:color w:val="6F6652" w:themeColor="text2"/>
                          </w:rPr>
                          <w:t xml:space="preserve">0.2 </w:t>
                        </w:r>
                        <w:r>
                          <w:rPr>
                            <w:caps w:val="0"/>
                            <w:color w:val="6F6652" w:themeColor="text2"/>
                          </w:rPr>
                          <w:t>star</w:t>
                        </w:r>
                        <w:r>
                          <w:rPr>
                            <w:color w:val="6F6652" w:themeColor="text2"/>
                          </w:rPr>
                          <w:t xml:space="preserve"> </w:t>
                        </w:r>
                        <w:r>
                          <w:rPr>
                            <w:caps w:val="0"/>
                            <w:color w:val="6F6652" w:themeColor="text2"/>
                          </w:rPr>
                          <w:t>more improvement</w:t>
                        </w:r>
                        <w:r>
                          <w:rPr>
                            <w:color w:val="6F6652" w:themeColor="text2"/>
                          </w:rPr>
                          <w:t xml:space="preserve"> </w:t>
                        </w:r>
                      </w:p>
                    </w:txbxContent>
                  </v:textbox>
                </v:rect>
                <v:rect id="Rectangle 229" o:spid="_x0000_s1073" style="position:absolute;left:36290;top:17049;width:13271;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" filled="f" stroked="f" strokeweight="2pt">
                  <v:textbox inset="2mm,1mm,2mm,1mm">
                    <w:txbxContent>
                      <w:p w14:paraId="62A0EE99" w14:textId="77777777" w:rsidR="003E0782" w:rsidRDefault="003E0782" w:rsidP="00ED0E85">
                        <w:pPr>
                          <w:pStyle w:val="ChartHighlight"/>
                          <w:rPr>
                            <w:color w:val="6F6652" w:themeColor="text2"/>
                          </w:rPr>
                        </w:pPr>
                        <w:r>
                          <w:rPr>
                            <w:color w:val="6F6652" w:themeColor="text2"/>
                          </w:rPr>
                          <w:t xml:space="preserve">0.3 </w:t>
                        </w:r>
                        <w:r>
                          <w:rPr>
                            <w:caps w:val="0"/>
                            <w:color w:val="6F6652" w:themeColor="text2"/>
                          </w:rPr>
                          <w:t>star</w:t>
                        </w:r>
                        <w:r>
                          <w:rPr>
                            <w:color w:val="6F6652" w:themeColor="text2"/>
                          </w:rPr>
                          <w:t xml:space="preserve"> </w:t>
                        </w:r>
                        <w:r>
                          <w:rPr>
                            <w:caps w:val="0"/>
                            <w:color w:val="6F6652" w:themeColor="text2"/>
                          </w:rPr>
                          <w:t>more improvement</w:t>
                        </w:r>
                        <w:r>
                          <w:rPr>
                            <w:color w:val="6F6652" w:themeColor="text2"/>
                          </w:rPr>
                          <w:t xml:space="preserve"> </w:t>
                        </w:r>
                      </w:p>
                    </w:txbxContent>
                  </v:textbox>
                </v:rect>
                <v:group id="Group 41" o:spid="_x0000_s1074" style="position:absolute;left:2476;top:22288;width:29267;height:9938" coordsize="29267,9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31" o:spid="_x0000_s1075" style="position:absolute;left:10382;width:8382;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" filled="f" stroked="f" strokeweight="2pt">
                    <v:textbox inset="2mm,1mm,2mm,1mm">
                      <w:txbxContent>
                        <w:p w14:paraId="1E918841" w14:textId="77777777" w:rsidR="003E0782" w:rsidRDefault="003E0782" w:rsidP="00ED0E85">
                          <w:pPr>
                            <w:pStyle w:val="ChartHighlight"/>
                            <w:rPr>
                              <w:color w:val="6F6652" w:themeColor="text2"/>
                            </w:rPr>
                          </w:pPr>
                          <w:r>
                            <w:rPr>
                              <w:color w:val="6F6652" w:themeColor="text2"/>
                            </w:rPr>
                            <w:t>No impact</w:t>
                          </w:r>
                        </w:p>
                      </w:txbxContent>
                    </v:textbox>
                  </v:rect>
                  <v:group id="Group 36" o:spid="_x0000_s1076" style="position:absolute;top:2952;width:29267;height:6985" coordsize="29267,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11" o:spid="_x0000_s1077" style="position:absolute;left:16668;width:12599;height:2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" fillcolor="#6f6652 [3208]" stroked="f" strokeweight="2pt">
                      <v:textbox inset="2mm,1mm,2mm,1mm">
                        <w:txbxContent>
                          <w:p w14:paraId="34C80991" w14:textId="77777777" w:rsidR="003E0782" w:rsidRDefault="003E0782" w:rsidP="00ED0E85">
                            <w:pPr>
                              <w:pStyle w:val="ChartBoldText"/>
                            </w:pPr>
                            <w:r>
                              <w:t>State</w:t>
                            </w:r>
                          </w:p>
                        </w:txbxContent>
                      </v:textbox>
                    </v:rect>
                    <v:rect id="Rectangle 8" o:spid="_x0000_s1078" style="position:absolute;width:12598;height:69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" fillcolor="#6f6652 [3208]" stroked="f" strokeweight="2pt">
                      <v:textbox inset="2mm,1mm,2mm,1mm">
                        <w:txbxContent>
                          <w:p w14:paraId="4E249DE8" w14:textId="77777777" w:rsidR="003E0782" w:rsidRDefault="003E0782" w:rsidP="00ED0E85">
                            <w:pPr>
                              <w:pStyle w:val="ChartBoldText"/>
                            </w:pPr>
                            <w:r>
                              <w:t>Owner being involved with the Global Real Estate Sustainability Benchmark</w:t>
                            </w:r>
                          </w:p>
                        </w:txbxContent>
                      </v:textbox>
                    </v:rect>
                    <v:rect id="Rectangle 250" o:spid="_x0000_s1079" style="position:absolute;left:16668;top:4000;width:12599;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" fillcolor="#6f6652 [3208]" stroked="f" strokeweight="2pt">
                      <v:textbox inset="2mm,1mm,2mm,1mm">
                        <w:txbxContent>
                          <w:p w14:paraId="6CDB6B76" w14:textId="77777777" w:rsidR="003E0782" w:rsidRDefault="003E0782" w:rsidP="00ED0E85">
                            <w:pPr>
                              <w:pStyle w:val="ChartBoldText"/>
                            </w:pPr>
                            <w:r>
                              <w:t>Building age</w:t>
                            </w:r>
                          </w:p>
                        </w:txbxContent>
                      </v:textbox>
                    </v:rect>
                  </v:group>
                </v:group>
                <v:shape id="Straight Arrow Connector 251" o:spid="_x0000_s1080" type="#_x0000_t32" style="position:absolute;left:22669;top:5810;width:11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" strokecolor="#948a75 [3047]" strokeweight="1.25pt">
                  <v:stroke endarrow="block"/>
                </v:shape>
                <v:shape id="Straight Arrow Connector 252" o:spid="_x0000_s1081" type="#_x0000_t32" style="position:absolute;left:26479;top:19050;width:11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" strokecolor="#948a75 [3047]" strokeweight="1.25pt">
                  <v:stroke endarrow="block"/>
                </v:shape>
                <v:shape id="Straight Arrow Connector 253" o:spid="_x0000_s1082" type="#_x0000_t32" style="position:absolute;left:26479;top:14001;width:11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" strokecolor="#948a75 [3047]" strokeweight="1.25pt">
                  <v:stroke endarrow="block"/>
                </v:shape>
                <v:shape id="Straight Arrow Connector 254" o:spid="_x0000_s1083" type="#_x0000_t32" style="position:absolute;left:22574;top:9525;width:117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" strokecolor="#948a75 [3047]" strokeweight="1.25pt">
                  <v:stroke endarrow="block"/>
                </v:shape>
                <v:group id="Group 56" o:spid="_x0000_s1084" style="position:absolute;left:17145;top:666;width:17018;height:19781" coordsize="17018,1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10" o:spid="_x0000_s1085" style="position:absolute;width:17018;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" filled="f" stroked="f" strokeweight="2pt">
                    <v:textbox inset="2mm,1mm,2mm,1mm">
                      <w:txbxContent>
                        <w:p w14:paraId="36898C55" w14:textId="77777777" w:rsidR="003E0782" w:rsidRDefault="003E0782" w:rsidP="00ED0E85">
                          <w:pPr>
                            <w:pStyle w:val="ChartHighlight"/>
                            <w:rPr>
                              <w:color w:val="006B7A" w:themeColor="accent1"/>
                            </w:rPr>
                          </w:pPr>
                          <w:r>
                            <w:rPr>
                              <w:color w:val="006B7A" w:themeColor="accent1"/>
                            </w:rPr>
                            <w:t>Larger improvement</w:t>
                          </w:r>
                        </w:p>
                      </w:txbxContent>
                    </v:textbox>
                  </v:rect>
                  <v:group id="Group 52" o:spid="_x0000_s1086" style="position:absolute;left:2000;top:3429;width:12598;height:16351" coordsize="12598,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7" o:spid="_x0000_s1087" style="position:absolute;top:7810;width:12598;height:4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" fillcolor="#006b7a [3204]" stroked="f" strokeweight="2pt">
                      <v:textbox inset="2mm,1mm,2mm,1mm">
                        <w:txbxContent>
                          <w:p w14:paraId="02B351FF" w14:textId="77777777" w:rsidR="003E0782" w:rsidRDefault="003E0782" w:rsidP="00ED0E85">
                            <w:pPr>
                              <w:pStyle w:val="ChartBoldText"/>
                            </w:pPr>
                            <w:r>
                              <w:t>Premium and A grade buildings</w:t>
                            </w:r>
                          </w:p>
                        </w:txbxContent>
                      </v:textbox>
                    </v:rect>
                    <v:rect id="Rectangle 30" o:spid="_x0000_s1088" style="position:absolute;top:13049;width:12598;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" fillcolor="#006b7a [3204]" stroked="f" strokeweight="2pt">
                      <v:textbox inset="2mm,1mm,2mm,1mm">
                        <w:txbxContent>
                          <w:p w14:paraId="1AAB5368" w14:textId="77777777" w:rsidR="003E0782" w:rsidRDefault="003E0782" w:rsidP="00ED0E85">
                            <w:pPr>
                              <w:pStyle w:val="ChartBoldText"/>
                            </w:pPr>
                            <w:r>
                              <w:t>Larger buildings</w:t>
                            </w:r>
                          </w:p>
                        </w:txbxContent>
                      </v:textbox>
                    </v:rect>
                    <v:rect id="Rectangle 6" o:spid="_x0000_s1089" style="position:absolute;top:4095;width:12598;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" fillcolor="#006b7a [3204]" stroked="f" strokeweight="2pt">
                      <v:textbox inset="2mm,1mm,2mm,1mm">
                        <w:txbxContent>
                          <w:p w14:paraId="79EF9BB5" w14:textId="77777777" w:rsidR="003E0782" w:rsidRDefault="003E0782" w:rsidP="00ED0E85">
                            <w:pPr>
                              <w:pStyle w:val="ChartBoldText"/>
                            </w:pPr>
                            <w:r>
                              <w:t>More ratings</w:t>
                            </w:r>
                          </w:p>
                        </w:txbxContent>
                      </v:textbox>
                    </v:rect>
                    <v:rect id="Rectangle 28" o:spid="_x0000_s1090" style="position:absolute;width:1259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" fillcolor="#006b7a [3204]" stroked="f" strokeweight="2pt">
                      <v:textbox inset="2mm,1mm,2mm,1mm">
                        <w:txbxContent>
                          <w:p w14:paraId="12074F09" w14:textId="77777777" w:rsidR="003E0782" w:rsidRDefault="003E0782" w:rsidP="00ED0E85">
                            <w:pPr>
                              <w:pStyle w:val="ChartBoldText"/>
                            </w:pPr>
                            <w:r>
                              <w:t>Low initial star rating</w:t>
                            </w:r>
                          </w:p>
                        </w:txbxContent>
                      </v:textbox>
                    </v:rect>
                  </v:group>
                </v:group>
              </v:group>
            </w:pict>
          </mc:Fallback>
        </mc:AlternateContent>
      </w:r>
      <w:r w:rsidR="00ED0E85">
        <w:fldChar w:fldCharType="begin"/>
      </w:r>
      <w:r w:rsidR="00ED0E85">
        <w:instrText xml:space="preserve"> IF 1 = 1 "</w:instrText>
      </w:r>
      <w:r w:rsidR="00ED0E85">
        <w:fldChar w:fldCharType="begin"/>
      </w:r>
      <w:r w:rsidR="00ED0E85">
        <w:instrText xml:space="preserve"> IF </w:instrText>
      </w:r>
      <w:r w:rsidR="00ED0E85">
        <w:rPr>
          <w:noProof/>
        </w:rPr>
        <w:fldChar w:fldCharType="begin"/>
      </w:r>
      <w:r w:rsidR="00ED0E85">
        <w:rPr>
          <w:noProof/>
        </w:rPr>
        <w:instrText xml:space="preserve"> STYLEREF "Heading 6" \l \n </w:instrText>
      </w:r>
      <w:r w:rsidR="00ED0E85">
        <w:rPr>
          <w:noProof/>
        </w:rPr>
        <w:fldChar w:fldCharType="separate"/>
      </w:r>
      <w:r w:rsidR="00AD3561">
        <w:rPr>
          <w:noProof/>
        </w:rPr>
        <w:instrText>0</w:instrText>
      </w:r>
      <w:r w:rsidR="00ED0E85">
        <w:rPr>
          <w:noProof/>
        </w:rPr>
        <w:fldChar w:fldCharType="end"/>
      </w:r>
      <w:r w:rsidR="00ED0E85">
        <w:instrText xml:space="preserve"> = 0 "</w:instrText>
      </w:r>
      <w:r w:rsidR="00ED0E85">
        <w:fldChar w:fldCharType="begin"/>
      </w:r>
      <w:r w:rsidR="00ED0E85">
        <w:instrText xml:space="preserve"> IF </w:instrText>
      </w:r>
      <w:r w:rsidR="00ED0E85">
        <w:rPr>
          <w:noProof/>
        </w:rPr>
        <w:fldChar w:fldCharType="begin"/>
      </w:r>
      <w:r w:rsidR="00ED0E85">
        <w:rPr>
          <w:noProof/>
        </w:rPr>
        <w:instrText xml:space="preserve"> STYLEREF "Heading 1" \l \n </w:instrText>
      </w:r>
      <w:r w:rsidR="00ED0E85">
        <w:rPr>
          <w:noProof/>
        </w:rPr>
        <w:fldChar w:fldCharType="separate"/>
      </w:r>
      <w:r w:rsidR="00AD3561">
        <w:rPr>
          <w:noProof/>
        </w:rPr>
        <w:instrText>4</w:instrText>
      </w:r>
      <w:r w:rsidR="00ED0E85">
        <w:rPr>
          <w:noProof/>
        </w:rPr>
        <w:fldChar w:fldCharType="end"/>
      </w:r>
      <w:r w:rsidR="00ED0E85">
        <w:instrText xml:space="preserve"> = 0 "" "</w:instrText>
      </w:r>
      <w:r w:rsidR="00ED0E85">
        <w:rPr>
          <w:noProof/>
        </w:rPr>
        <w:fldChar w:fldCharType="begin"/>
      </w:r>
      <w:r w:rsidR="00ED0E85">
        <w:rPr>
          <w:noProof/>
        </w:rPr>
        <w:instrText xml:space="preserve"> STYLEREF "Heading 1" \l \n </w:instrText>
      </w:r>
      <w:r w:rsidR="00ED0E85">
        <w:rPr>
          <w:noProof/>
        </w:rPr>
        <w:fldChar w:fldCharType="separate"/>
      </w:r>
      <w:r w:rsidR="00AD3561">
        <w:rPr>
          <w:noProof/>
        </w:rPr>
        <w:instrText>4</w:instrText>
      </w:r>
      <w:r w:rsidR="00ED0E85">
        <w:rPr>
          <w:noProof/>
        </w:rPr>
        <w:fldChar w:fldCharType="end"/>
      </w:r>
      <w:r w:rsidR="00ED0E85">
        <w:instrText xml:space="preserve">." </w:instrText>
      </w:r>
      <w:r w:rsidR="00ED0E85">
        <w:fldChar w:fldCharType="separate"/>
      </w:r>
      <w:r w:rsidR="00AD3561">
        <w:rPr>
          <w:noProof/>
        </w:rPr>
        <w:instrText>4.</w:instrText>
      </w:r>
      <w:r w:rsidR="00ED0E85">
        <w:fldChar w:fldCharType="end"/>
      </w:r>
      <w:r w:rsidR="00ED0E85">
        <w:instrText>" "</w:instrText>
      </w:r>
      <w:r w:rsidR="00ED0E85">
        <w:rPr>
          <w:noProof/>
        </w:rPr>
        <w:fldChar w:fldCharType="begin"/>
      </w:r>
      <w:r w:rsidR="00ED0E85">
        <w:rPr>
          <w:noProof/>
        </w:rPr>
        <w:instrText xml:space="preserve"> STYLEREF "Heading 6" \l \n </w:instrText>
      </w:r>
      <w:r w:rsidR="00ED0E85">
        <w:rPr>
          <w:noProof/>
        </w:rPr>
        <w:fldChar w:fldCharType="separate"/>
      </w:r>
      <w:r w:rsidR="00ED0E85">
        <w:rPr>
          <w:noProof/>
        </w:rPr>
        <w:instrText>A</w:instrText>
      </w:r>
      <w:r w:rsidR="00ED0E85">
        <w:rPr>
          <w:noProof/>
        </w:rPr>
        <w:fldChar w:fldCharType="end"/>
      </w:r>
      <w:r w:rsidR="00ED0E85">
        <w:instrText xml:space="preserve">." </w:instrText>
      </w:r>
      <w:r w:rsidR="00ED0E85">
        <w:fldChar w:fldCharType="separate"/>
      </w:r>
      <w:r w:rsidR="00C353B5">
        <w:rPr>
          <w:noProof/>
        </w:rPr>
        <w:instrText>4.</w:instrText>
      </w:r>
      <w:r w:rsidR="00ED0E85">
        <w:fldChar w:fldCharType="end"/>
      </w:r>
      <w:r w:rsidR="00ED0E85">
        <w:fldChar w:fldCharType="begin"/>
      </w:r>
      <w:r w:rsidR="00ED0E85">
        <w:instrText xml:space="preserve"> SEQ Item \* ARABIC \s </w:instrText>
      </w:r>
      <w:r w:rsidR="00ED0E85">
        <w:fldChar w:fldCharType="begin"/>
      </w:r>
      <w:r w:rsidR="00ED0E85">
        <w:instrText xml:space="preserve"> IF </w:instrText>
      </w:r>
      <w:r w:rsidR="00ED0E85">
        <w:rPr>
          <w:noProof/>
        </w:rPr>
        <w:fldChar w:fldCharType="begin"/>
      </w:r>
      <w:r w:rsidR="00ED0E85">
        <w:rPr>
          <w:noProof/>
        </w:rPr>
        <w:instrText xml:space="preserve"> STYLEREF "Heading 6" \l \n </w:instrText>
      </w:r>
      <w:r w:rsidR="00ED0E85">
        <w:rPr>
          <w:noProof/>
        </w:rPr>
        <w:fldChar w:fldCharType="separate"/>
      </w:r>
      <w:r w:rsidR="00AD3561">
        <w:rPr>
          <w:noProof/>
        </w:rPr>
        <w:instrText>0</w:instrText>
      </w:r>
      <w:r w:rsidR="00ED0E85">
        <w:rPr>
          <w:noProof/>
        </w:rPr>
        <w:fldChar w:fldCharType="end"/>
      </w:r>
      <w:r w:rsidR="00ED0E85">
        <w:instrText xml:space="preserve"> = 0 "</w:instrText>
      </w:r>
      <w:r w:rsidR="00ED0E85">
        <w:fldChar w:fldCharType="begin"/>
      </w:r>
      <w:r w:rsidR="00ED0E85">
        <w:instrText xml:space="preserve"> IF </w:instrText>
      </w:r>
      <w:r w:rsidR="00ED0E85">
        <w:rPr>
          <w:noProof/>
        </w:rPr>
        <w:fldChar w:fldCharType="begin"/>
      </w:r>
      <w:r w:rsidR="00ED0E85">
        <w:rPr>
          <w:noProof/>
        </w:rPr>
        <w:instrText xml:space="preserve"> STYLEREF "Heading 1" \l \n </w:instrText>
      </w:r>
      <w:r w:rsidR="00ED0E85">
        <w:rPr>
          <w:noProof/>
        </w:rPr>
        <w:fldChar w:fldCharType="separate"/>
      </w:r>
      <w:r w:rsidR="00AD3561">
        <w:rPr>
          <w:noProof/>
        </w:rPr>
        <w:instrText>4</w:instrText>
      </w:r>
      <w:r w:rsidR="00ED0E85">
        <w:rPr>
          <w:noProof/>
        </w:rPr>
        <w:fldChar w:fldCharType="end"/>
      </w:r>
      <w:r w:rsidR="00ED0E85">
        <w:instrText xml:space="preserve"> = 0 "" "1" </w:instrText>
      </w:r>
      <w:r w:rsidR="00ED0E85">
        <w:fldChar w:fldCharType="separate"/>
      </w:r>
      <w:r w:rsidR="00C353B5">
        <w:rPr>
          <w:noProof/>
        </w:rPr>
        <w:instrText>1</w:instrText>
      </w:r>
      <w:r w:rsidR="00ED0E85">
        <w:fldChar w:fldCharType="end"/>
      </w:r>
      <w:r w:rsidR="00ED0E85">
        <w:instrText xml:space="preserve">" "6" </w:instrText>
      </w:r>
      <w:r w:rsidR="00ED0E85">
        <w:fldChar w:fldCharType="separate"/>
      </w:r>
      <w:r w:rsidR="00C353B5">
        <w:rPr>
          <w:noProof/>
        </w:rPr>
        <w:instrText>1</w:instrText>
      </w:r>
      <w:r w:rsidR="00ED0E85">
        <w:fldChar w:fldCharType="end"/>
      </w:r>
      <w:r w:rsidR="00ED0E85">
        <w:instrText xml:space="preserve"> </w:instrText>
      </w:r>
      <w:r w:rsidR="00ED0E85">
        <w:fldChar w:fldCharType="separate"/>
      </w:r>
      <w:r w:rsidR="00AD3561">
        <w:rPr>
          <w:noProof/>
        </w:rPr>
        <w:instrText>9</w:instrText>
      </w:r>
      <w:r w:rsidR="00ED0E85">
        <w:fldChar w:fldCharType="end"/>
      </w:r>
      <w:r w:rsidR="00ED0E85">
        <w:instrText xml:space="preserve">" "" </w:instrText>
      </w:r>
      <w:r w:rsidR="00ED0E85">
        <w:fldChar w:fldCharType="separate"/>
      </w:r>
      <w:bookmarkStart w:id="1971" w:name="_Caption3640"/>
      <w:bookmarkStart w:id="1972" w:name="_Caption1206"/>
      <w:bookmarkStart w:id="1973" w:name="_Caption4724"/>
      <w:bookmarkStart w:id="1974" w:name="_Caption2414"/>
      <w:bookmarkStart w:id="1975" w:name="_Caption4255"/>
      <w:bookmarkStart w:id="1976" w:name="_Caption9686"/>
      <w:bookmarkStart w:id="1977" w:name="_Caption1120"/>
      <w:bookmarkStart w:id="1978" w:name="_Caption1585"/>
      <w:bookmarkStart w:id="1979" w:name="_Caption2064"/>
      <w:bookmarkStart w:id="1980" w:name="_Caption2135"/>
      <w:bookmarkStart w:id="1981" w:name="_Caption1879"/>
      <w:bookmarkStart w:id="1982" w:name="_Caption9919"/>
      <w:bookmarkStart w:id="1983" w:name="_Caption3866"/>
      <w:bookmarkStart w:id="1984" w:name="_Caption8294"/>
      <w:bookmarkStart w:id="1985" w:name="_Caption6394"/>
      <w:bookmarkStart w:id="1986" w:name="_Caption1247"/>
      <w:bookmarkStart w:id="1987" w:name="_Caption3833"/>
      <w:bookmarkStart w:id="1988" w:name="_Caption6929"/>
      <w:bookmarkStart w:id="1989" w:name="_Caption3362"/>
      <w:bookmarkStart w:id="1990" w:name="_Caption4405"/>
      <w:bookmarkStart w:id="1991" w:name="_Caption4305"/>
      <w:bookmarkStart w:id="1992" w:name="_Caption0772"/>
      <w:bookmarkStart w:id="1993" w:name="_Caption6021"/>
      <w:bookmarkStart w:id="1994" w:name="_Caption6856"/>
      <w:bookmarkStart w:id="1995" w:name="_Caption9520"/>
      <w:bookmarkStart w:id="1996" w:name="_Caption7607"/>
      <w:bookmarkStart w:id="1997" w:name="_Caption4021"/>
      <w:bookmarkStart w:id="1998" w:name="_Caption7922"/>
      <w:bookmarkStart w:id="1999" w:name="_Caption8965"/>
      <w:bookmarkStart w:id="2000" w:name="_Caption1168"/>
      <w:bookmarkStart w:id="2001" w:name="_Caption8976"/>
      <w:bookmarkStart w:id="2002" w:name="_Caption2235"/>
      <w:bookmarkStart w:id="2003" w:name="_Caption4692"/>
      <w:bookmarkStart w:id="2004" w:name="_Caption6395"/>
      <w:bookmarkStart w:id="2005" w:name="_Caption1156"/>
      <w:bookmarkStart w:id="2006" w:name="_Caption7085"/>
      <w:bookmarkStart w:id="2007" w:name="_Caption5081"/>
      <w:bookmarkStart w:id="2008" w:name="_Caption2957"/>
      <w:bookmarkStart w:id="2009" w:name="_Caption6903"/>
      <w:bookmarkStart w:id="2010" w:name="_Caption3885"/>
      <w:bookmarkStart w:id="2011" w:name="_Caption1040"/>
      <w:bookmarkStart w:id="2012" w:name="_Caption6453"/>
      <w:bookmarkStart w:id="2013" w:name="_Caption3824"/>
      <w:bookmarkStart w:id="2014" w:name="_Caption8228"/>
      <w:bookmarkStart w:id="2015" w:name="_Caption0768"/>
      <w:bookmarkStart w:id="2016" w:name="_Caption8845"/>
      <w:bookmarkStart w:id="2017" w:name="_Caption9310"/>
      <w:bookmarkStart w:id="2018" w:name="_Caption1441"/>
      <w:bookmarkStart w:id="2019" w:name="_Caption4760"/>
      <w:bookmarkStart w:id="2020" w:name="_Caption1333"/>
      <w:bookmarkStart w:id="2021" w:name="_Caption4558"/>
      <w:bookmarkStart w:id="2022" w:name="_Caption4748"/>
      <w:bookmarkStart w:id="2023" w:name="_Caption1733"/>
      <w:bookmarkStart w:id="2024" w:name="_Caption6599"/>
      <w:bookmarkStart w:id="2025" w:name="_Caption0190"/>
      <w:bookmarkStart w:id="2026" w:name="_Caption1626"/>
      <w:bookmarkStart w:id="2027" w:name="_Caption3646"/>
      <w:bookmarkStart w:id="2028" w:name="_Caption1886"/>
      <w:bookmarkStart w:id="2029" w:name="_Caption9381"/>
      <w:bookmarkStart w:id="2030" w:name="_Caption7766"/>
      <w:bookmarkStart w:id="2031" w:name="_Caption7621"/>
      <w:bookmarkStart w:id="2032" w:name="_Caption1214"/>
      <w:bookmarkStart w:id="2033" w:name="_Caption9319"/>
      <w:bookmarkStart w:id="2034" w:name="_Caption3287"/>
      <w:bookmarkStart w:id="2035" w:name="_Caption6143"/>
      <w:bookmarkStart w:id="2036" w:name="_Caption0608"/>
      <w:bookmarkStart w:id="2037" w:name="_Caption8571"/>
      <w:bookmarkStart w:id="2038" w:name="_Caption7608"/>
      <w:bookmarkStart w:id="2039" w:name="_Caption6714"/>
      <w:bookmarkStart w:id="2040" w:name="_Caption8337"/>
      <w:bookmarkStart w:id="2041" w:name="_Caption2106"/>
      <w:bookmarkStart w:id="2042" w:name="_Caption2823"/>
      <w:bookmarkStart w:id="2043" w:name="_Caption4681"/>
      <w:bookmarkStart w:id="2044" w:name="_Caption5432"/>
      <w:bookmarkStart w:id="2045" w:name="_Caption0735"/>
      <w:bookmarkStart w:id="2046" w:name="_Caption4767"/>
      <w:bookmarkStart w:id="2047" w:name="_Caption9279"/>
      <w:bookmarkStart w:id="2048" w:name="_Caption6248"/>
      <w:bookmarkStart w:id="2049" w:name="_Caption9943"/>
      <w:bookmarkStart w:id="2050" w:name="_Caption2009"/>
      <w:bookmarkStart w:id="2051" w:name="_Caption5516"/>
      <w:bookmarkStart w:id="2052" w:name="_Caption1700"/>
      <w:bookmarkStart w:id="2053" w:name="_Caption0317"/>
      <w:bookmarkStart w:id="2054" w:name="_Caption9020"/>
      <w:bookmarkStart w:id="2055" w:name="_Caption2399"/>
      <w:bookmarkStart w:id="2056" w:name="_Caption3836"/>
      <w:bookmarkStart w:id="2057" w:name="_Caption3521"/>
      <w:bookmarkStart w:id="2058" w:name="_Caption4189"/>
      <w:bookmarkStart w:id="2059" w:name="_Caption2255"/>
      <w:bookmarkStart w:id="2060" w:name="_Caption3687"/>
      <w:bookmarkStart w:id="2061" w:name="_Caption1469"/>
      <w:bookmarkStart w:id="2062" w:name="_Caption6042"/>
      <w:bookmarkStart w:id="2063" w:name="_Caption0346"/>
      <w:bookmarkStart w:id="2064" w:name="_Caption8992"/>
      <w:bookmarkStart w:id="2065" w:name="_Toc19275578"/>
      <w:bookmarkStart w:id="2066" w:name="_Toc19276188"/>
      <w:r w:rsidR="00C353B5">
        <w:rPr>
          <w:noProof/>
        </w:rPr>
        <w:t>4.9</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r w:rsidR="00ED0E85">
        <w:fldChar w:fldCharType="end"/>
      </w:r>
      <w:r w:rsidR="00ED0E85">
        <w:tab/>
        <w:t>Factors that impact on improvements in building energy performance</w:t>
      </w:r>
      <w:bookmarkEnd w:id="1970"/>
      <w:bookmarkEnd w:id="2065"/>
      <w:bookmarkEnd w:id="2066"/>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ED0E85" w14:paraId="0558D95D" w14:textId="77777777" w:rsidTr="00ED0E85">
        <w:trPr>
          <w:cantSplit/>
          <w:trHeight w:val="5256"/>
        </w:trPr>
        <w:tc>
          <w:tcPr>
            <w:tcW w:w="7938" w:type="dxa"/>
            <w:shd w:val="clear" w:color="auto" w:fill="E9E8E5" w:themeFill="background2"/>
            <w:hideMark/>
          </w:tcPr>
          <w:p w14:paraId="0D5EB52B" w14:textId="77777777" w:rsidR="00ED0E85" w:rsidRDefault="00ED0E85" w:rsidP="00ED0E85">
            <w:pPr>
              <w:pStyle w:val="Chart"/>
            </w:pPr>
          </w:p>
        </w:tc>
      </w:tr>
    </w:tbl>
    <w:p w14:paraId="3C9774BD" w14:textId="77777777" w:rsidR="00ED0E85" w:rsidRDefault="00ED0E85" w:rsidP="00ED0E85">
      <w:pPr>
        <w:pStyle w:val="Source"/>
      </w:pPr>
      <w:r>
        <w:rPr>
          <w:i/>
        </w:rPr>
        <w:t>Data source:</w:t>
      </w:r>
      <w:r>
        <w:t xml:space="preserve"> The CIE.</w:t>
      </w:r>
    </w:p>
    <w:p w14:paraId="19665A18" w14:textId="77777777" w:rsidR="00ED0E85" w:rsidRDefault="00ED0E85" w:rsidP="00ED0E85">
      <w:pPr>
        <w:pStyle w:val="BodyText"/>
        <w:rPr>
          <w:lang w:eastAsia="en-US"/>
        </w:rPr>
      </w:pPr>
      <w:r>
        <w:rPr>
          <w:lang w:eastAsia="en-US"/>
        </w:rPr>
        <w:t>To put the change in energy performance into perspective, for a very small building (2000 m</w:t>
      </w:r>
      <w:r w:rsidRPr="009253DC">
        <w:rPr>
          <w:vertAlign w:val="superscript"/>
          <w:lang w:eastAsia="en-US"/>
        </w:rPr>
        <w:t>2</w:t>
      </w:r>
      <w:r>
        <w:rPr>
          <w:lang w:eastAsia="en-US"/>
        </w:rPr>
        <w:t>), the energy savings from each additional BEEC is $1300 per year, or slightly more than $12 000 over 15 years (present value). The GHG emissions saved for this building are 9 tonnes for one year of 81 tonnes over 15 years (present value). The impacts are larger for larger building sizes, as the base energy use is higher.</w:t>
      </w:r>
    </w:p>
    <w:p w14:paraId="069AFF9F" w14:textId="37B0593E" w:rsidR="00ED0E85" w:rsidRDefault="00ED0E85" w:rsidP="00ED0E85">
      <w:pPr>
        <w:pStyle w:val="Caption"/>
      </w:pPr>
      <w:r>
        <w:fldChar w:fldCharType="begin"/>
      </w:r>
      <w:r>
        <w:instrText xml:space="preserve"> IF 1 = 1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4</w:instrText>
      </w:r>
      <w:r>
        <w:rPr>
          <w:noProof/>
        </w:rPr>
        <w:fldChar w:fldCharType="end"/>
      </w:r>
      <w:r>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4</w:instrText>
      </w:r>
      <w:r>
        <w:rPr>
          <w:noProof/>
        </w:rPr>
        <w:fldChar w:fldCharType="end"/>
      </w:r>
      <w:r>
        <w:instrText xml:space="preserve">." </w:instrText>
      </w:r>
      <w:r>
        <w:fldChar w:fldCharType="separate"/>
      </w:r>
      <w:r w:rsidR="00AD3561">
        <w:rPr>
          <w:noProof/>
        </w:rPr>
        <w:instrText>4.</w:instrText>
      </w:r>
      <w:r>
        <w:fldChar w:fldCharType="end"/>
      </w:r>
      <w:r>
        <w:instrText>" "</w:instrText>
      </w:r>
      <w:r w:rsidR="00C353B5">
        <w:fldChar w:fldCharType="begin"/>
      </w:r>
      <w:r w:rsidR="00C353B5">
        <w:instrText xml:space="preserve"> STYLEREF "Heading 6" \l \n </w:instrText>
      </w:r>
      <w:r w:rsidR="00C353B5">
        <w:fldChar w:fldCharType="separate"/>
      </w:r>
      <w:r>
        <w:instrText>B</w:instrText>
      </w:r>
      <w:r w:rsidR="00C353B5">
        <w:fldChar w:fldCharType="end"/>
      </w:r>
      <w:r>
        <w:instrText xml:space="preserve">." </w:instrText>
      </w:r>
      <w:r>
        <w:fldChar w:fldCharType="separate"/>
      </w:r>
      <w:r w:rsidR="00C353B5">
        <w:rPr>
          <w:noProof/>
        </w:rPr>
        <w:instrText>4.</w:instrText>
      </w:r>
      <w:r>
        <w:fldChar w:fldCharType="end"/>
      </w:r>
      <w:r>
        <w:fldChar w:fldCharType="begin"/>
      </w:r>
      <w:r>
        <w:instrText xml:space="preserve"> SEQ Item \* ARABIC \s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4</w:instrText>
      </w:r>
      <w:r>
        <w:rPr>
          <w:noProof/>
        </w:rPr>
        <w:fldChar w:fldCharType="end"/>
      </w:r>
      <w:r>
        <w:instrText xml:space="preserve"> = 0 "" "1" </w:instrText>
      </w:r>
      <w:r>
        <w:fldChar w:fldCharType="separate"/>
      </w:r>
      <w:r w:rsidR="00C353B5">
        <w:rPr>
          <w:noProof/>
        </w:rPr>
        <w:instrText>1</w:instrText>
      </w:r>
      <w:r>
        <w:fldChar w:fldCharType="end"/>
      </w:r>
      <w:r>
        <w:instrText xml:space="preserve">" "6" </w:instrText>
      </w:r>
      <w:r>
        <w:fldChar w:fldCharType="separate"/>
      </w:r>
      <w:r w:rsidR="00C353B5">
        <w:rPr>
          <w:noProof/>
        </w:rPr>
        <w:instrText>1</w:instrText>
      </w:r>
      <w:r>
        <w:fldChar w:fldCharType="end"/>
      </w:r>
      <w:r>
        <w:instrText xml:space="preserve"> </w:instrText>
      </w:r>
      <w:r>
        <w:fldChar w:fldCharType="separate"/>
      </w:r>
      <w:r w:rsidR="00AD3561">
        <w:rPr>
          <w:noProof/>
        </w:rPr>
        <w:instrText>10</w:instrText>
      </w:r>
      <w:r>
        <w:fldChar w:fldCharType="end"/>
      </w:r>
      <w:r>
        <w:instrText xml:space="preserve">" "" </w:instrText>
      </w:r>
      <w:r>
        <w:fldChar w:fldCharType="separate"/>
      </w:r>
      <w:bookmarkStart w:id="2067" w:name="_Caption5416"/>
      <w:bookmarkStart w:id="2068" w:name="_Caption0632"/>
      <w:bookmarkStart w:id="2069" w:name="_Caption5965"/>
      <w:bookmarkStart w:id="2070" w:name="_Caption9129"/>
      <w:bookmarkStart w:id="2071" w:name="_Caption9316"/>
      <w:bookmarkStart w:id="2072" w:name="_Caption1528"/>
      <w:bookmarkStart w:id="2073" w:name="_Caption0520"/>
      <w:bookmarkStart w:id="2074" w:name="_Caption4082"/>
      <w:bookmarkStart w:id="2075" w:name="_Caption4227"/>
      <w:bookmarkStart w:id="2076" w:name="_Caption1667"/>
      <w:bookmarkStart w:id="2077" w:name="_Caption0209"/>
      <w:bookmarkStart w:id="2078" w:name="_Caption4899"/>
      <w:bookmarkStart w:id="2079" w:name="_Caption6364"/>
      <w:bookmarkStart w:id="2080" w:name="_Caption1137"/>
      <w:bookmarkStart w:id="2081" w:name="_Caption5418"/>
      <w:bookmarkStart w:id="2082" w:name="_Caption8363"/>
      <w:bookmarkStart w:id="2083" w:name="_Caption1309"/>
      <w:bookmarkStart w:id="2084" w:name="_Caption4151"/>
      <w:bookmarkStart w:id="2085" w:name="_Caption3896"/>
      <w:bookmarkStart w:id="2086" w:name="_Caption5326"/>
      <w:bookmarkStart w:id="2087" w:name="_Caption8684"/>
      <w:bookmarkStart w:id="2088" w:name="_Caption9597"/>
      <w:bookmarkStart w:id="2089" w:name="_Caption2897"/>
      <w:bookmarkStart w:id="2090" w:name="_Caption5681"/>
      <w:bookmarkStart w:id="2091" w:name="_Caption1163"/>
      <w:bookmarkStart w:id="2092" w:name="_Caption7887"/>
      <w:bookmarkStart w:id="2093" w:name="_Caption7119"/>
      <w:bookmarkStart w:id="2094" w:name="_Caption2301"/>
      <w:bookmarkStart w:id="2095" w:name="_Caption5827"/>
      <w:bookmarkStart w:id="2096" w:name="_Caption8045"/>
      <w:bookmarkStart w:id="2097" w:name="_Caption9856"/>
      <w:bookmarkStart w:id="2098" w:name="_Caption7683"/>
      <w:bookmarkStart w:id="2099" w:name="_Caption5999"/>
      <w:bookmarkStart w:id="2100" w:name="_Caption6127"/>
      <w:bookmarkStart w:id="2101" w:name="_Caption5546"/>
      <w:bookmarkStart w:id="2102" w:name="_Caption6187"/>
      <w:bookmarkStart w:id="2103" w:name="_Caption2798"/>
      <w:bookmarkStart w:id="2104" w:name="_Caption0246"/>
      <w:bookmarkStart w:id="2105" w:name="_Caption7691"/>
      <w:bookmarkStart w:id="2106" w:name="_Caption2110"/>
      <w:bookmarkStart w:id="2107" w:name="_Caption1828"/>
      <w:bookmarkStart w:id="2108" w:name="_Caption1087"/>
      <w:bookmarkStart w:id="2109" w:name="_Caption3931"/>
      <w:bookmarkStart w:id="2110" w:name="_Caption1580"/>
      <w:bookmarkStart w:id="2111" w:name="_Caption0447"/>
      <w:bookmarkStart w:id="2112" w:name="_Caption8592"/>
      <w:bookmarkStart w:id="2113" w:name="_Caption0867"/>
      <w:bookmarkStart w:id="2114" w:name="_Caption7927"/>
      <w:bookmarkStart w:id="2115" w:name="_Caption1440"/>
      <w:bookmarkStart w:id="2116" w:name="_Caption7717"/>
      <w:bookmarkStart w:id="2117" w:name="_Caption8273"/>
      <w:bookmarkStart w:id="2118" w:name="_Caption9023"/>
      <w:bookmarkStart w:id="2119" w:name="_Caption7041"/>
      <w:bookmarkStart w:id="2120" w:name="_Caption4062"/>
      <w:bookmarkStart w:id="2121" w:name="_Caption7889"/>
      <w:bookmarkStart w:id="2122" w:name="_Caption4342"/>
      <w:bookmarkStart w:id="2123" w:name="_Caption2674"/>
      <w:bookmarkStart w:id="2124" w:name="_Caption0170"/>
      <w:bookmarkStart w:id="2125" w:name="_Caption1545"/>
      <w:bookmarkStart w:id="2126" w:name="_Caption5337"/>
      <w:bookmarkStart w:id="2127" w:name="_Caption2594"/>
      <w:bookmarkStart w:id="2128" w:name="_Caption9692"/>
      <w:bookmarkStart w:id="2129" w:name="_Caption9548"/>
      <w:bookmarkStart w:id="2130" w:name="_Caption5741"/>
      <w:bookmarkStart w:id="2131" w:name="_Caption3360"/>
      <w:bookmarkStart w:id="2132" w:name="_Caption4892"/>
      <w:bookmarkStart w:id="2133" w:name="_Caption5939"/>
      <w:bookmarkStart w:id="2134" w:name="_Caption4632"/>
      <w:bookmarkStart w:id="2135" w:name="_Caption1633"/>
      <w:bookmarkStart w:id="2136" w:name="_Caption1012"/>
      <w:bookmarkStart w:id="2137" w:name="_Caption2849"/>
      <w:bookmarkStart w:id="2138" w:name="_Caption6242"/>
      <w:bookmarkStart w:id="2139" w:name="_Caption6419"/>
      <w:bookmarkStart w:id="2140" w:name="_Caption2978"/>
      <w:bookmarkStart w:id="2141" w:name="_Caption6236"/>
      <w:bookmarkStart w:id="2142" w:name="_Caption6730"/>
      <w:bookmarkStart w:id="2143" w:name="_Caption4392"/>
      <w:bookmarkStart w:id="2144" w:name="_Caption7914"/>
      <w:bookmarkStart w:id="2145" w:name="_Caption8617"/>
      <w:bookmarkStart w:id="2146" w:name="_Caption8533"/>
      <w:bookmarkStart w:id="2147" w:name="_Caption0375"/>
      <w:bookmarkStart w:id="2148" w:name="_Caption6272"/>
      <w:bookmarkStart w:id="2149" w:name="_Caption8659"/>
      <w:bookmarkStart w:id="2150" w:name="_Caption5324"/>
      <w:bookmarkStart w:id="2151" w:name="_Caption2340"/>
      <w:bookmarkStart w:id="2152" w:name="_Caption5938"/>
      <w:bookmarkStart w:id="2153" w:name="_Caption2266"/>
      <w:bookmarkStart w:id="2154" w:name="_Caption6420"/>
      <w:bookmarkStart w:id="2155" w:name="_Caption7651"/>
      <w:bookmarkStart w:id="2156" w:name="_Caption8599"/>
      <w:bookmarkStart w:id="2157" w:name="_Caption9272"/>
      <w:bookmarkStart w:id="2158" w:name="_Caption4471"/>
      <w:bookmarkStart w:id="2159" w:name="_Caption1195"/>
      <w:bookmarkStart w:id="2160" w:name="_Toc19275579"/>
      <w:bookmarkStart w:id="2161" w:name="_Toc19276189"/>
      <w:bookmarkStart w:id="2162" w:name="_Toc19280188"/>
      <w:r w:rsidR="00C353B5">
        <w:rPr>
          <w:noProof/>
        </w:rPr>
        <w:t>4.10</w:t>
      </w:r>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r>
        <w:fldChar w:fldCharType="end"/>
      </w:r>
      <w:r>
        <w:tab/>
        <w:t>Illustrative energy cost and GHG emissions reductions</w:t>
      </w:r>
      <w:bookmarkEnd w:id="2160"/>
      <w:bookmarkEnd w:id="2161"/>
      <w:bookmarkEnd w:id="2162"/>
    </w:p>
    <w:tbl>
      <w:tblPr>
        <w:tblW w:w="7938" w:type="dxa"/>
        <w:tblLook w:val="04A0" w:firstRow="1" w:lastRow="0" w:firstColumn="1" w:lastColumn="0" w:noHBand="0" w:noVBand="1"/>
      </w:tblPr>
      <w:tblGrid>
        <w:gridCol w:w="2835"/>
        <w:gridCol w:w="1314"/>
        <w:gridCol w:w="1263"/>
        <w:gridCol w:w="1263"/>
        <w:gridCol w:w="1263"/>
      </w:tblGrid>
      <w:tr w:rsidR="00ED0E85" w14:paraId="0873BA80" w14:textId="77777777" w:rsidTr="00ED0E85">
        <w:trPr>
          <w:trHeight w:val="250"/>
        </w:trPr>
        <w:tc>
          <w:tcPr>
            <w:tcW w:w="2835"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034D3362" w14:textId="77777777" w:rsidR="00ED0E85" w:rsidRDefault="00ED0E85" w:rsidP="00ED0E85">
            <w:pPr>
              <w:pStyle w:val="TableDataColumnHeading"/>
              <w:jc w:val="left"/>
            </w:pPr>
            <w:r>
              <w:t>Size of office building</w:t>
            </w:r>
          </w:p>
        </w:tc>
        <w:tc>
          <w:tcPr>
            <w:tcW w:w="1314"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43B8E80E" w14:textId="77777777" w:rsidR="00ED0E85" w:rsidRDefault="00ED0E85" w:rsidP="00ED0E85">
            <w:pPr>
              <w:pStyle w:val="TableDataColumnHeading"/>
            </w:pPr>
            <w:r>
              <w:t>2000 m</w:t>
            </w:r>
            <w:r w:rsidRPr="009253DC">
              <w:rPr>
                <w:vertAlign w:val="superscript"/>
              </w:rPr>
              <w:t>2</w:t>
            </w:r>
          </w:p>
        </w:tc>
        <w:tc>
          <w:tcPr>
            <w:tcW w:w="1263"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27AB366F" w14:textId="77777777" w:rsidR="00ED0E85" w:rsidRDefault="00ED0E85" w:rsidP="00ED0E85">
            <w:pPr>
              <w:pStyle w:val="TableDataColumnHeading"/>
            </w:pPr>
            <w:r>
              <w:t>10 000 m</w:t>
            </w:r>
            <w:r w:rsidRPr="009253DC">
              <w:rPr>
                <w:vertAlign w:val="superscript"/>
              </w:rPr>
              <w:t>2</w:t>
            </w:r>
          </w:p>
        </w:tc>
        <w:tc>
          <w:tcPr>
            <w:tcW w:w="1263"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6E540688" w14:textId="77777777" w:rsidR="00ED0E85" w:rsidRDefault="00ED0E85" w:rsidP="00ED0E85">
            <w:pPr>
              <w:pStyle w:val="TableDataColumnHeading"/>
            </w:pPr>
            <w:r>
              <w:t>20 000 m</w:t>
            </w:r>
            <w:r w:rsidRPr="009253DC">
              <w:rPr>
                <w:vertAlign w:val="superscript"/>
              </w:rPr>
              <w:t>2</w:t>
            </w:r>
          </w:p>
        </w:tc>
        <w:tc>
          <w:tcPr>
            <w:tcW w:w="1263"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288B70D1" w14:textId="77777777" w:rsidR="00ED0E85" w:rsidRDefault="00ED0E85" w:rsidP="00ED0E85">
            <w:pPr>
              <w:pStyle w:val="TableDataColumnHeading"/>
            </w:pPr>
            <w:r>
              <w:t>40 000 m</w:t>
            </w:r>
            <w:r w:rsidRPr="009253DC">
              <w:rPr>
                <w:vertAlign w:val="superscript"/>
              </w:rPr>
              <w:t>2</w:t>
            </w:r>
          </w:p>
        </w:tc>
      </w:tr>
      <w:tr w:rsidR="00ED0E85" w14:paraId="068979D0" w14:textId="77777777" w:rsidTr="00ED0E85">
        <w:trPr>
          <w:trHeight w:val="250"/>
        </w:trPr>
        <w:tc>
          <w:tcPr>
            <w:tcW w:w="2835" w:type="dxa"/>
            <w:tcBorders>
              <w:top w:val="single" w:sz="8" w:space="0" w:color="FFFFFF" w:themeColor="background1"/>
              <w:left w:val="nil"/>
              <w:bottom w:val="single" w:sz="8" w:space="0" w:color="FFFFFF" w:themeColor="background1"/>
              <w:right w:val="nil"/>
            </w:tcBorders>
            <w:shd w:val="clear" w:color="auto" w:fill="auto"/>
            <w:noWrap/>
            <w:tcMar>
              <w:top w:w="0" w:type="dxa"/>
              <w:left w:w="57" w:type="dxa"/>
              <w:bottom w:w="0" w:type="dxa"/>
              <w:right w:w="57" w:type="dxa"/>
            </w:tcMar>
            <w:hideMark/>
          </w:tcPr>
          <w:p w14:paraId="5AC6794B" w14:textId="77777777" w:rsidR="00ED0E85" w:rsidRDefault="00ED0E85" w:rsidP="00ED0E85">
            <w:pPr>
              <w:pStyle w:val="TableUnit"/>
            </w:pPr>
          </w:p>
        </w:tc>
        <w:tc>
          <w:tcPr>
            <w:tcW w:w="1314" w:type="dxa"/>
            <w:tcBorders>
              <w:top w:val="single" w:sz="8" w:space="0" w:color="FFFFFF" w:themeColor="background1"/>
              <w:left w:val="nil"/>
              <w:bottom w:val="single" w:sz="8" w:space="0" w:color="FFFFFF" w:themeColor="background1"/>
              <w:right w:val="nil"/>
            </w:tcBorders>
            <w:shd w:val="clear" w:color="auto" w:fill="auto"/>
            <w:noWrap/>
            <w:tcMar>
              <w:top w:w="0" w:type="dxa"/>
              <w:left w:w="57" w:type="dxa"/>
              <w:bottom w:w="0" w:type="dxa"/>
              <w:right w:w="57" w:type="dxa"/>
            </w:tcMar>
            <w:hideMark/>
          </w:tcPr>
          <w:p w14:paraId="0B282650" w14:textId="77777777" w:rsidR="00ED0E85" w:rsidRDefault="00ED0E85" w:rsidP="00ED0E85">
            <w:pPr>
              <w:pStyle w:val="TableUnit"/>
            </w:pPr>
            <w:r>
              <w:t>$/building</w:t>
            </w:r>
          </w:p>
        </w:tc>
        <w:tc>
          <w:tcPr>
            <w:tcW w:w="1263" w:type="dxa"/>
            <w:tcBorders>
              <w:top w:val="single" w:sz="8" w:space="0" w:color="FFFFFF" w:themeColor="background1"/>
              <w:left w:val="nil"/>
              <w:bottom w:val="single" w:sz="8" w:space="0" w:color="FFFFFF" w:themeColor="background1"/>
              <w:right w:val="nil"/>
            </w:tcBorders>
            <w:shd w:val="clear" w:color="auto" w:fill="auto"/>
            <w:noWrap/>
            <w:tcMar>
              <w:top w:w="0" w:type="dxa"/>
              <w:left w:w="57" w:type="dxa"/>
              <w:bottom w:w="0" w:type="dxa"/>
              <w:right w:w="57" w:type="dxa"/>
            </w:tcMar>
            <w:hideMark/>
          </w:tcPr>
          <w:p w14:paraId="1E528C67" w14:textId="77777777" w:rsidR="00ED0E85" w:rsidRDefault="00ED0E85" w:rsidP="00ED0E85">
            <w:pPr>
              <w:pStyle w:val="TableUnit"/>
            </w:pPr>
            <w:r>
              <w:t>$/building</w:t>
            </w:r>
          </w:p>
        </w:tc>
        <w:tc>
          <w:tcPr>
            <w:tcW w:w="1263" w:type="dxa"/>
            <w:tcBorders>
              <w:top w:val="single" w:sz="8" w:space="0" w:color="FFFFFF" w:themeColor="background1"/>
              <w:left w:val="nil"/>
              <w:bottom w:val="single" w:sz="8" w:space="0" w:color="FFFFFF" w:themeColor="background1"/>
              <w:right w:val="nil"/>
            </w:tcBorders>
            <w:shd w:val="clear" w:color="auto" w:fill="auto"/>
            <w:noWrap/>
            <w:tcMar>
              <w:top w:w="0" w:type="dxa"/>
              <w:left w:w="57" w:type="dxa"/>
              <w:bottom w:w="0" w:type="dxa"/>
              <w:right w:w="57" w:type="dxa"/>
            </w:tcMar>
            <w:hideMark/>
          </w:tcPr>
          <w:p w14:paraId="5FE10DE1" w14:textId="77777777" w:rsidR="00ED0E85" w:rsidRDefault="00ED0E85" w:rsidP="00ED0E85">
            <w:pPr>
              <w:pStyle w:val="TableUnit"/>
              <w:rPr>
                <w:rFonts w:ascii="Times New Roman" w:hAnsi="Times New Roman"/>
                <w:sz w:val="20"/>
                <w:szCs w:val="20"/>
              </w:rPr>
            </w:pPr>
            <w:r>
              <w:t>$/building</w:t>
            </w:r>
          </w:p>
        </w:tc>
        <w:tc>
          <w:tcPr>
            <w:tcW w:w="1263" w:type="dxa"/>
            <w:tcBorders>
              <w:top w:val="single" w:sz="8" w:space="0" w:color="FFFFFF" w:themeColor="background1"/>
              <w:left w:val="nil"/>
              <w:bottom w:val="single" w:sz="8" w:space="0" w:color="FFFFFF" w:themeColor="background1"/>
              <w:right w:val="nil"/>
            </w:tcBorders>
            <w:shd w:val="clear" w:color="auto" w:fill="auto"/>
            <w:noWrap/>
            <w:tcMar>
              <w:top w:w="0" w:type="dxa"/>
              <w:left w:w="57" w:type="dxa"/>
              <w:bottom w:w="0" w:type="dxa"/>
              <w:right w:w="57" w:type="dxa"/>
            </w:tcMar>
            <w:hideMark/>
          </w:tcPr>
          <w:p w14:paraId="57DE4EFF" w14:textId="77777777" w:rsidR="00ED0E85" w:rsidRDefault="00ED0E85" w:rsidP="00ED0E85">
            <w:pPr>
              <w:pStyle w:val="TableUnit"/>
              <w:rPr>
                <w:rFonts w:ascii="Times New Roman" w:hAnsi="Times New Roman"/>
                <w:sz w:val="20"/>
                <w:szCs w:val="20"/>
              </w:rPr>
            </w:pPr>
            <w:r>
              <w:t>$/building</w:t>
            </w:r>
          </w:p>
        </w:tc>
      </w:tr>
      <w:tr w:rsidR="00ED0E85" w14:paraId="72CCD202" w14:textId="77777777" w:rsidTr="00ED0E85">
        <w:trPr>
          <w:trHeight w:val="250"/>
        </w:trPr>
        <w:tc>
          <w:tcPr>
            <w:tcW w:w="2835"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tcPr>
          <w:p w14:paraId="6312C6A0" w14:textId="77777777" w:rsidR="00ED0E85" w:rsidRDefault="00ED0E85" w:rsidP="00ED0E85">
            <w:pPr>
              <w:pStyle w:val="TableHeading1"/>
            </w:pPr>
            <w:r>
              <w:t>Energy saving</w:t>
            </w:r>
          </w:p>
        </w:tc>
        <w:tc>
          <w:tcPr>
            <w:tcW w:w="1314"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vAlign w:val="bottom"/>
          </w:tcPr>
          <w:p w14:paraId="625ACC74" w14:textId="77777777" w:rsidR="00ED0E85" w:rsidRDefault="00ED0E85" w:rsidP="00ED0E85">
            <w:pPr>
              <w:pStyle w:val="TableHeading1"/>
            </w:pPr>
          </w:p>
        </w:tc>
        <w:tc>
          <w:tcPr>
            <w:tcW w:w="1263"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vAlign w:val="bottom"/>
          </w:tcPr>
          <w:p w14:paraId="5062604C" w14:textId="77777777" w:rsidR="00ED0E85" w:rsidRDefault="00ED0E85" w:rsidP="00ED0E85">
            <w:pPr>
              <w:pStyle w:val="TableHeading1"/>
            </w:pPr>
          </w:p>
        </w:tc>
        <w:tc>
          <w:tcPr>
            <w:tcW w:w="1263"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vAlign w:val="bottom"/>
          </w:tcPr>
          <w:p w14:paraId="69151B80" w14:textId="77777777" w:rsidR="00ED0E85" w:rsidRDefault="00ED0E85" w:rsidP="00ED0E85">
            <w:pPr>
              <w:pStyle w:val="TableHeading1"/>
            </w:pPr>
          </w:p>
        </w:tc>
        <w:tc>
          <w:tcPr>
            <w:tcW w:w="1263"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vAlign w:val="bottom"/>
          </w:tcPr>
          <w:p w14:paraId="69CCD9CF" w14:textId="77777777" w:rsidR="00ED0E85" w:rsidRDefault="00ED0E85" w:rsidP="00ED0E85">
            <w:pPr>
              <w:pStyle w:val="TableHeading1"/>
            </w:pPr>
          </w:p>
        </w:tc>
      </w:tr>
      <w:tr w:rsidR="00ED0E85" w14:paraId="6F857D86" w14:textId="77777777" w:rsidTr="00ED0E85">
        <w:trPr>
          <w:trHeight w:val="250"/>
        </w:trPr>
        <w:tc>
          <w:tcPr>
            <w:tcW w:w="283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6A18193" w14:textId="77777777" w:rsidR="00ED0E85" w:rsidRDefault="00ED0E85" w:rsidP="00ED0E85">
            <w:pPr>
              <w:pStyle w:val="TableDataEntries"/>
              <w:jc w:val="left"/>
            </w:pPr>
            <w:r>
              <w:t>One year</w:t>
            </w:r>
          </w:p>
        </w:tc>
        <w:tc>
          <w:tcPr>
            <w:tcW w:w="131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6CF4BF23" w14:textId="77777777" w:rsidR="00ED0E85" w:rsidRDefault="00ED0E85" w:rsidP="00ED0E85">
            <w:pPr>
              <w:pStyle w:val="TableDataEntries"/>
            </w:pPr>
            <w:r>
              <w:t>-1,333</w:t>
            </w:r>
          </w:p>
        </w:tc>
        <w:tc>
          <w:tcPr>
            <w:tcW w:w="126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0455A0A6" w14:textId="77777777" w:rsidR="00ED0E85" w:rsidRDefault="00ED0E85" w:rsidP="00ED0E85">
            <w:pPr>
              <w:pStyle w:val="TableDataEntries"/>
            </w:pPr>
            <w:r>
              <w:t>-6,667</w:t>
            </w:r>
          </w:p>
        </w:tc>
        <w:tc>
          <w:tcPr>
            <w:tcW w:w="126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6400A864" w14:textId="77777777" w:rsidR="00ED0E85" w:rsidRDefault="00ED0E85" w:rsidP="00ED0E85">
            <w:pPr>
              <w:pStyle w:val="TableDataEntries"/>
            </w:pPr>
            <w:r>
              <w:t>-13,333</w:t>
            </w:r>
          </w:p>
        </w:tc>
        <w:tc>
          <w:tcPr>
            <w:tcW w:w="126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0848E4FD" w14:textId="77777777" w:rsidR="00ED0E85" w:rsidRDefault="00ED0E85" w:rsidP="00ED0E85">
            <w:pPr>
              <w:pStyle w:val="TableDataEntries"/>
            </w:pPr>
            <w:r>
              <w:t>-26,667</w:t>
            </w:r>
          </w:p>
        </w:tc>
      </w:tr>
      <w:tr w:rsidR="00ED0E85" w14:paraId="2EDE33E2" w14:textId="77777777" w:rsidTr="00ED0E85">
        <w:trPr>
          <w:trHeight w:val="250"/>
        </w:trPr>
        <w:tc>
          <w:tcPr>
            <w:tcW w:w="283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F2D5FAF" w14:textId="77777777" w:rsidR="00ED0E85" w:rsidRDefault="00ED0E85" w:rsidP="00ED0E85">
            <w:pPr>
              <w:pStyle w:val="TableDataEntries"/>
              <w:jc w:val="left"/>
            </w:pPr>
            <w:r>
              <w:t>Present value over 15 years</w:t>
            </w:r>
          </w:p>
        </w:tc>
        <w:tc>
          <w:tcPr>
            <w:tcW w:w="131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3ABCACE4" w14:textId="77777777" w:rsidR="00ED0E85" w:rsidRDefault="00ED0E85" w:rsidP="00ED0E85">
            <w:pPr>
              <w:pStyle w:val="TableDataEntries"/>
            </w:pPr>
            <w:r>
              <w:t>-12,144</w:t>
            </w:r>
          </w:p>
        </w:tc>
        <w:tc>
          <w:tcPr>
            <w:tcW w:w="126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73418B74" w14:textId="77777777" w:rsidR="00ED0E85" w:rsidRDefault="00ED0E85" w:rsidP="00ED0E85">
            <w:pPr>
              <w:pStyle w:val="TableDataEntries"/>
            </w:pPr>
            <w:r>
              <w:t>-60,719</w:t>
            </w:r>
          </w:p>
        </w:tc>
        <w:tc>
          <w:tcPr>
            <w:tcW w:w="126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348FDF2C" w14:textId="77777777" w:rsidR="00ED0E85" w:rsidRDefault="00ED0E85" w:rsidP="00ED0E85">
            <w:pPr>
              <w:pStyle w:val="TableDataEntries"/>
            </w:pPr>
            <w:r>
              <w:t>-121,439</w:t>
            </w:r>
          </w:p>
        </w:tc>
        <w:tc>
          <w:tcPr>
            <w:tcW w:w="126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0E71628B" w14:textId="77777777" w:rsidR="00ED0E85" w:rsidRDefault="00ED0E85" w:rsidP="00ED0E85">
            <w:pPr>
              <w:pStyle w:val="TableDataEntries"/>
            </w:pPr>
            <w:r>
              <w:t>-242,878</w:t>
            </w:r>
          </w:p>
        </w:tc>
      </w:tr>
      <w:tr w:rsidR="00ED0E85" w14:paraId="35DB0E7A" w14:textId="77777777" w:rsidTr="00ED0E85">
        <w:trPr>
          <w:trHeight w:val="60"/>
        </w:trPr>
        <w:tc>
          <w:tcPr>
            <w:tcW w:w="2835" w:type="dxa"/>
            <w:tcBorders>
              <w:top w:val="single" w:sz="8" w:space="0" w:color="FFFFFF" w:themeColor="background1"/>
              <w:left w:val="nil"/>
              <w:bottom w:val="single" w:sz="8" w:space="0" w:color="FFFFFF" w:themeColor="background1"/>
              <w:right w:val="nil"/>
            </w:tcBorders>
            <w:shd w:val="clear" w:color="auto" w:fill="auto"/>
            <w:noWrap/>
            <w:tcMar>
              <w:top w:w="0" w:type="dxa"/>
              <w:left w:w="57" w:type="dxa"/>
              <w:bottom w:w="0" w:type="dxa"/>
              <w:right w:w="57" w:type="dxa"/>
            </w:tcMar>
            <w:vAlign w:val="bottom"/>
            <w:hideMark/>
          </w:tcPr>
          <w:p w14:paraId="1D792039" w14:textId="77777777" w:rsidR="00ED0E85" w:rsidRDefault="00ED0E85" w:rsidP="00ED0E85">
            <w:pPr>
              <w:pStyle w:val="TableUnit"/>
            </w:pPr>
          </w:p>
        </w:tc>
        <w:tc>
          <w:tcPr>
            <w:tcW w:w="1314" w:type="dxa"/>
            <w:tcBorders>
              <w:top w:val="single" w:sz="8" w:space="0" w:color="FFFFFF" w:themeColor="background1"/>
              <w:left w:val="nil"/>
              <w:bottom w:val="single" w:sz="8" w:space="0" w:color="FFFFFF" w:themeColor="background1"/>
              <w:right w:val="nil"/>
            </w:tcBorders>
            <w:shd w:val="clear" w:color="auto" w:fill="auto"/>
            <w:noWrap/>
            <w:tcMar>
              <w:top w:w="0" w:type="dxa"/>
              <w:left w:w="57" w:type="dxa"/>
              <w:bottom w:w="0" w:type="dxa"/>
              <w:right w:w="57" w:type="dxa"/>
            </w:tcMar>
            <w:vAlign w:val="bottom"/>
            <w:hideMark/>
          </w:tcPr>
          <w:p w14:paraId="4AD5EA3F" w14:textId="77777777" w:rsidR="00ED0E85" w:rsidRDefault="00ED0E85" w:rsidP="00ED0E85">
            <w:pPr>
              <w:pStyle w:val="TableUnit"/>
            </w:pPr>
            <w:r>
              <w:t>Tonnes/building</w:t>
            </w:r>
          </w:p>
        </w:tc>
        <w:tc>
          <w:tcPr>
            <w:tcW w:w="1263" w:type="dxa"/>
            <w:tcBorders>
              <w:top w:val="single" w:sz="8" w:space="0" w:color="FFFFFF" w:themeColor="background1"/>
              <w:left w:val="nil"/>
              <w:bottom w:val="single" w:sz="8" w:space="0" w:color="FFFFFF" w:themeColor="background1"/>
              <w:right w:val="nil"/>
            </w:tcBorders>
            <w:shd w:val="clear" w:color="auto" w:fill="auto"/>
            <w:noWrap/>
            <w:tcMar>
              <w:top w:w="0" w:type="dxa"/>
              <w:left w:w="57" w:type="dxa"/>
              <w:bottom w:w="0" w:type="dxa"/>
              <w:right w:w="57" w:type="dxa"/>
            </w:tcMar>
            <w:vAlign w:val="bottom"/>
            <w:hideMark/>
          </w:tcPr>
          <w:p w14:paraId="0B884DEE" w14:textId="77777777" w:rsidR="00ED0E85" w:rsidRDefault="00ED0E85" w:rsidP="00ED0E85">
            <w:pPr>
              <w:pStyle w:val="TableUnit"/>
              <w:rPr>
                <w:rFonts w:ascii="Times New Roman" w:hAnsi="Times New Roman"/>
                <w:sz w:val="20"/>
                <w:szCs w:val="20"/>
              </w:rPr>
            </w:pPr>
            <w:r>
              <w:t>Tonnes/building</w:t>
            </w:r>
          </w:p>
        </w:tc>
        <w:tc>
          <w:tcPr>
            <w:tcW w:w="1263" w:type="dxa"/>
            <w:tcBorders>
              <w:top w:val="single" w:sz="8" w:space="0" w:color="FFFFFF" w:themeColor="background1"/>
              <w:left w:val="nil"/>
              <w:bottom w:val="single" w:sz="8" w:space="0" w:color="FFFFFF" w:themeColor="background1"/>
              <w:right w:val="nil"/>
            </w:tcBorders>
            <w:shd w:val="clear" w:color="auto" w:fill="auto"/>
            <w:noWrap/>
            <w:tcMar>
              <w:top w:w="0" w:type="dxa"/>
              <w:left w:w="57" w:type="dxa"/>
              <w:bottom w:w="0" w:type="dxa"/>
              <w:right w:w="57" w:type="dxa"/>
            </w:tcMar>
            <w:vAlign w:val="bottom"/>
            <w:hideMark/>
          </w:tcPr>
          <w:p w14:paraId="07224B2D" w14:textId="77777777" w:rsidR="00ED0E85" w:rsidRDefault="00ED0E85" w:rsidP="00ED0E85">
            <w:pPr>
              <w:pStyle w:val="TableUnit"/>
              <w:rPr>
                <w:rFonts w:ascii="Times New Roman" w:hAnsi="Times New Roman"/>
                <w:sz w:val="20"/>
                <w:szCs w:val="20"/>
              </w:rPr>
            </w:pPr>
            <w:r>
              <w:t>Tonnes/building</w:t>
            </w:r>
          </w:p>
        </w:tc>
        <w:tc>
          <w:tcPr>
            <w:tcW w:w="1263" w:type="dxa"/>
            <w:tcBorders>
              <w:top w:val="single" w:sz="8" w:space="0" w:color="FFFFFF" w:themeColor="background1"/>
              <w:left w:val="nil"/>
              <w:bottom w:val="single" w:sz="8" w:space="0" w:color="FFFFFF" w:themeColor="background1"/>
              <w:right w:val="nil"/>
            </w:tcBorders>
            <w:shd w:val="clear" w:color="auto" w:fill="auto"/>
            <w:noWrap/>
            <w:tcMar>
              <w:top w:w="0" w:type="dxa"/>
              <w:left w:w="57" w:type="dxa"/>
              <w:bottom w:w="0" w:type="dxa"/>
              <w:right w:w="57" w:type="dxa"/>
            </w:tcMar>
            <w:vAlign w:val="bottom"/>
            <w:hideMark/>
          </w:tcPr>
          <w:p w14:paraId="49AABB2A" w14:textId="77777777" w:rsidR="00ED0E85" w:rsidRDefault="00ED0E85" w:rsidP="00ED0E85">
            <w:pPr>
              <w:pStyle w:val="TableUnit"/>
              <w:rPr>
                <w:rFonts w:ascii="Times New Roman" w:hAnsi="Times New Roman"/>
                <w:sz w:val="20"/>
                <w:szCs w:val="20"/>
              </w:rPr>
            </w:pPr>
            <w:r>
              <w:t>Tonnes/building</w:t>
            </w:r>
          </w:p>
        </w:tc>
      </w:tr>
      <w:tr w:rsidR="00ED0E85" w14:paraId="3C75031A" w14:textId="77777777" w:rsidTr="00ED0E85">
        <w:trPr>
          <w:trHeight w:val="250"/>
        </w:trPr>
        <w:tc>
          <w:tcPr>
            <w:tcW w:w="2835"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tcPr>
          <w:p w14:paraId="2FC73E74" w14:textId="77777777" w:rsidR="00ED0E85" w:rsidRDefault="00ED0E85" w:rsidP="00ED0E85">
            <w:pPr>
              <w:pStyle w:val="TableHeading1"/>
            </w:pPr>
            <w:r>
              <w:t>GHG emissions savings</w:t>
            </w:r>
          </w:p>
        </w:tc>
        <w:tc>
          <w:tcPr>
            <w:tcW w:w="1314"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vAlign w:val="bottom"/>
          </w:tcPr>
          <w:p w14:paraId="09B3C3B5" w14:textId="77777777" w:rsidR="00ED0E85" w:rsidRPr="004D5874" w:rsidRDefault="00ED0E85" w:rsidP="00ED0E85">
            <w:pPr>
              <w:pStyle w:val="TableHeading1"/>
            </w:pPr>
          </w:p>
        </w:tc>
        <w:tc>
          <w:tcPr>
            <w:tcW w:w="1263"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vAlign w:val="bottom"/>
          </w:tcPr>
          <w:p w14:paraId="5067A8E1" w14:textId="77777777" w:rsidR="00ED0E85" w:rsidRPr="004D5874" w:rsidRDefault="00ED0E85" w:rsidP="00ED0E85">
            <w:pPr>
              <w:pStyle w:val="TableHeading1"/>
            </w:pPr>
          </w:p>
        </w:tc>
        <w:tc>
          <w:tcPr>
            <w:tcW w:w="1263"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vAlign w:val="bottom"/>
          </w:tcPr>
          <w:p w14:paraId="33C6AD6F" w14:textId="77777777" w:rsidR="00ED0E85" w:rsidRPr="004D5874" w:rsidRDefault="00ED0E85" w:rsidP="00ED0E85">
            <w:pPr>
              <w:pStyle w:val="TableHeading1"/>
            </w:pPr>
          </w:p>
        </w:tc>
        <w:tc>
          <w:tcPr>
            <w:tcW w:w="1263"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vAlign w:val="bottom"/>
          </w:tcPr>
          <w:p w14:paraId="67F8522A" w14:textId="77777777" w:rsidR="00ED0E85" w:rsidRPr="004D5874" w:rsidRDefault="00ED0E85" w:rsidP="00ED0E85">
            <w:pPr>
              <w:pStyle w:val="TableHeading1"/>
            </w:pPr>
          </w:p>
        </w:tc>
      </w:tr>
      <w:tr w:rsidR="00ED0E85" w14:paraId="18241AEE" w14:textId="77777777" w:rsidTr="00ED0E85">
        <w:trPr>
          <w:trHeight w:val="250"/>
        </w:trPr>
        <w:tc>
          <w:tcPr>
            <w:tcW w:w="283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004E139" w14:textId="77777777" w:rsidR="00ED0E85" w:rsidRDefault="00ED0E85" w:rsidP="00ED0E85">
            <w:pPr>
              <w:pStyle w:val="TableDataEntries"/>
              <w:jc w:val="left"/>
            </w:pPr>
            <w:r>
              <w:t xml:space="preserve">   One year</w:t>
            </w:r>
          </w:p>
        </w:tc>
        <w:tc>
          <w:tcPr>
            <w:tcW w:w="131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06412D50" w14:textId="77777777" w:rsidR="00ED0E85" w:rsidRPr="004D5874" w:rsidRDefault="00ED0E85" w:rsidP="00ED0E85">
            <w:pPr>
              <w:pStyle w:val="TableDataEntries"/>
            </w:pPr>
            <w:r w:rsidRPr="004D5874">
              <w:t>-9</w:t>
            </w:r>
          </w:p>
        </w:tc>
        <w:tc>
          <w:tcPr>
            <w:tcW w:w="126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0D74153B" w14:textId="77777777" w:rsidR="00ED0E85" w:rsidRPr="004D5874" w:rsidRDefault="00ED0E85" w:rsidP="00ED0E85">
            <w:pPr>
              <w:pStyle w:val="TableDataEntries"/>
            </w:pPr>
            <w:r w:rsidRPr="004D5874">
              <w:t>-44</w:t>
            </w:r>
          </w:p>
        </w:tc>
        <w:tc>
          <w:tcPr>
            <w:tcW w:w="126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395F30A1" w14:textId="77777777" w:rsidR="00ED0E85" w:rsidRPr="004D5874" w:rsidRDefault="00ED0E85" w:rsidP="00ED0E85">
            <w:pPr>
              <w:pStyle w:val="TableDataEntries"/>
            </w:pPr>
            <w:r w:rsidRPr="004D5874">
              <w:t>-89</w:t>
            </w:r>
          </w:p>
        </w:tc>
        <w:tc>
          <w:tcPr>
            <w:tcW w:w="1263"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vAlign w:val="bottom"/>
            <w:hideMark/>
          </w:tcPr>
          <w:p w14:paraId="13D9732C" w14:textId="77777777" w:rsidR="00ED0E85" w:rsidRPr="004D5874" w:rsidRDefault="00ED0E85" w:rsidP="00ED0E85">
            <w:pPr>
              <w:pStyle w:val="TableDataEntries"/>
            </w:pPr>
            <w:r w:rsidRPr="004D5874">
              <w:t>-178</w:t>
            </w:r>
          </w:p>
        </w:tc>
      </w:tr>
      <w:tr w:rsidR="00ED0E85" w14:paraId="49CF8739" w14:textId="77777777" w:rsidTr="00ED0E85">
        <w:trPr>
          <w:trHeight w:val="250"/>
        </w:trPr>
        <w:tc>
          <w:tcPr>
            <w:tcW w:w="2835"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3C29DBED" w14:textId="77777777" w:rsidR="00ED0E85" w:rsidRDefault="00ED0E85" w:rsidP="00ED0E85">
            <w:pPr>
              <w:pStyle w:val="TableDataEntries"/>
              <w:jc w:val="left"/>
            </w:pPr>
            <w:r>
              <w:t xml:space="preserve">   Present value over 15 years</w:t>
            </w:r>
          </w:p>
        </w:tc>
        <w:tc>
          <w:tcPr>
            <w:tcW w:w="1314"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vAlign w:val="bottom"/>
            <w:hideMark/>
          </w:tcPr>
          <w:p w14:paraId="2CE6E72B" w14:textId="77777777" w:rsidR="00ED0E85" w:rsidRPr="004D5874" w:rsidRDefault="00ED0E85" w:rsidP="00ED0E85">
            <w:pPr>
              <w:pStyle w:val="TableDataEntries"/>
            </w:pPr>
            <w:r w:rsidRPr="004D5874">
              <w:t>-81</w:t>
            </w:r>
          </w:p>
        </w:tc>
        <w:tc>
          <w:tcPr>
            <w:tcW w:w="1263"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vAlign w:val="bottom"/>
            <w:hideMark/>
          </w:tcPr>
          <w:p w14:paraId="313F2ED2" w14:textId="77777777" w:rsidR="00ED0E85" w:rsidRPr="004D5874" w:rsidRDefault="00ED0E85" w:rsidP="00ED0E85">
            <w:pPr>
              <w:pStyle w:val="TableDataEntries"/>
            </w:pPr>
            <w:r w:rsidRPr="004D5874">
              <w:t>-405</w:t>
            </w:r>
          </w:p>
        </w:tc>
        <w:tc>
          <w:tcPr>
            <w:tcW w:w="1263"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vAlign w:val="bottom"/>
            <w:hideMark/>
          </w:tcPr>
          <w:p w14:paraId="5FF3EBBB" w14:textId="77777777" w:rsidR="00ED0E85" w:rsidRPr="004D5874" w:rsidRDefault="00ED0E85" w:rsidP="00ED0E85">
            <w:pPr>
              <w:pStyle w:val="TableDataEntries"/>
            </w:pPr>
            <w:r w:rsidRPr="004D5874">
              <w:t>-810</w:t>
            </w:r>
          </w:p>
        </w:tc>
        <w:tc>
          <w:tcPr>
            <w:tcW w:w="1263"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vAlign w:val="bottom"/>
            <w:hideMark/>
          </w:tcPr>
          <w:p w14:paraId="2BA73CAD" w14:textId="77777777" w:rsidR="00ED0E85" w:rsidRPr="004D5874" w:rsidRDefault="00ED0E85" w:rsidP="00ED0E85">
            <w:pPr>
              <w:pStyle w:val="TableDataEntries"/>
            </w:pPr>
            <w:r w:rsidRPr="004D5874">
              <w:t>-1619</w:t>
            </w:r>
          </w:p>
        </w:tc>
      </w:tr>
    </w:tbl>
    <w:p w14:paraId="39836F66" w14:textId="77777777" w:rsidR="00ED0E85" w:rsidRDefault="00ED0E85" w:rsidP="00ED0E85">
      <w:pPr>
        <w:pStyle w:val="Note"/>
      </w:pPr>
      <w:r>
        <w:rPr>
          <w:i/>
        </w:rPr>
        <w:t>Note:</w:t>
      </w:r>
      <w:r>
        <w:t xml:space="preserve"> This uses an energy cost of 12 cents per kwh. For the present value calculations, the discount rate used is 7 per cent (real). The emissions factor used is 0.8 tonnes of CO2e per MWH. The cost benefit analysis will adjust these figures to be specific for electricity and gas, and for each jurisdiction.</w:t>
      </w:r>
    </w:p>
    <w:p w14:paraId="02555FCB" w14:textId="77777777" w:rsidR="00ED0E85" w:rsidRDefault="00ED0E85" w:rsidP="00ED0E85">
      <w:pPr>
        <w:pStyle w:val="Source"/>
      </w:pPr>
      <w:r>
        <w:rPr>
          <w:i/>
        </w:rPr>
        <w:t>Source:</w:t>
      </w:r>
      <w:r>
        <w:t xml:space="preserve"> The CIE.</w:t>
      </w:r>
    </w:p>
    <w:p w14:paraId="2048AA04" w14:textId="77777777" w:rsidR="00ED0E85" w:rsidRDefault="00ED0E85" w:rsidP="00ED0E85">
      <w:pPr>
        <w:pStyle w:val="Heading3"/>
        <w:numPr>
          <w:ilvl w:val="2"/>
          <w:numId w:val="5"/>
        </w:numPr>
      </w:pPr>
      <w:r>
        <w:t>Can the observed improvements be attributed to the CBD Program?</w:t>
      </w:r>
    </w:p>
    <w:p w14:paraId="1EAF28EF" w14:textId="77777777" w:rsidR="00ED0E85" w:rsidRDefault="00ED0E85" w:rsidP="00ED0E85">
      <w:pPr>
        <w:pStyle w:val="BodyText"/>
      </w:pPr>
      <w:r w:rsidRPr="00082878">
        <w:t xml:space="preserve">A key issue is whether the changes that have occurred </w:t>
      </w:r>
      <w:r>
        <w:t xml:space="preserve">are </w:t>
      </w:r>
      <w:r w:rsidRPr="00082878">
        <w:t xml:space="preserve">due to the CBD </w:t>
      </w:r>
      <w:r>
        <w:t>P</w:t>
      </w:r>
      <w:r w:rsidRPr="00082878">
        <w:t xml:space="preserve">rogram. </w:t>
      </w:r>
    </w:p>
    <w:p w14:paraId="40C21C43" w14:textId="77777777" w:rsidR="00ED0E85" w:rsidRDefault="00ED0E85" w:rsidP="00ED0E85">
      <w:pPr>
        <w:pStyle w:val="KeyPoint"/>
      </w:pPr>
      <w:r>
        <w:t>Overall the evidence</w:t>
      </w:r>
      <w:r w:rsidRPr="00082878">
        <w:t xml:space="preserve"> suggest</w:t>
      </w:r>
      <w:r>
        <w:t>s</w:t>
      </w:r>
      <w:r w:rsidRPr="00082878">
        <w:t xml:space="preserve"> that approximately half of the </w:t>
      </w:r>
      <w:r>
        <w:t xml:space="preserve">improvement in </w:t>
      </w:r>
      <w:r w:rsidRPr="00082878">
        <w:t xml:space="preserve">energy </w:t>
      </w:r>
      <w:r>
        <w:t>performance identified in the CBD and NABERS datasets (see above)</w:t>
      </w:r>
      <w:r w:rsidRPr="00082878">
        <w:t xml:space="preserve"> </w:t>
      </w:r>
      <w:r>
        <w:t>can be attributed</w:t>
      </w:r>
      <w:r w:rsidRPr="00082878">
        <w:t xml:space="preserve"> to the CBD </w:t>
      </w:r>
      <w:r>
        <w:t>P</w:t>
      </w:r>
      <w:r w:rsidRPr="00082878">
        <w:t>rogram.</w:t>
      </w:r>
    </w:p>
    <w:p w14:paraId="71C2FC18" w14:textId="77777777" w:rsidR="00ED0E85" w:rsidRDefault="00ED0E85" w:rsidP="00ED0E85">
      <w:pPr>
        <w:pStyle w:val="BodyText"/>
      </w:pPr>
      <w:r>
        <w:t>T</w:t>
      </w:r>
      <w:r w:rsidRPr="00082878">
        <w:t>he</w:t>
      </w:r>
      <w:r>
        <w:t>re is a</w:t>
      </w:r>
      <w:r w:rsidRPr="00082878">
        <w:t xml:space="preserve"> pattern of evidence </w:t>
      </w:r>
      <w:r>
        <w:t xml:space="preserve">(outlined in the previous chapter) that </w:t>
      </w:r>
      <w:r w:rsidRPr="00082878">
        <w:t xml:space="preserve">suggests the CBD </w:t>
      </w:r>
      <w:r>
        <w:t>P</w:t>
      </w:r>
      <w:r w:rsidRPr="00082878">
        <w:t xml:space="preserve">rogram </w:t>
      </w:r>
      <w:r>
        <w:t>has contributed to the observed</w:t>
      </w:r>
      <w:r w:rsidRPr="00082878">
        <w:t xml:space="preserve"> improv</w:t>
      </w:r>
      <w:r>
        <w:t>ements in</w:t>
      </w:r>
      <w:r w:rsidRPr="00082878">
        <w:t xml:space="preserve"> energy efficiency.</w:t>
      </w:r>
    </w:p>
    <w:p w14:paraId="604E290A" w14:textId="77777777" w:rsidR="00ED0E85" w:rsidRDefault="00ED0E85" w:rsidP="00ED0E85">
      <w:pPr>
        <w:pStyle w:val="ListBullet"/>
      </w:pPr>
      <w:r>
        <w:t>B</w:t>
      </w:r>
      <w:r w:rsidRPr="00082878">
        <w:t xml:space="preserve">uildings </w:t>
      </w:r>
      <w:r>
        <w:t>entering the NABERS system</w:t>
      </w:r>
      <w:r w:rsidRPr="00082878">
        <w:t xml:space="preserve"> tend to be less energy efficient than those already rating and that buildings with more ratings have achieved </w:t>
      </w:r>
      <w:r>
        <w:t>greater</w:t>
      </w:r>
      <w:r w:rsidRPr="00082878">
        <w:t xml:space="preserve"> performance</w:t>
      </w:r>
      <w:r>
        <w:t xml:space="preserve"> improvements</w:t>
      </w:r>
      <w:r w:rsidRPr="00082878">
        <w:t xml:space="preserve">. </w:t>
      </w:r>
    </w:p>
    <w:p w14:paraId="31895C72" w14:textId="77777777" w:rsidR="00ED0E85" w:rsidRPr="00082878" w:rsidRDefault="00ED0E85" w:rsidP="00ED0E85">
      <w:pPr>
        <w:pStyle w:val="ListBullet"/>
      </w:pPr>
      <w:r>
        <w:t>T</w:t>
      </w:r>
      <w:r w:rsidRPr="00082878">
        <w:t xml:space="preserve">hose achieving the worst performance have improved the most, indicative of the rating providing information. </w:t>
      </w:r>
    </w:p>
    <w:p w14:paraId="7DAC45E5" w14:textId="77777777" w:rsidR="00ED0E85" w:rsidRDefault="00ED0E85" w:rsidP="00ED0E85">
      <w:pPr>
        <w:pStyle w:val="BodyText"/>
      </w:pPr>
      <w:r>
        <w:t>That said, t</w:t>
      </w:r>
      <w:r w:rsidRPr="00082878">
        <w:t xml:space="preserve">here is also substantial evidence that the CBD </w:t>
      </w:r>
      <w:r>
        <w:t>P</w:t>
      </w:r>
      <w:r w:rsidRPr="00082878">
        <w:t>rogram is only a component of the changes in energy use achieved by office buildings.</w:t>
      </w:r>
    </w:p>
    <w:p w14:paraId="55026324" w14:textId="239A519C" w:rsidR="00ED0E85" w:rsidRDefault="00ED0E85" w:rsidP="00ED0E85">
      <w:pPr>
        <w:pStyle w:val="ListBullet"/>
      </w:pPr>
      <w:r w:rsidRPr="00082878">
        <w:t>A small sample of strata</w:t>
      </w:r>
      <w:r>
        <w:noBreakHyphen/>
      </w:r>
      <w:r w:rsidRPr="00082878">
        <w:t xml:space="preserve">titled buildings </w:t>
      </w:r>
      <w:r>
        <w:t xml:space="preserve">that are not covered by the CBD Program </w:t>
      </w:r>
      <w:r w:rsidRPr="00082878">
        <w:t>also achieved substantial reductions in energy use</w:t>
      </w:r>
      <w:r>
        <w:t xml:space="preserve"> (see table </w:t>
      </w:r>
      <w:r w:rsidR="004550CB">
        <w:rPr>
          <w:noProof/>
        </w:rPr>
        <w:fldChar w:fldCharType="begin"/>
      </w:r>
      <w:r w:rsidR="004550CB">
        <w:rPr>
          <w:noProof/>
        </w:rPr>
        <w:instrText xml:space="preserve"> REF _Caption7231 </w:instrText>
      </w:r>
      <w:r w:rsidR="004550CB">
        <w:rPr>
          <w:noProof/>
        </w:rPr>
        <w:fldChar w:fldCharType="separate"/>
      </w:r>
      <w:r w:rsidR="00AD3561">
        <w:rPr>
          <w:noProof/>
        </w:rPr>
        <w:t>4</w:t>
      </w:r>
      <w:r w:rsidR="00AD3561" w:rsidRPr="00082878">
        <w:rPr>
          <w:noProof/>
        </w:rPr>
        <w:t>.</w:t>
      </w:r>
      <w:r w:rsidR="00AD3561">
        <w:rPr>
          <w:noProof/>
        </w:rPr>
        <w:t>11</w:t>
      </w:r>
      <w:r w:rsidR="004550CB">
        <w:rPr>
          <w:noProof/>
        </w:rPr>
        <w:fldChar w:fldCharType="end"/>
      </w:r>
      <w:r>
        <w:t>)</w:t>
      </w:r>
      <w:r w:rsidRPr="00082878">
        <w:t>.</w:t>
      </w:r>
    </w:p>
    <w:p w14:paraId="57A24D25" w14:textId="77777777" w:rsidR="00ED0E85" w:rsidRDefault="00ED0E85" w:rsidP="00ED0E85">
      <w:pPr>
        <w:pStyle w:val="ListBullet"/>
      </w:pPr>
      <w:r w:rsidRPr="00082878">
        <w:t xml:space="preserve">Other statistical tests also suggest that only a component of the change observed is due to the CBD </w:t>
      </w:r>
      <w:r>
        <w:t>P</w:t>
      </w:r>
      <w:r w:rsidRPr="00082878">
        <w:t>rogram.</w:t>
      </w:r>
    </w:p>
    <w:p w14:paraId="087661F5" w14:textId="77777777" w:rsidR="00ED0E85" w:rsidRPr="00082878" w:rsidRDefault="00ED0E85" w:rsidP="00ED0E85">
      <w:pPr>
        <w:pStyle w:val="ListBullet"/>
      </w:pPr>
      <w:r w:rsidRPr="00082878">
        <w:t xml:space="preserve">A substantial share of the buildings were rating voluntarily prior to the CBD </w:t>
      </w:r>
      <w:r>
        <w:t>P</w:t>
      </w:r>
      <w:r w:rsidRPr="00082878">
        <w:t xml:space="preserve">rogram. Arguably, the energy savings and costs of obtaining NABERS ratings and making energy efficiency improvements would therefore have occurred </w:t>
      </w:r>
      <w:r>
        <w:t xml:space="preserve">(for at least some buildings) </w:t>
      </w:r>
      <w:r w:rsidRPr="00082878">
        <w:t xml:space="preserve">anyway, and are not driven by the CBD </w:t>
      </w:r>
      <w:r>
        <w:t>P</w:t>
      </w:r>
      <w:r w:rsidRPr="00082878">
        <w:t>rogram itself</w:t>
      </w:r>
      <w:r w:rsidRPr="00082878">
        <w:rPr>
          <w:rStyle w:val="FootnoteReference"/>
        </w:rPr>
        <w:footnoteReference w:id="24"/>
      </w:r>
    </w:p>
    <w:p w14:paraId="40989B7E" w14:textId="77777777" w:rsidR="00ED0E85" w:rsidRPr="00082878" w:rsidRDefault="00ED0E85" w:rsidP="00ED0E85">
      <w:pPr>
        <w:pStyle w:val="ListBullet"/>
      </w:pPr>
      <w:r w:rsidRPr="00082878">
        <w:t>Other factors have changed that could influence commercial building energy use. These include National Construction Code Changes and changes in energy prices.</w:t>
      </w:r>
    </w:p>
    <w:p w14:paraId="3992000C" w14:textId="77777777" w:rsidR="00ED0E85" w:rsidRPr="00082878" w:rsidRDefault="00ED0E85" w:rsidP="00ED0E85">
      <w:pPr>
        <w:pStyle w:val="ListBullet2"/>
      </w:pPr>
      <w:r w:rsidRPr="00082878">
        <w:t>National Construction Code Changes impact primarily on new buildings. We are tracking individual buildings over time and hence exclude these impacts.</w:t>
      </w:r>
      <w:r w:rsidRPr="00082878">
        <w:rPr>
          <w:rStyle w:val="FootnoteReference"/>
        </w:rPr>
        <w:footnoteReference w:id="25"/>
      </w:r>
    </w:p>
    <w:p w14:paraId="3118ACF1" w14:textId="77777777" w:rsidR="00ED0E85" w:rsidRPr="00082878" w:rsidRDefault="00ED0E85" w:rsidP="00ED0E85">
      <w:pPr>
        <w:pStyle w:val="ListBullet2"/>
      </w:pPr>
      <w:r w:rsidRPr="00082878">
        <w:t>There has been widespread commentary about rising energy prices over the period, which could be a driver of improvements in energy performance</w:t>
      </w:r>
    </w:p>
    <w:p w14:paraId="1AAF7890" w14:textId="77777777" w:rsidR="00ED0E85" w:rsidRPr="00082878" w:rsidRDefault="00ED0E85" w:rsidP="00ED0E85">
      <w:pPr>
        <w:pStyle w:val="ListBullet3"/>
      </w:pPr>
      <w:r w:rsidRPr="00082878">
        <w:t>our analysis of prices suggests that prices have increased in real terms particularly for gas. Prices of electricity have increased in most jurisdictions but not everywhere. Prices in NSW, for example, have fallen for larger commercial customers because of changes to tariff structures</w:t>
      </w:r>
    </w:p>
    <w:p w14:paraId="58B0EC13" w14:textId="77777777" w:rsidR="00ED0E85" w:rsidRPr="00082878" w:rsidRDefault="00ED0E85" w:rsidP="00ED0E85">
      <w:pPr>
        <w:pStyle w:val="ListBullet3"/>
      </w:pPr>
      <w:r w:rsidRPr="00082878">
        <w:t>we have looked at models incorporating prices changes to see if this changes the impact of additional NABERS ratings, and it does not. This makes sense given that despite falling real prices over some years, NSW has had similar energy efficiency improvements as other states</w:t>
      </w:r>
    </w:p>
    <w:p w14:paraId="165D84D9" w14:textId="77777777" w:rsidR="00ED0E85" w:rsidRPr="00082878" w:rsidRDefault="00ED0E85" w:rsidP="00ED0E85">
      <w:pPr>
        <w:pStyle w:val="ListBullet2"/>
      </w:pPr>
      <w:r w:rsidRPr="00082878">
        <w:t xml:space="preserve">New equipment is typically more energy efficient than older equipment, leading to improvements at end of life replacement. </w:t>
      </w:r>
    </w:p>
    <w:p w14:paraId="1CBE3A8C" w14:textId="77777777" w:rsidR="00ED0E85" w:rsidRPr="00082878" w:rsidRDefault="00ED0E85" w:rsidP="00ED0E85">
      <w:pPr>
        <w:pStyle w:val="ListBullet"/>
      </w:pPr>
      <w:r w:rsidRPr="00082878">
        <w:t>It is also possible that building energy performance for those buildings not voluntarily using NABERS would have declined rather than improved over time. For example, trends to have more people in each building increase the energy use per m</w:t>
      </w:r>
      <w:r w:rsidRPr="009253DC">
        <w:rPr>
          <w:vertAlign w:val="superscript"/>
        </w:rPr>
        <w:t>2</w:t>
      </w:r>
      <w:r w:rsidRPr="00082878">
        <w:t>, other things equal</w:t>
      </w:r>
      <w:r>
        <w:t>.</w:t>
      </w:r>
      <w:r w:rsidRPr="00082878">
        <w:rPr>
          <w:rStyle w:val="FootnoteReference"/>
        </w:rPr>
        <w:footnoteReference w:id="26"/>
      </w:r>
      <w:r w:rsidRPr="00082878">
        <w:t xml:space="preserve"> </w:t>
      </w:r>
    </w:p>
    <w:p w14:paraId="48D8CBCD" w14:textId="76A09191" w:rsidR="00ED0E85" w:rsidRPr="00082878" w:rsidRDefault="00ED0E85" w:rsidP="00ED0E85">
      <w:pPr>
        <w:pStyle w:val="Caption"/>
      </w:pPr>
      <w:r w:rsidRPr="00082878">
        <w:fldChar w:fldCharType="begin"/>
      </w:r>
      <w:r w:rsidRPr="00082878">
        <w:instrText xml:space="preserve"> IF 1 = 1 "</w:instrText>
      </w:r>
      <w:r w:rsidRPr="00082878">
        <w:fldChar w:fldCharType="begin"/>
      </w:r>
      <w:r w:rsidRPr="00082878">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082878">
        <w:instrText xml:space="preserve"> = 0 "</w:instrText>
      </w:r>
      <w:r w:rsidRPr="00082878">
        <w:fldChar w:fldCharType="begin"/>
      </w:r>
      <w:r w:rsidRPr="00082878">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082878">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082878">
        <w:instrText xml:space="preserve">." </w:instrText>
      </w:r>
      <w:r w:rsidRPr="00082878">
        <w:fldChar w:fldCharType="separate"/>
      </w:r>
      <w:r w:rsidR="00AD3561">
        <w:rPr>
          <w:noProof/>
        </w:rPr>
        <w:instrText>4</w:instrText>
      </w:r>
      <w:r w:rsidR="00AD3561" w:rsidRPr="00082878">
        <w:rPr>
          <w:noProof/>
        </w:rPr>
        <w:instrText>.</w:instrText>
      </w:r>
      <w:r w:rsidRPr="00082878">
        <w:fldChar w:fldCharType="end"/>
      </w:r>
      <w:r w:rsidRPr="00082878">
        <w:instrText>" "</w:instrText>
      </w:r>
      <w:r w:rsidR="00C353B5">
        <w:fldChar w:fldCharType="begin"/>
      </w:r>
      <w:r w:rsidR="00C353B5">
        <w:instrText xml:space="preserve"> STYLEREF "Heading 6" \l \n </w:instrText>
      </w:r>
      <w:r w:rsidR="00C353B5">
        <w:fldChar w:fldCharType="separate"/>
      </w:r>
      <w:r w:rsidRPr="00082878">
        <w:instrText>B</w:instrText>
      </w:r>
      <w:r w:rsidR="00C353B5">
        <w:fldChar w:fldCharType="end"/>
      </w:r>
      <w:r w:rsidRPr="00082878">
        <w:instrText xml:space="preserve">." </w:instrText>
      </w:r>
      <w:r w:rsidRPr="00082878">
        <w:fldChar w:fldCharType="separate"/>
      </w:r>
      <w:r w:rsidR="00C353B5">
        <w:rPr>
          <w:noProof/>
        </w:rPr>
        <w:instrText>4</w:instrText>
      </w:r>
      <w:r w:rsidR="00C353B5" w:rsidRPr="00082878">
        <w:rPr>
          <w:noProof/>
        </w:rPr>
        <w:instrText>.</w:instrText>
      </w:r>
      <w:r w:rsidRPr="00082878">
        <w:fldChar w:fldCharType="end"/>
      </w:r>
      <w:r w:rsidRPr="00082878">
        <w:fldChar w:fldCharType="begin"/>
      </w:r>
      <w:r w:rsidRPr="00082878">
        <w:instrText xml:space="preserve"> SEQ Item \* ARABIC \s </w:instrText>
      </w:r>
      <w:r w:rsidRPr="00082878">
        <w:fldChar w:fldCharType="begin"/>
      </w:r>
      <w:r w:rsidRPr="00082878">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082878">
        <w:instrText xml:space="preserve"> = 0 "</w:instrText>
      </w:r>
      <w:r w:rsidRPr="00082878">
        <w:fldChar w:fldCharType="begin"/>
      </w:r>
      <w:r w:rsidRPr="00082878">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082878">
        <w:instrText xml:space="preserve"> = 0 "" "1" </w:instrText>
      </w:r>
      <w:r w:rsidRPr="00082878">
        <w:fldChar w:fldCharType="separate"/>
      </w:r>
      <w:r w:rsidR="00C353B5" w:rsidRPr="00082878">
        <w:rPr>
          <w:noProof/>
        </w:rPr>
        <w:instrText>1</w:instrText>
      </w:r>
      <w:r w:rsidRPr="00082878">
        <w:fldChar w:fldCharType="end"/>
      </w:r>
      <w:r w:rsidRPr="00082878">
        <w:instrText xml:space="preserve">" "6" </w:instrText>
      </w:r>
      <w:r w:rsidRPr="00082878">
        <w:fldChar w:fldCharType="separate"/>
      </w:r>
      <w:r w:rsidR="00C353B5" w:rsidRPr="00082878">
        <w:rPr>
          <w:noProof/>
        </w:rPr>
        <w:instrText>1</w:instrText>
      </w:r>
      <w:r w:rsidRPr="00082878">
        <w:fldChar w:fldCharType="end"/>
      </w:r>
      <w:r w:rsidRPr="00082878">
        <w:instrText xml:space="preserve"> </w:instrText>
      </w:r>
      <w:r w:rsidRPr="00082878">
        <w:fldChar w:fldCharType="separate"/>
      </w:r>
      <w:r w:rsidR="00AD3561">
        <w:rPr>
          <w:noProof/>
        </w:rPr>
        <w:instrText>11</w:instrText>
      </w:r>
      <w:r w:rsidRPr="00082878">
        <w:fldChar w:fldCharType="end"/>
      </w:r>
      <w:r w:rsidRPr="00082878">
        <w:instrText xml:space="preserve">" "" </w:instrText>
      </w:r>
      <w:r w:rsidRPr="00082878">
        <w:fldChar w:fldCharType="separate"/>
      </w:r>
      <w:bookmarkStart w:id="2163" w:name="_Caption7231"/>
      <w:bookmarkStart w:id="2164" w:name="_Caption9077"/>
      <w:bookmarkStart w:id="2165" w:name="_Caption9043"/>
      <w:bookmarkStart w:id="2166" w:name="_Caption0838"/>
      <w:bookmarkStart w:id="2167" w:name="_Caption6097"/>
      <w:bookmarkStart w:id="2168" w:name="_Caption5655"/>
      <w:bookmarkStart w:id="2169" w:name="_Caption6230"/>
      <w:bookmarkStart w:id="2170" w:name="_Caption1758"/>
      <w:bookmarkStart w:id="2171" w:name="_Caption5633"/>
      <w:bookmarkStart w:id="2172" w:name="_Caption4061"/>
      <w:bookmarkStart w:id="2173" w:name="_Caption8915"/>
      <w:bookmarkStart w:id="2174" w:name="_Caption2568"/>
      <w:bookmarkStart w:id="2175" w:name="_Caption4380"/>
      <w:bookmarkStart w:id="2176" w:name="_Toc19275580"/>
      <w:bookmarkStart w:id="2177" w:name="_Toc19276190"/>
      <w:bookmarkStart w:id="2178" w:name="_Toc19280189"/>
      <w:r w:rsidR="00C353B5">
        <w:rPr>
          <w:noProof/>
        </w:rPr>
        <w:t>4</w:t>
      </w:r>
      <w:r w:rsidR="00C353B5" w:rsidRPr="00082878">
        <w:rPr>
          <w:noProof/>
        </w:rPr>
        <w:t>.</w:t>
      </w:r>
      <w:r w:rsidR="00C353B5">
        <w:rPr>
          <w:noProof/>
        </w:rPr>
        <w:t>11</w:t>
      </w:r>
      <w:bookmarkEnd w:id="2163"/>
      <w:bookmarkEnd w:id="2164"/>
      <w:bookmarkEnd w:id="2165"/>
      <w:bookmarkEnd w:id="2166"/>
      <w:bookmarkEnd w:id="2167"/>
      <w:bookmarkEnd w:id="2168"/>
      <w:bookmarkEnd w:id="2169"/>
      <w:bookmarkEnd w:id="2170"/>
      <w:bookmarkEnd w:id="2171"/>
      <w:bookmarkEnd w:id="2172"/>
      <w:bookmarkEnd w:id="2173"/>
      <w:bookmarkEnd w:id="2174"/>
      <w:bookmarkEnd w:id="2175"/>
      <w:r w:rsidRPr="00082878">
        <w:fldChar w:fldCharType="end"/>
      </w:r>
      <w:r w:rsidRPr="00082878">
        <w:tab/>
        <w:t>Changes in energy use from NABERS and counterfactual</w:t>
      </w:r>
      <w:bookmarkEnd w:id="2176"/>
      <w:bookmarkEnd w:id="2177"/>
      <w:bookmarkEnd w:id="2178"/>
    </w:p>
    <w:tbl>
      <w:tblPr>
        <w:tblW w:w="7937" w:type="dxa"/>
        <w:tblLook w:val="04A0" w:firstRow="1" w:lastRow="0" w:firstColumn="1" w:lastColumn="0" w:noHBand="0" w:noVBand="1"/>
      </w:tblPr>
      <w:tblGrid>
        <w:gridCol w:w="4495"/>
        <w:gridCol w:w="1721"/>
        <w:gridCol w:w="1721"/>
      </w:tblGrid>
      <w:tr w:rsidR="00ED0E85" w:rsidRPr="00082878" w14:paraId="0A8CA65E" w14:textId="77777777" w:rsidTr="00ED0E85">
        <w:trPr>
          <w:trHeight w:val="250"/>
          <w:tblHeader/>
        </w:trPr>
        <w:tc>
          <w:tcPr>
            <w:tcW w:w="4495" w:type="dxa"/>
            <w:shd w:val="clear" w:color="auto" w:fill="6F6652"/>
            <w:noWrap/>
            <w:tcMar>
              <w:left w:w="57" w:type="dxa"/>
              <w:right w:w="57" w:type="dxa"/>
            </w:tcMar>
            <w:hideMark/>
          </w:tcPr>
          <w:p w14:paraId="400F4121" w14:textId="77777777" w:rsidR="00ED0E85" w:rsidRPr="00082878" w:rsidRDefault="00ED0E85" w:rsidP="00ED0E85">
            <w:pPr>
              <w:pStyle w:val="TableDataColumnHeading"/>
              <w:jc w:val="left"/>
            </w:pPr>
          </w:p>
        </w:tc>
        <w:tc>
          <w:tcPr>
            <w:tcW w:w="1721" w:type="dxa"/>
            <w:shd w:val="clear" w:color="auto" w:fill="6F6652"/>
            <w:noWrap/>
            <w:tcMar>
              <w:left w:w="57" w:type="dxa"/>
              <w:right w:w="57" w:type="dxa"/>
            </w:tcMar>
            <w:hideMark/>
          </w:tcPr>
          <w:p w14:paraId="244257AC" w14:textId="77777777" w:rsidR="00ED0E85" w:rsidRPr="00082878" w:rsidRDefault="00ED0E85" w:rsidP="00ED0E85">
            <w:pPr>
              <w:pStyle w:val="TableDataColumnHeading"/>
              <w:rPr>
                <w:rFonts w:ascii="Franklin Gothic Book" w:hAnsi="Franklin Gothic Book"/>
                <w:sz w:val="18"/>
              </w:rPr>
            </w:pPr>
            <w:r w:rsidRPr="00082878">
              <w:rPr>
                <w:rFonts w:ascii="Franklin Gothic Book" w:hAnsi="Franklin Gothic Book"/>
                <w:sz w:val="18"/>
              </w:rPr>
              <w:t>CBD</w:t>
            </w:r>
          </w:p>
        </w:tc>
        <w:tc>
          <w:tcPr>
            <w:tcW w:w="1721" w:type="dxa"/>
            <w:shd w:val="clear" w:color="auto" w:fill="6F6652"/>
            <w:noWrap/>
            <w:tcMar>
              <w:left w:w="57" w:type="dxa"/>
              <w:right w:w="57" w:type="dxa"/>
            </w:tcMar>
            <w:hideMark/>
          </w:tcPr>
          <w:p w14:paraId="202A1C4E" w14:textId="77777777" w:rsidR="00ED0E85" w:rsidRPr="00082878" w:rsidRDefault="00ED0E85" w:rsidP="00ED0E85">
            <w:pPr>
              <w:pStyle w:val="TableDataColumnHeading"/>
              <w:rPr>
                <w:rFonts w:ascii="Franklin Gothic Book" w:hAnsi="Franklin Gothic Book"/>
                <w:sz w:val="18"/>
              </w:rPr>
            </w:pPr>
            <w:r w:rsidRPr="00082878">
              <w:rPr>
                <w:rFonts w:ascii="Franklin Gothic Book" w:hAnsi="Franklin Gothic Book"/>
                <w:sz w:val="18"/>
              </w:rPr>
              <w:t>Strata titled</w:t>
            </w:r>
          </w:p>
        </w:tc>
      </w:tr>
      <w:tr w:rsidR="00ED0E85" w:rsidRPr="00082878" w14:paraId="780FA193" w14:textId="77777777" w:rsidTr="00ED0E85">
        <w:trPr>
          <w:trHeight w:val="250"/>
          <w:tblHeader/>
        </w:trPr>
        <w:tc>
          <w:tcPr>
            <w:tcW w:w="4495" w:type="dxa"/>
            <w:tcBorders>
              <w:bottom w:val="single" w:sz="8" w:space="0" w:color="FFFFFF" w:themeColor="background1"/>
            </w:tcBorders>
            <w:shd w:val="clear" w:color="auto" w:fill="auto"/>
            <w:noWrap/>
            <w:tcMar>
              <w:left w:w="57" w:type="dxa"/>
              <w:right w:w="57" w:type="dxa"/>
            </w:tcMar>
          </w:tcPr>
          <w:p w14:paraId="50D7294E" w14:textId="77777777" w:rsidR="00ED0E85" w:rsidRPr="00082878" w:rsidRDefault="00ED0E85" w:rsidP="00ED0E85">
            <w:pPr>
              <w:pStyle w:val="TableUnit"/>
              <w:jc w:val="left"/>
            </w:pPr>
          </w:p>
        </w:tc>
        <w:tc>
          <w:tcPr>
            <w:tcW w:w="1721" w:type="dxa"/>
            <w:tcBorders>
              <w:bottom w:val="single" w:sz="8" w:space="0" w:color="FFFFFF" w:themeColor="background1"/>
            </w:tcBorders>
            <w:shd w:val="clear" w:color="auto" w:fill="auto"/>
            <w:noWrap/>
            <w:tcMar>
              <w:left w:w="57" w:type="dxa"/>
              <w:right w:w="57" w:type="dxa"/>
            </w:tcMar>
          </w:tcPr>
          <w:p w14:paraId="69588846" w14:textId="77777777" w:rsidR="00ED0E85" w:rsidRPr="00082878" w:rsidRDefault="00ED0E85" w:rsidP="00ED0E85">
            <w:pPr>
              <w:pStyle w:val="TableUnit"/>
              <w:rPr>
                <w:sz w:val="18"/>
                <w:szCs w:val="18"/>
              </w:rPr>
            </w:pPr>
            <w:r w:rsidRPr="00082878">
              <w:rPr>
                <w:sz w:val="18"/>
                <w:szCs w:val="18"/>
              </w:rPr>
              <w:t>Per cent</w:t>
            </w:r>
          </w:p>
        </w:tc>
        <w:tc>
          <w:tcPr>
            <w:tcW w:w="1721" w:type="dxa"/>
            <w:tcBorders>
              <w:bottom w:val="single" w:sz="8" w:space="0" w:color="FFFFFF" w:themeColor="background1"/>
            </w:tcBorders>
            <w:shd w:val="clear" w:color="auto" w:fill="auto"/>
            <w:noWrap/>
            <w:tcMar>
              <w:left w:w="57" w:type="dxa"/>
              <w:right w:w="57" w:type="dxa"/>
            </w:tcMar>
          </w:tcPr>
          <w:p w14:paraId="0470D7B3" w14:textId="77777777" w:rsidR="00ED0E85" w:rsidRPr="00082878" w:rsidRDefault="00ED0E85" w:rsidP="00ED0E85">
            <w:pPr>
              <w:pStyle w:val="TableUnit"/>
              <w:rPr>
                <w:sz w:val="18"/>
                <w:szCs w:val="18"/>
              </w:rPr>
            </w:pPr>
            <w:r w:rsidRPr="00082878">
              <w:rPr>
                <w:sz w:val="18"/>
                <w:szCs w:val="18"/>
              </w:rPr>
              <w:t>Per cent</w:t>
            </w:r>
          </w:p>
        </w:tc>
      </w:tr>
      <w:tr w:rsidR="00ED0E85" w:rsidRPr="00082878" w14:paraId="6C995146" w14:textId="77777777" w:rsidTr="00ED0E85">
        <w:trPr>
          <w:trHeight w:val="250"/>
        </w:trPr>
        <w:tc>
          <w:tcPr>
            <w:tcW w:w="44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B68369" w14:textId="77777777" w:rsidR="00ED0E85" w:rsidRPr="00082878" w:rsidRDefault="00ED0E85" w:rsidP="00ED0E85">
            <w:pPr>
              <w:pStyle w:val="TableDataEntries"/>
              <w:jc w:val="left"/>
            </w:pPr>
            <w:r w:rsidRPr="00082878">
              <w:t>Reduced by 40% or more</w:t>
            </w:r>
          </w:p>
        </w:tc>
        <w:tc>
          <w:tcPr>
            <w:tcW w:w="17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DC0221" w14:textId="77777777" w:rsidR="00ED0E85" w:rsidRPr="00082878" w:rsidRDefault="00ED0E85" w:rsidP="00ED0E85">
            <w:pPr>
              <w:pStyle w:val="TableDataEntries"/>
            </w:pPr>
            <w:r w:rsidRPr="00082878">
              <w:t>10</w:t>
            </w:r>
          </w:p>
        </w:tc>
        <w:tc>
          <w:tcPr>
            <w:tcW w:w="17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4A5B32" w14:textId="77777777" w:rsidR="00ED0E85" w:rsidRPr="00082878" w:rsidRDefault="00ED0E85" w:rsidP="00ED0E85">
            <w:pPr>
              <w:pStyle w:val="TableDataEntries"/>
            </w:pPr>
            <w:r w:rsidRPr="00082878">
              <w:t>18</w:t>
            </w:r>
          </w:p>
        </w:tc>
      </w:tr>
      <w:tr w:rsidR="00ED0E85" w:rsidRPr="00082878" w14:paraId="786ED481" w14:textId="77777777" w:rsidTr="00ED0E85">
        <w:trPr>
          <w:trHeight w:val="250"/>
        </w:trPr>
        <w:tc>
          <w:tcPr>
            <w:tcW w:w="44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0CFC88A" w14:textId="77777777" w:rsidR="00ED0E85" w:rsidRPr="00082878" w:rsidRDefault="00ED0E85" w:rsidP="00ED0E85">
            <w:pPr>
              <w:pStyle w:val="TableDataEntries"/>
              <w:jc w:val="left"/>
            </w:pPr>
            <w:r w:rsidRPr="00082878">
              <w:t>Reduced by 30-40%</w:t>
            </w:r>
          </w:p>
        </w:tc>
        <w:tc>
          <w:tcPr>
            <w:tcW w:w="17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4D355E" w14:textId="77777777" w:rsidR="00ED0E85" w:rsidRPr="00082878" w:rsidRDefault="00ED0E85" w:rsidP="00ED0E85">
            <w:pPr>
              <w:pStyle w:val="TableDataEntries"/>
            </w:pPr>
            <w:r w:rsidRPr="00082878">
              <w:t>9</w:t>
            </w:r>
          </w:p>
        </w:tc>
        <w:tc>
          <w:tcPr>
            <w:tcW w:w="17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052BD2" w14:textId="77777777" w:rsidR="00ED0E85" w:rsidRPr="00082878" w:rsidRDefault="00ED0E85" w:rsidP="00ED0E85">
            <w:pPr>
              <w:pStyle w:val="TableDataEntries"/>
            </w:pPr>
            <w:r w:rsidRPr="00082878">
              <w:t>5</w:t>
            </w:r>
          </w:p>
        </w:tc>
      </w:tr>
      <w:tr w:rsidR="00ED0E85" w:rsidRPr="00082878" w14:paraId="2B417902" w14:textId="77777777" w:rsidTr="00ED0E85">
        <w:trPr>
          <w:trHeight w:val="250"/>
        </w:trPr>
        <w:tc>
          <w:tcPr>
            <w:tcW w:w="44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DB4210" w14:textId="77777777" w:rsidR="00ED0E85" w:rsidRPr="00082878" w:rsidRDefault="00ED0E85" w:rsidP="00ED0E85">
            <w:pPr>
              <w:pStyle w:val="TableDataEntries"/>
              <w:jc w:val="left"/>
            </w:pPr>
            <w:r w:rsidRPr="00082878">
              <w:t>Reduced by 20-30%</w:t>
            </w:r>
          </w:p>
        </w:tc>
        <w:tc>
          <w:tcPr>
            <w:tcW w:w="17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8251A1" w14:textId="77777777" w:rsidR="00ED0E85" w:rsidRPr="00082878" w:rsidRDefault="00ED0E85" w:rsidP="00ED0E85">
            <w:pPr>
              <w:pStyle w:val="TableDataEntries"/>
            </w:pPr>
            <w:r w:rsidRPr="00082878">
              <w:t>14</w:t>
            </w:r>
          </w:p>
        </w:tc>
        <w:tc>
          <w:tcPr>
            <w:tcW w:w="17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8263F5" w14:textId="77777777" w:rsidR="00ED0E85" w:rsidRPr="00082878" w:rsidRDefault="00ED0E85" w:rsidP="00ED0E85">
            <w:pPr>
              <w:pStyle w:val="TableDataEntries"/>
            </w:pPr>
            <w:r w:rsidRPr="00082878">
              <w:t>9</w:t>
            </w:r>
          </w:p>
        </w:tc>
      </w:tr>
      <w:tr w:rsidR="00ED0E85" w:rsidRPr="00082878" w14:paraId="55158B21" w14:textId="77777777" w:rsidTr="00ED0E85">
        <w:trPr>
          <w:trHeight w:val="250"/>
        </w:trPr>
        <w:tc>
          <w:tcPr>
            <w:tcW w:w="44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CC14C0" w14:textId="77777777" w:rsidR="00ED0E85" w:rsidRPr="00082878" w:rsidRDefault="00ED0E85" w:rsidP="00ED0E85">
            <w:pPr>
              <w:pStyle w:val="TableDataEntries"/>
              <w:jc w:val="left"/>
            </w:pPr>
            <w:r w:rsidRPr="00082878">
              <w:t>Reduced by 10-20%</w:t>
            </w:r>
          </w:p>
        </w:tc>
        <w:tc>
          <w:tcPr>
            <w:tcW w:w="17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44C71D" w14:textId="77777777" w:rsidR="00ED0E85" w:rsidRPr="00082878" w:rsidRDefault="00ED0E85" w:rsidP="00ED0E85">
            <w:pPr>
              <w:pStyle w:val="TableDataEntries"/>
            </w:pPr>
            <w:r w:rsidRPr="00082878">
              <w:t>15</w:t>
            </w:r>
          </w:p>
        </w:tc>
        <w:tc>
          <w:tcPr>
            <w:tcW w:w="17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979AAB" w14:textId="77777777" w:rsidR="00ED0E85" w:rsidRPr="00082878" w:rsidRDefault="00ED0E85" w:rsidP="00ED0E85">
            <w:pPr>
              <w:pStyle w:val="TableDataEntries"/>
            </w:pPr>
            <w:r w:rsidRPr="00082878">
              <w:t>9</w:t>
            </w:r>
          </w:p>
        </w:tc>
      </w:tr>
      <w:tr w:rsidR="00ED0E85" w:rsidRPr="00082878" w14:paraId="045F660B" w14:textId="77777777" w:rsidTr="00ED0E85">
        <w:trPr>
          <w:trHeight w:val="250"/>
        </w:trPr>
        <w:tc>
          <w:tcPr>
            <w:tcW w:w="44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87583E" w14:textId="77777777" w:rsidR="00ED0E85" w:rsidRPr="00082878" w:rsidRDefault="00ED0E85" w:rsidP="00ED0E85">
            <w:pPr>
              <w:pStyle w:val="TableDataEntries"/>
              <w:jc w:val="left"/>
            </w:pPr>
            <w:r w:rsidRPr="00082878">
              <w:t>Reduced by 0-10%</w:t>
            </w:r>
          </w:p>
        </w:tc>
        <w:tc>
          <w:tcPr>
            <w:tcW w:w="17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51018B" w14:textId="77777777" w:rsidR="00ED0E85" w:rsidRPr="00082878" w:rsidRDefault="00ED0E85" w:rsidP="00ED0E85">
            <w:pPr>
              <w:pStyle w:val="TableDataEntries"/>
            </w:pPr>
            <w:r w:rsidRPr="00082878">
              <w:t>21</w:t>
            </w:r>
          </w:p>
        </w:tc>
        <w:tc>
          <w:tcPr>
            <w:tcW w:w="17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B4DBC2" w14:textId="77777777" w:rsidR="00ED0E85" w:rsidRPr="00082878" w:rsidRDefault="00ED0E85" w:rsidP="00ED0E85">
            <w:pPr>
              <w:pStyle w:val="TableDataEntries"/>
            </w:pPr>
            <w:r w:rsidRPr="00082878">
              <w:t>32</w:t>
            </w:r>
          </w:p>
        </w:tc>
      </w:tr>
      <w:tr w:rsidR="00ED0E85" w:rsidRPr="00082878" w14:paraId="275A2D18" w14:textId="77777777" w:rsidTr="00ED0E85">
        <w:trPr>
          <w:trHeight w:val="250"/>
        </w:trPr>
        <w:tc>
          <w:tcPr>
            <w:tcW w:w="4495"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ADA5454" w14:textId="77777777" w:rsidR="00ED0E85" w:rsidRPr="00082878" w:rsidRDefault="00ED0E85" w:rsidP="00ED0E85">
            <w:pPr>
              <w:pStyle w:val="TableDataEntries"/>
              <w:jc w:val="left"/>
            </w:pPr>
            <w:r w:rsidRPr="00082878">
              <w:t>Increased by 0-10%</w:t>
            </w:r>
          </w:p>
        </w:tc>
        <w:tc>
          <w:tcPr>
            <w:tcW w:w="17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E1EFAD" w14:textId="77777777" w:rsidR="00ED0E85" w:rsidRPr="00082878" w:rsidRDefault="00ED0E85" w:rsidP="00ED0E85">
            <w:pPr>
              <w:pStyle w:val="TableDataEntries"/>
            </w:pPr>
            <w:r w:rsidRPr="00082878">
              <w:t>12</w:t>
            </w:r>
          </w:p>
        </w:tc>
        <w:tc>
          <w:tcPr>
            <w:tcW w:w="17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B470D9" w14:textId="77777777" w:rsidR="00ED0E85" w:rsidRPr="00082878" w:rsidRDefault="00ED0E85" w:rsidP="00ED0E85">
            <w:pPr>
              <w:pStyle w:val="TableDataEntries"/>
            </w:pPr>
            <w:r w:rsidRPr="00082878">
              <w:t>14</w:t>
            </w:r>
          </w:p>
        </w:tc>
      </w:tr>
      <w:tr w:rsidR="00ED0E85" w:rsidRPr="00082878" w14:paraId="4B570CEE" w14:textId="77777777" w:rsidTr="00ED0E85">
        <w:trPr>
          <w:trHeight w:val="250"/>
        </w:trPr>
        <w:tc>
          <w:tcPr>
            <w:tcW w:w="4495"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980B9A6" w14:textId="77777777" w:rsidR="00ED0E85" w:rsidRPr="00082878" w:rsidRDefault="00ED0E85" w:rsidP="00ED0E85">
            <w:pPr>
              <w:pStyle w:val="TableDataEntries"/>
              <w:jc w:val="left"/>
            </w:pPr>
            <w:r w:rsidRPr="00082878">
              <w:t>Increased by more than 10%</w:t>
            </w:r>
          </w:p>
        </w:tc>
        <w:tc>
          <w:tcPr>
            <w:tcW w:w="172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A5EFD87" w14:textId="77777777" w:rsidR="00ED0E85" w:rsidRPr="00082878" w:rsidRDefault="00ED0E85" w:rsidP="00ED0E85">
            <w:pPr>
              <w:pStyle w:val="TableDataEntries"/>
            </w:pPr>
            <w:r w:rsidRPr="00082878">
              <w:t>19</w:t>
            </w:r>
          </w:p>
        </w:tc>
        <w:tc>
          <w:tcPr>
            <w:tcW w:w="172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9311748" w14:textId="77777777" w:rsidR="00ED0E85" w:rsidRPr="00082878" w:rsidRDefault="00ED0E85" w:rsidP="00ED0E85">
            <w:pPr>
              <w:pStyle w:val="TableDataEntries"/>
            </w:pPr>
            <w:r w:rsidRPr="00082878">
              <w:t>14</w:t>
            </w:r>
          </w:p>
        </w:tc>
      </w:tr>
    </w:tbl>
    <w:p w14:paraId="6597F641" w14:textId="77777777" w:rsidR="00ED0E85" w:rsidRPr="009253DC" w:rsidRDefault="00ED0E85" w:rsidP="00ED0E85">
      <w:pPr>
        <w:pStyle w:val="Source"/>
        <w:rPr>
          <w:rFonts w:eastAsiaTheme="minorHAnsi"/>
        </w:rPr>
      </w:pPr>
      <w:r w:rsidRPr="00082878">
        <w:rPr>
          <w:rFonts w:eastAsiaTheme="minorHAnsi"/>
          <w:i/>
        </w:rPr>
        <w:t>Source:</w:t>
      </w:r>
      <w:r w:rsidRPr="00082878">
        <w:rPr>
          <w:rFonts w:eastAsiaTheme="minorHAnsi"/>
        </w:rPr>
        <w:t xml:space="preserve"> The CIE; AusGrid.</w:t>
      </w:r>
    </w:p>
    <w:p w14:paraId="11CEF5C1" w14:textId="77777777" w:rsidR="00ED0E85" w:rsidRPr="00082878" w:rsidRDefault="00ED0E85" w:rsidP="00ED0E85">
      <w:pPr>
        <w:pStyle w:val="BodyText"/>
      </w:pPr>
      <w:r w:rsidRPr="00082878">
        <w:t xml:space="preserve">We have undertaken a number of tests around the degree to which the CBD </w:t>
      </w:r>
      <w:r>
        <w:t>P</w:t>
      </w:r>
      <w:r w:rsidRPr="00082878">
        <w:t xml:space="preserve">rogram has contributed to the improvements in energy efficiency. </w:t>
      </w:r>
    </w:p>
    <w:p w14:paraId="4BB6B44B" w14:textId="77777777" w:rsidR="00ED0E85" w:rsidRPr="00082878" w:rsidRDefault="00ED0E85" w:rsidP="00ED0E85">
      <w:pPr>
        <w:pStyle w:val="ListBullet"/>
      </w:pPr>
      <w:r>
        <w:t>It is possible that</w:t>
      </w:r>
      <w:r w:rsidRPr="00082878">
        <w:t xml:space="preserve"> the impact of more NABERS ratings is just picking up a change over time. That is, buildings that have been rating more have been in the NABERS system for longer, and ratings effect is just a time trend. To test for this we included the </w:t>
      </w:r>
      <w:r>
        <w:t xml:space="preserve">number of </w:t>
      </w:r>
      <w:r w:rsidRPr="00082878">
        <w:t>years between the first and last rating</w:t>
      </w:r>
      <w:r>
        <w:t xml:space="preserve"> as an additional variable</w:t>
      </w:r>
      <w:r w:rsidRPr="00082878">
        <w:t>. This substantially reduces</w:t>
      </w:r>
      <w:r>
        <w:t xml:space="preserve"> (by 60 per cent)</w:t>
      </w:r>
      <w:r w:rsidRPr="00082878">
        <w:t xml:space="preserve"> the estimated impact of </w:t>
      </w:r>
      <w:r>
        <w:t>each additional</w:t>
      </w:r>
      <w:r w:rsidRPr="00082878">
        <w:t xml:space="preserve"> NABERS rating </w:t>
      </w:r>
      <w:r>
        <w:t>(</w:t>
      </w:r>
      <w:r w:rsidRPr="00082878">
        <w:t xml:space="preserve">and </w:t>
      </w:r>
      <w:r>
        <w:t xml:space="preserve">therefore </w:t>
      </w:r>
      <w:r w:rsidRPr="00082878">
        <w:t xml:space="preserve">the CBD </w:t>
      </w:r>
      <w:r>
        <w:t>P</w:t>
      </w:r>
      <w:r w:rsidRPr="00082878">
        <w:t>rogram</w:t>
      </w:r>
      <w:r>
        <w:t>)</w:t>
      </w:r>
      <w:r w:rsidRPr="00082878">
        <w:t xml:space="preserve">. However, </w:t>
      </w:r>
      <w:r>
        <w:t>the impact of additional NABERS ratings</w:t>
      </w:r>
      <w:r w:rsidRPr="00082878">
        <w:t xml:space="preserve"> remains statistically significant.</w:t>
      </w:r>
    </w:p>
    <w:p w14:paraId="3B2F9084" w14:textId="77777777" w:rsidR="00ED0E85" w:rsidRPr="00082878" w:rsidRDefault="00ED0E85" w:rsidP="00ED0E85">
      <w:pPr>
        <w:pStyle w:val="ListBullet"/>
      </w:pPr>
      <w:r w:rsidRPr="00082878">
        <w:t xml:space="preserve">Secondly, if the CBD </w:t>
      </w:r>
      <w:r>
        <w:t>P</w:t>
      </w:r>
      <w:r w:rsidRPr="00082878">
        <w:t xml:space="preserve">rogram was having an impact, then buildings that come into the scheme later should have lower star ratings and higher energy use per square metre, after accounting for other factors. This is because obtaining a NABERS energy rating is making an impact on buildings in the scheme, but not for those not in the scheme. To test for this we have regressed the last rating or energy use against how many ratings a building has previously had and other factors. This includes buildings that have only had one rating. </w:t>
      </w:r>
    </w:p>
    <w:p w14:paraId="2AC7E7AE" w14:textId="77777777" w:rsidR="00ED0E85" w:rsidRPr="00082878" w:rsidRDefault="00ED0E85" w:rsidP="00ED0E85">
      <w:pPr>
        <w:pStyle w:val="ListBullet2"/>
      </w:pPr>
      <w:r>
        <w:t>using this approach, we find</w:t>
      </w:r>
      <w:r w:rsidRPr="00082878">
        <w:t xml:space="preserve"> a significant impact of NABERS in terms of a building that has had more ratings has a higher rating (0.07 stars per rating) and a lower energy use (10</w:t>
      </w:r>
      <w:r>
        <w:t> </w:t>
      </w:r>
      <w:r w:rsidRPr="00082878">
        <w:t>MJ/m</w:t>
      </w:r>
      <w:r w:rsidRPr="009253DC">
        <w:rPr>
          <w:vertAlign w:val="superscript"/>
        </w:rPr>
        <w:t>2</w:t>
      </w:r>
      <w:r w:rsidRPr="00082878">
        <w:t xml:space="preserve"> per rating)</w:t>
      </w:r>
    </w:p>
    <w:p w14:paraId="520FBBE0" w14:textId="77777777" w:rsidR="00ED0E85" w:rsidRPr="00082878" w:rsidRDefault="00ED0E85" w:rsidP="00ED0E85">
      <w:pPr>
        <w:pStyle w:val="ListBullet2"/>
      </w:pPr>
      <w:r w:rsidRPr="00082878">
        <w:t>this is smaller than the impact measured for more NABERS energy ratings, but still statistically significant and material</w:t>
      </w:r>
      <w:r>
        <w:t>.</w:t>
      </w:r>
    </w:p>
    <w:p w14:paraId="40A76D05" w14:textId="77777777" w:rsidR="00ED0E85" w:rsidRPr="00082878" w:rsidRDefault="00ED0E85" w:rsidP="00ED0E85">
      <w:pPr>
        <w:pStyle w:val="ListBullet"/>
      </w:pPr>
      <w:r w:rsidRPr="00082878">
        <w:t xml:space="preserve">Thirdly, we have obtained data from an electricity distributor on commercial buildings that </w:t>
      </w:r>
      <w:r>
        <w:t>do not have a NABERS rating</w:t>
      </w:r>
      <w:r w:rsidRPr="00082878">
        <w:t xml:space="preserve">. In particular, this is the base building electricity use for strata titled commercial buildings. This provides a counterfactual </w:t>
      </w:r>
      <w:r>
        <w:t>against which the improvements in</w:t>
      </w:r>
      <w:r w:rsidRPr="00082878">
        <w:t xml:space="preserve"> buildings</w:t>
      </w:r>
      <w:r>
        <w:t xml:space="preserve"> that have a NABERS rating can be compared.</w:t>
      </w:r>
    </w:p>
    <w:p w14:paraId="720E4130" w14:textId="77777777" w:rsidR="00ED0E85" w:rsidRPr="00082878" w:rsidRDefault="00ED0E85" w:rsidP="00ED0E85">
      <w:pPr>
        <w:pStyle w:val="ListBullet2"/>
      </w:pPr>
      <w:r w:rsidRPr="00082878">
        <w:t>data has been obtained for 22 strata titled commercial buildings. This only covers electricity use not gas use and is a relatively small sample</w:t>
      </w:r>
    </w:p>
    <w:p w14:paraId="27E7CF9E" w14:textId="77777777" w:rsidR="00ED0E85" w:rsidRPr="00082878" w:rsidRDefault="00ED0E85" w:rsidP="00ED0E85">
      <w:pPr>
        <w:pStyle w:val="ListBullet2"/>
      </w:pPr>
      <w:r w:rsidRPr="00082878">
        <w:t xml:space="preserve">the pattern of changes for the strata titled buildings indicates these buildings are also typically reducing their energy use, measured from 2011/12 to 2017/18. In fact, more of the strata titled buildings have had large reductions in energy use than buildings covered by the CBD </w:t>
      </w:r>
      <w:r>
        <w:t>P</w:t>
      </w:r>
      <w:r w:rsidRPr="00082878">
        <w:t>rogram</w:t>
      </w:r>
    </w:p>
    <w:p w14:paraId="03149993" w14:textId="77777777" w:rsidR="00ED0E85" w:rsidRPr="00082878" w:rsidRDefault="00ED0E85" w:rsidP="00ED0E85">
      <w:pPr>
        <w:pStyle w:val="ListBullet2"/>
      </w:pPr>
      <w:r w:rsidRPr="00082878">
        <w:t xml:space="preserve">this comparison is not over the same time period. The CBD sample is from their first to last rating, while the strata titled buildings are over a set time period. If we adjust for this, by considering a building rated five times under the CBD </w:t>
      </w:r>
      <w:r>
        <w:t>P</w:t>
      </w:r>
      <w:r w:rsidRPr="00082878">
        <w:t>rogram, it has achieved a reduction in energy use of 70 MJ/m</w:t>
      </w:r>
      <w:r w:rsidRPr="009253DC">
        <w:rPr>
          <w:vertAlign w:val="superscript"/>
        </w:rPr>
        <w:t>2</w:t>
      </w:r>
      <w:r w:rsidRPr="00082878">
        <w:t xml:space="preserve">. </w:t>
      </w:r>
    </w:p>
    <w:p w14:paraId="48544038" w14:textId="77777777" w:rsidR="00ED0E85" w:rsidRPr="00082878" w:rsidRDefault="00ED0E85" w:rsidP="00ED0E85">
      <w:pPr>
        <w:pStyle w:val="ListBullet3"/>
      </w:pPr>
      <w:r w:rsidRPr="00082878">
        <w:t>trying to adjust for time periods, a building that had rated 5 times with NABERS would have reduced energy use by 70 MJ/m</w:t>
      </w:r>
      <w:r w:rsidRPr="009253DC">
        <w:rPr>
          <w:vertAlign w:val="superscript"/>
        </w:rPr>
        <w:t>2</w:t>
      </w:r>
      <w:r w:rsidRPr="00082878">
        <w:t xml:space="preserve"> or 14 per cent. </w:t>
      </w:r>
    </w:p>
    <w:p w14:paraId="63307771" w14:textId="77777777" w:rsidR="00ED0E85" w:rsidRPr="00082878" w:rsidRDefault="00ED0E85" w:rsidP="00ED0E85">
      <w:pPr>
        <w:pStyle w:val="ListBullet3"/>
      </w:pPr>
      <w:r w:rsidRPr="00082878">
        <w:t>in comparison, the strata titled buildings have reduced energy use by 46 MJ/m</w:t>
      </w:r>
      <w:r w:rsidRPr="009253DC">
        <w:rPr>
          <w:vertAlign w:val="superscript"/>
        </w:rPr>
        <w:t>2</w:t>
      </w:r>
      <w:r w:rsidRPr="00082878">
        <w:t xml:space="preserve"> or 13 per cent</w:t>
      </w:r>
    </w:p>
    <w:p w14:paraId="55630563" w14:textId="77777777" w:rsidR="00ED0E85" w:rsidRPr="00082878" w:rsidRDefault="00ED0E85" w:rsidP="00ED0E85">
      <w:pPr>
        <w:pStyle w:val="ListBullet2"/>
      </w:pPr>
      <w:r w:rsidRPr="00082878">
        <w:t xml:space="preserve">this suggests that the CBD </w:t>
      </w:r>
      <w:r>
        <w:t>P</w:t>
      </w:r>
      <w:r w:rsidRPr="00082878">
        <w:t>rogram is responsible for only a component of the impact. The sample is small however, and restricted to electricity use only and a single capital city (Sydney). It is not easy to identify what the initial level of performance of the strata titled buildings is, which also impacts on the counterfactual.</w:t>
      </w:r>
    </w:p>
    <w:p w14:paraId="52D290EA" w14:textId="77777777" w:rsidR="00ED0E85" w:rsidRDefault="00ED0E85" w:rsidP="00ED0E85">
      <w:pPr>
        <w:pStyle w:val="Heading3"/>
        <w:numPr>
          <w:ilvl w:val="2"/>
          <w:numId w:val="5"/>
        </w:numPr>
      </w:pPr>
      <w:r>
        <w:t>What factors contributed to improved energy performance?</w:t>
      </w:r>
    </w:p>
    <w:p w14:paraId="730E34B3" w14:textId="77777777" w:rsidR="00ED0E85" w:rsidRDefault="00ED0E85" w:rsidP="00ED0E85">
      <w:pPr>
        <w:pStyle w:val="BodyText"/>
      </w:pPr>
      <w:r>
        <w:t>The changes across different building types and the consultation we have had with building owners and others has indicated a range of reasons as to why the CBD Program has had an impact on base building energy use.</w:t>
      </w:r>
    </w:p>
    <w:p w14:paraId="0308B31D" w14:textId="77777777" w:rsidR="00ED0E85" w:rsidRDefault="00ED0E85" w:rsidP="001F5383">
      <w:pPr>
        <w:pStyle w:val="ListNumber"/>
        <w:numPr>
          <w:ilvl w:val="0"/>
          <w:numId w:val="23"/>
        </w:numPr>
      </w:pPr>
      <w:r>
        <w:t>It has provided information for building owners/managers that has made them realise that they are not operating their building efficiently. This makes sense in that the larger changes are for buildings that performed poorly. It is incrementally harder to improve energy efficiency for better performing buildings.</w:t>
      </w:r>
    </w:p>
    <w:p w14:paraId="7FCC0B37" w14:textId="77777777" w:rsidR="00ED0E85" w:rsidRDefault="00ED0E85" w:rsidP="001F5383">
      <w:pPr>
        <w:pStyle w:val="ListNumber"/>
        <w:numPr>
          <w:ilvl w:val="0"/>
          <w:numId w:val="16"/>
        </w:numPr>
      </w:pPr>
      <w:r>
        <w:t xml:space="preserve">There is demand for higher rated office buildings from tenants, particularly governments and larger corporates. Most governments have requirements for the base building NABERS rating to be above a particular level. (Australian, NSW, ACT, SA and WA of 4.5 stars, QLD 4.5 stars for new builds and Victoria 4 stars). </w:t>
      </w:r>
    </w:p>
    <w:p w14:paraId="51D73937" w14:textId="77777777" w:rsidR="00ED0E85" w:rsidRDefault="00ED0E85" w:rsidP="001F5383">
      <w:pPr>
        <w:pStyle w:val="ListNumber"/>
        <w:numPr>
          <w:ilvl w:val="0"/>
          <w:numId w:val="16"/>
        </w:numPr>
      </w:pPr>
      <w:r>
        <w:t>It has provided a more transparent mechanism for building owners to hold building managers accountable. Declines in NABERS ratings are seen as a leading indicator of poor building management.</w:t>
      </w:r>
    </w:p>
    <w:p w14:paraId="48BAC3AE" w14:textId="77777777" w:rsidR="00ED0E85" w:rsidRDefault="00ED0E85" w:rsidP="001F5383">
      <w:pPr>
        <w:pStyle w:val="ListNumber"/>
        <w:numPr>
          <w:ilvl w:val="0"/>
          <w:numId w:val="16"/>
        </w:numPr>
      </w:pPr>
      <w:r>
        <w:t>Disclosure of ratings has introduced a competitive dynamic/shame dynamic, that pushes companies to improve their performance.</w:t>
      </w:r>
    </w:p>
    <w:p w14:paraId="3FF1B5BD" w14:textId="77777777" w:rsidR="00ED0E85" w:rsidRDefault="00ED0E85" w:rsidP="001F5383">
      <w:pPr>
        <w:pStyle w:val="ListNumber"/>
        <w:numPr>
          <w:ilvl w:val="0"/>
          <w:numId w:val="16"/>
        </w:numPr>
      </w:pPr>
      <w:r>
        <w:t>You manage what you measure. Being forced to measure energy performance has meant that it is now managed.</w:t>
      </w:r>
    </w:p>
    <w:p w14:paraId="36D5F119" w14:textId="77777777" w:rsidR="00ED0E85" w:rsidRDefault="00ED0E85" w:rsidP="001F5383">
      <w:pPr>
        <w:pStyle w:val="ListNumber"/>
        <w:numPr>
          <w:ilvl w:val="0"/>
          <w:numId w:val="16"/>
        </w:numPr>
      </w:pPr>
      <w:r>
        <w:t>Ratings are included in Property Council of Australia office building gradings, which encourages better energy performance to achieve be a premium grade or A grade building.</w:t>
      </w:r>
    </w:p>
    <w:p w14:paraId="488F12F7" w14:textId="77777777" w:rsidR="00ED0E85" w:rsidRDefault="00ED0E85" w:rsidP="001F5383">
      <w:pPr>
        <w:pStyle w:val="ListNumber"/>
        <w:numPr>
          <w:ilvl w:val="0"/>
          <w:numId w:val="16"/>
        </w:numPr>
      </w:pPr>
      <w:r>
        <w:t xml:space="preserve">There are a range of investors that require information on corporate social responsibility. This has been noted in many consultations. Note that the analysis has not found a difference in energy improvements for buildings with owners involved in GRESB versus others, which is a partial indicator of investor interest in corporate social responsibility. </w:t>
      </w:r>
    </w:p>
    <w:p w14:paraId="33D76120" w14:textId="77777777" w:rsidR="00ED0E85" w:rsidRDefault="00ED0E85" w:rsidP="00ED0E85">
      <w:pPr>
        <w:pStyle w:val="BodyText"/>
      </w:pPr>
      <w:r>
        <w:t xml:space="preserve">The combination of these different factors mean that many owners of commercial buildings see a higher NABERS rating as contributing to higher profit and higher value of their buildings. This is not true for all commercial building owners of course. </w:t>
      </w:r>
    </w:p>
    <w:p w14:paraId="68B5E8D5" w14:textId="77777777" w:rsidR="00ED0E85" w:rsidRDefault="00ED0E85" w:rsidP="00ED0E85">
      <w:pPr>
        <w:pStyle w:val="BodyText"/>
      </w:pPr>
      <w:r>
        <w:t>The actual changes made to buildings to improve energy performance have been fairly consistently stated by building owners as operational changes and end of life capital changes. Very few stakeholders have indicated that they would undertake major capex solely for improving their energy efficiency.</w:t>
      </w:r>
    </w:p>
    <w:p w14:paraId="25B215E9" w14:textId="77777777" w:rsidR="00ED0E85" w:rsidRDefault="00ED0E85" w:rsidP="00ED0E85">
      <w:pPr>
        <w:pStyle w:val="Heading3"/>
        <w:numPr>
          <w:ilvl w:val="2"/>
          <w:numId w:val="5"/>
        </w:numPr>
      </w:pPr>
      <w:r>
        <w:t>Energy efficient improvements and the associated costs</w:t>
      </w:r>
    </w:p>
    <w:p w14:paraId="3BFF6004" w14:textId="77777777" w:rsidR="00ED0E85" w:rsidRDefault="00ED0E85" w:rsidP="00ED0E85">
      <w:pPr>
        <w:pStyle w:val="BodyText"/>
      </w:pPr>
      <w:r>
        <w:t>There are a wide range of changes that can be made to an office building to improve the NABERS Energy rating, many of which are likely to be privately cost</w:t>
      </w:r>
      <w:r>
        <w:noBreakHyphen/>
        <w:t>effective (i.e. the energy bill savings over time outweigh the cost of implementation). Key findings from stakeholder consultations are as follows.</w:t>
      </w:r>
    </w:p>
    <w:p w14:paraId="4F134129" w14:textId="77777777" w:rsidR="00ED0E85" w:rsidRDefault="00ED0E85" w:rsidP="00ED0E85">
      <w:pPr>
        <w:pStyle w:val="ListBullet"/>
      </w:pPr>
      <w:r>
        <w:t>Although there are some overarching corporate social responsibility objectives driving investment in energy efficiency, these investments must also deliver a financial return, particularly where senior management or Board approval is required.</w:t>
      </w:r>
    </w:p>
    <w:p w14:paraId="30B79537" w14:textId="77777777" w:rsidR="00ED0E85" w:rsidRDefault="00ED0E85" w:rsidP="00ED0E85">
      <w:pPr>
        <w:pStyle w:val="ListBullet"/>
      </w:pPr>
      <w:r>
        <w:t>The criteria to proceed with energy efficiency investments appear to vary across owners. For example, some property groups use a ‘return on investment’ criteria, while others use a payback period. Some reported using a required rate of return (or hurdle rate) of around 12 per cent or a payback period of around 10 years. That said, some property groups appear to have lower criteria, particularly where there has been a high</w:t>
      </w:r>
      <w:r>
        <w:noBreakHyphen/>
        <w:t>level commitment to reach particular targets across the portfolio.</w:t>
      </w:r>
    </w:p>
    <w:p w14:paraId="0DE43839" w14:textId="77777777" w:rsidR="00ED0E85" w:rsidRDefault="00ED0E85" w:rsidP="00ED0E85">
      <w:pPr>
        <w:pStyle w:val="ListBullet"/>
      </w:pPr>
      <w:r>
        <w:t>Given the need for a financial return on energy efficiency upgrades, building owners/managers tend to focus on low</w:t>
      </w:r>
      <w:r>
        <w:noBreakHyphen/>
        <w:t>cost operational changes and end</w:t>
      </w:r>
      <w:r>
        <w:noBreakHyphen/>
        <w:t>of</w:t>
      </w:r>
      <w:r>
        <w:noBreakHyphen/>
        <w:t>life equipment upgrades. Examples of strategies to improve the NABERS Energy rating and evidence of the associated costs are shown below.</w:t>
      </w:r>
    </w:p>
    <w:p w14:paraId="074DA300" w14:textId="77777777" w:rsidR="00ED0E85" w:rsidRDefault="00ED0E85" w:rsidP="00ED0E85">
      <w:pPr>
        <w:pStyle w:val="ListBullet"/>
      </w:pPr>
      <w:r>
        <w:t>The incremental cost of achieving each additional improvement in the NABERS star rating increases as the star rating increases (i.e. the cost of moving from zero to 1 stars is likely to be much lower than the cost of moving from 5 to 6 stars). This reflects the following.</w:t>
      </w:r>
    </w:p>
    <w:p w14:paraId="4872E4A2" w14:textId="77777777" w:rsidR="00ED0E85" w:rsidRDefault="00ED0E85" w:rsidP="00ED0E85">
      <w:pPr>
        <w:pStyle w:val="ListBullet2"/>
      </w:pPr>
      <w:r>
        <w:t>Building owners are likely to implement the strategies that deliver the highest pay</w:t>
      </w:r>
      <w:r>
        <w:noBreakHyphen/>
        <w:t>off first (such as, low cost operational changes). Several stakeholders reported significant gains in poorly performing buildings from measures as simple as turning off the HVAC system when the building is unoccupied.</w:t>
      </w:r>
    </w:p>
    <w:p w14:paraId="7AB9E614" w14:textId="77777777" w:rsidR="00ED0E85" w:rsidRDefault="00ED0E85" w:rsidP="00ED0E85">
      <w:pPr>
        <w:pStyle w:val="ListBullet2"/>
      </w:pPr>
      <w:r>
        <w:t>As the star rating increases and the strategies with the highest pay-offs have been implemented, owners must implement increasingly costly measures to drive further improvements in the NABERS rating.</w:t>
      </w:r>
    </w:p>
    <w:p w14:paraId="48BC7531" w14:textId="77777777" w:rsidR="00ED0E85" w:rsidRDefault="00ED0E85" w:rsidP="00ED0E85">
      <w:pPr>
        <w:pStyle w:val="BodyText"/>
      </w:pPr>
      <w:r>
        <w:t>Some evidence of cost</w:t>
      </w:r>
      <w:r>
        <w:noBreakHyphen/>
        <w:t>effective strategies to improve the NABERS Energy rating of an office building are provided below.</w:t>
      </w:r>
    </w:p>
    <w:p w14:paraId="00E8B03F" w14:textId="3A17C7DF" w:rsidR="00ED0E85" w:rsidRDefault="00ED0E85" w:rsidP="00ED0E85">
      <w:pPr>
        <w:pStyle w:val="BodyText"/>
      </w:pPr>
      <w:r>
        <w:t>The office building case study identifies a range of options to improve the NABERS Energy rating in a 3.5 star office building with around 53 000 m</w:t>
      </w:r>
      <w:r w:rsidRPr="00402B14">
        <w:rPr>
          <w:vertAlign w:val="superscript"/>
        </w:rPr>
        <w:t>2</w:t>
      </w:r>
      <w:r>
        <w:t xml:space="preserve"> of floor space (table </w:t>
      </w:r>
      <w:r w:rsidR="004550CB">
        <w:rPr>
          <w:noProof/>
        </w:rPr>
        <w:fldChar w:fldCharType="begin"/>
      </w:r>
      <w:r w:rsidR="004550CB">
        <w:rPr>
          <w:noProof/>
        </w:rPr>
        <w:instrText xml:space="preserve"> REF _Caption1298 </w:instrText>
      </w:r>
      <w:r w:rsidR="004550CB">
        <w:rPr>
          <w:noProof/>
        </w:rPr>
        <w:fldChar w:fldCharType="separate"/>
      </w:r>
      <w:r w:rsidR="00AD3561">
        <w:rPr>
          <w:noProof/>
        </w:rPr>
        <w:t>4</w:t>
      </w:r>
      <w:r w:rsidR="00AD3561" w:rsidRPr="00695C93">
        <w:rPr>
          <w:noProof/>
        </w:rPr>
        <w:t>.</w:t>
      </w:r>
      <w:r w:rsidR="00AD3561">
        <w:rPr>
          <w:noProof/>
        </w:rPr>
        <w:t>12</w:t>
      </w:r>
      <w:r w:rsidR="004550CB">
        <w:rPr>
          <w:noProof/>
        </w:rPr>
        <w:fldChar w:fldCharType="end"/>
      </w:r>
      <w:r>
        <w:t>).</w:t>
      </w:r>
    </w:p>
    <w:p w14:paraId="79BE1363" w14:textId="77777777" w:rsidR="00ED0E85" w:rsidRDefault="00ED0E85" w:rsidP="00ED0E85">
      <w:pPr>
        <w:pStyle w:val="ListBullet"/>
      </w:pPr>
      <w:r>
        <w:t>There are several relatively low</w:t>
      </w:r>
      <w:r>
        <w:noBreakHyphen/>
        <w:t>cost that focus on excluding some energy consumption from the NABERS base building rating strategies (i.e. NABERS Energy exclusions and retail are lighting exclusions), but do not necessarily save energy.</w:t>
      </w:r>
    </w:p>
    <w:p w14:paraId="0BFAA725" w14:textId="77777777" w:rsidR="00ED0E85" w:rsidRDefault="00ED0E85" w:rsidP="00ED0E85">
      <w:pPr>
        <w:pStyle w:val="ListBullet"/>
      </w:pPr>
      <w:r>
        <w:t>Based on the case study estimates, upgrading the BMS controls and hardware can have significant, while in itself the upgrades save relatively little energy. However, in some cases BMS upgrades are a necessary condition for achieving some other low</w:t>
      </w:r>
      <w:r>
        <w:noBreakHyphen/>
        <w:t>cost energy efficiency strategies.</w:t>
      </w:r>
    </w:p>
    <w:p w14:paraId="29EADDEE" w14:textId="1B53C820"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w:instrText>
      </w:r>
      <w:r w:rsidRPr="00695C93">
        <w:fldChar w:fldCharType="separate"/>
      </w:r>
      <w:r w:rsidR="00AD3561">
        <w:rPr>
          <w:noProof/>
        </w:rPr>
        <w:instrText>4</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4</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12</w:instrText>
      </w:r>
      <w:r w:rsidRPr="00695C93">
        <w:fldChar w:fldCharType="end"/>
      </w:r>
      <w:r w:rsidRPr="00695C93">
        <w:instrText xml:space="preserve">" "" </w:instrText>
      </w:r>
      <w:r w:rsidRPr="00695C93">
        <w:fldChar w:fldCharType="separate"/>
      </w:r>
      <w:bookmarkStart w:id="2179" w:name="_Caption7611"/>
      <w:bookmarkStart w:id="2180" w:name="_Caption9306"/>
      <w:bookmarkStart w:id="2181" w:name="_Caption8378"/>
      <w:bookmarkStart w:id="2182" w:name="_Caption3953"/>
      <w:bookmarkStart w:id="2183" w:name="_Caption4354"/>
      <w:bookmarkStart w:id="2184" w:name="_Caption3412"/>
      <w:bookmarkStart w:id="2185" w:name="_Caption6056"/>
      <w:bookmarkStart w:id="2186" w:name="_Caption0143"/>
      <w:bookmarkStart w:id="2187" w:name="_Caption1314"/>
      <w:bookmarkStart w:id="2188" w:name="_Caption2271"/>
      <w:bookmarkStart w:id="2189" w:name="_Caption8636"/>
      <w:bookmarkStart w:id="2190" w:name="_Caption5012"/>
      <w:bookmarkStart w:id="2191" w:name="_Caption4625"/>
      <w:bookmarkStart w:id="2192" w:name="_Caption3510"/>
      <w:bookmarkStart w:id="2193" w:name="_Caption4867"/>
      <w:bookmarkStart w:id="2194" w:name="_Caption7780"/>
      <w:bookmarkStart w:id="2195" w:name="_Caption7186"/>
      <w:bookmarkStart w:id="2196" w:name="_Caption1862"/>
      <w:bookmarkStart w:id="2197" w:name="_Caption2412"/>
      <w:bookmarkStart w:id="2198" w:name="_Caption1071"/>
      <w:bookmarkStart w:id="2199" w:name="_Caption4475"/>
      <w:bookmarkStart w:id="2200" w:name="_Caption0673"/>
      <w:bookmarkStart w:id="2201" w:name="_Caption7961"/>
      <w:bookmarkStart w:id="2202" w:name="_Caption5348"/>
      <w:bookmarkStart w:id="2203" w:name="_Caption3388"/>
      <w:bookmarkStart w:id="2204" w:name="_Caption2358"/>
      <w:bookmarkStart w:id="2205" w:name="_Caption0482"/>
      <w:bookmarkStart w:id="2206" w:name="_Caption1819"/>
      <w:bookmarkStart w:id="2207" w:name="_Caption7274"/>
      <w:bookmarkStart w:id="2208" w:name="_Caption7182"/>
      <w:bookmarkStart w:id="2209" w:name="_Caption3150"/>
      <w:bookmarkStart w:id="2210" w:name="_Caption2455"/>
      <w:bookmarkStart w:id="2211" w:name="_Caption7388"/>
      <w:bookmarkStart w:id="2212" w:name="_Caption1225"/>
      <w:bookmarkStart w:id="2213" w:name="_Caption0965"/>
      <w:bookmarkStart w:id="2214" w:name="_Caption1748"/>
      <w:bookmarkStart w:id="2215" w:name="_Caption9097"/>
      <w:bookmarkStart w:id="2216" w:name="_Caption2444"/>
      <w:bookmarkStart w:id="2217" w:name="_Caption6736"/>
      <w:bookmarkStart w:id="2218" w:name="_Caption4785"/>
      <w:bookmarkStart w:id="2219" w:name="_Caption1298"/>
      <w:bookmarkStart w:id="2220" w:name="_Caption5640"/>
      <w:bookmarkStart w:id="2221" w:name="_Caption3828"/>
      <w:bookmarkStart w:id="2222" w:name="_Caption1361"/>
      <w:bookmarkStart w:id="2223" w:name="_Caption4133"/>
      <w:bookmarkStart w:id="2224" w:name="_Caption0155"/>
      <w:bookmarkStart w:id="2225" w:name="_Caption8267"/>
      <w:bookmarkStart w:id="2226" w:name="_Caption2017"/>
      <w:bookmarkStart w:id="2227" w:name="_Caption3419"/>
      <w:bookmarkStart w:id="2228" w:name="_Caption2257"/>
      <w:bookmarkStart w:id="2229" w:name="_Caption3146"/>
      <w:bookmarkStart w:id="2230" w:name="_Caption1824"/>
      <w:bookmarkStart w:id="2231" w:name="_Caption1037"/>
      <w:bookmarkStart w:id="2232" w:name="_Caption7902"/>
      <w:bookmarkStart w:id="2233" w:name="_Caption4751"/>
      <w:bookmarkStart w:id="2234" w:name="_Caption5540"/>
      <w:bookmarkStart w:id="2235" w:name="_Caption0116"/>
      <w:bookmarkStart w:id="2236" w:name="_Caption2143"/>
      <w:bookmarkStart w:id="2237" w:name="_Caption5255"/>
      <w:bookmarkStart w:id="2238" w:name="_Caption9581"/>
      <w:bookmarkStart w:id="2239" w:name="_Caption7981"/>
      <w:bookmarkStart w:id="2240" w:name="_Caption3863"/>
      <w:bookmarkStart w:id="2241" w:name="_Caption6964"/>
      <w:bookmarkStart w:id="2242" w:name="_Caption1161"/>
      <w:bookmarkStart w:id="2243" w:name="_Caption5283"/>
      <w:bookmarkStart w:id="2244" w:name="_Caption9084"/>
      <w:bookmarkStart w:id="2245" w:name="_Caption5165"/>
      <w:bookmarkStart w:id="2246" w:name="_Caption2943"/>
      <w:bookmarkStart w:id="2247" w:name="_Caption0440"/>
      <w:bookmarkStart w:id="2248" w:name="_Caption9373"/>
      <w:bookmarkStart w:id="2249" w:name="_Caption5144"/>
      <w:bookmarkStart w:id="2250" w:name="_Caption2389"/>
      <w:bookmarkStart w:id="2251" w:name="_Caption7355"/>
      <w:bookmarkStart w:id="2252" w:name="_Caption5048"/>
      <w:bookmarkStart w:id="2253" w:name="_Caption9824"/>
      <w:bookmarkStart w:id="2254" w:name="_Caption0125"/>
      <w:bookmarkStart w:id="2255" w:name="_Caption6434"/>
      <w:bookmarkStart w:id="2256" w:name="_Caption2193"/>
      <w:bookmarkStart w:id="2257" w:name="_Caption0187"/>
      <w:bookmarkStart w:id="2258" w:name="_Toc19275581"/>
      <w:bookmarkStart w:id="2259" w:name="_Toc19276191"/>
      <w:bookmarkStart w:id="2260" w:name="_Toc19280190"/>
      <w:r w:rsidR="00C353B5">
        <w:rPr>
          <w:noProof/>
        </w:rPr>
        <w:t>4</w:t>
      </w:r>
      <w:r w:rsidR="00C353B5" w:rsidRPr="00695C93">
        <w:rPr>
          <w:noProof/>
        </w:rPr>
        <w:t>.</w:t>
      </w:r>
      <w:r w:rsidR="00C353B5">
        <w:rPr>
          <w:noProof/>
        </w:rPr>
        <w:t>12</w:t>
      </w:r>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r w:rsidRPr="00695C93">
        <w:fldChar w:fldCharType="end"/>
      </w:r>
      <w:r w:rsidRPr="00695C93">
        <w:tab/>
      </w:r>
      <w:r>
        <w:t>Energy efficiency opportunities — office building case study</w:t>
      </w:r>
      <w:bookmarkEnd w:id="2258"/>
      <w:bookmarkEnd w:id="2259"/>
      <w:bookmarkEnd w:id="2260"/>
    </w:p>
    <w:tbl>
      <w:tblPr>
        <w:tblW w:w="7937" w:type="dxa"/>
        <w:tblLayout w:type="fixed"/>
        <w:tblLook w:val="0000" w:firstRow="0" w:lastRow="0" w:firstColumn="0" w:lastColumn="0" w:noHBand="0" w:noVBand="0"/>
      </w:tblPr>
      <w:tblGrid>
        <w:gridCol w:w="2831"/>
        <w:gridCol w:w="851"/>
        <w:gridCol w:w="851"/>
        <w:gridCol w:w="851"/>
        <w:gridCol w:w="851"/>
        <w:gridCol w:w="851"/>
        <w:gridCol w:w="851"/>
      </w:tblGrid>
      <w:tr w:rsidR="00ED0E85" w14:paraId="7F5C43CE" w14:textId="77777777" w:rsidTr="00ED0E85">
        <w:trPr>
          <w:trHeight w:val="922"/>
          <w:tblHeader/>
        </w:trPr>
        <w:tc>
          <w:tcPr>
            <w:tcW w:w="2831" w:type="dxa"/>
            <w:shd w:val="clear" w:color="auto" w:fill="6F6652"/>
            <w:tcMar>
              <w:left w:w="57" w:type="dxa"/>
              <w:right w:w="57" w:type="dxa"/>
            </w:tcMar>
          </w:tcPr>
          <w:p w14:paraId="3250C2BC" w14:textId="77777777" w:rsidR="00ED0E85" w:rsidRDefault="00ED0E85" w:rsidP="00ED0E85">
            <w:pPr>
              <w:pStyle w:val="TableDataColumnHeading"/>
              <w:jc w:val="left"/>
              <w:rPr>
                <w:lang w:val="en-GB"/>
              </w:rPr>
            </w:pPr>
          </w:p>
        </w:tc>
        <w:tc>
          <w:tcPr>
            <w:tcW w:w="851" w:type="dxa"/>
            <w:shd w:val="clear" w:color="auto" w:fill="6F6652"/>
            <w:tcMar>
              <w:left w:w="57" w:type="dxa"/>
              <w:right w:w="57" w:type="dxa"/>
            </w:tcMar>
          </w:tcPr>
          <w:p w14:paraId="5F4B86E1" w14:textId="77777777" w:rsidR="00ED0E85" w:rsidRDefault="00ED0E85" w:rsidP="00ED0E85">
            <w:pPr>
              <w:pStyle w:val="TableDataColumnHeading"/>
              <w:rPr>
                <w:lang w:val="en-GB"/>
              </w:rPr>
            </w:pPr>
            <w:r>
              <w:rPr>
                <w:lang w:val="en-GB"/>
              </w:rPr>
              <w:t>Annual electricity savings</w:t>
            </w:r>
          </w:p>
        </w:tc>
        <w:tc>
          <w:tcPr>
            <w:tcW w:w="851" w:type="dxa"/>
            <w:shd w:val="clear" w:color="auto" w:fill="6F6652"/>
            <w:tcMar>
              <w:left w:w="57" w:type="dxa"/>
              <w:right w:w="57" w:type="dxa"/>
            </w:tcMar>
          </w:tcPr>
          <w:p w14:paraId="6F8244BF" w14:textId="77777777" w:rsidR="00ED0E85" w:rsidRDefault="00ED0E85" w:rsidP="00ED0E85">
            <w:pPr>
              <w:pStyle w:val="TableDataColumnHeading"/>
              <w:rPr>
                <w:lang w:val="en-GB"/>
              </w:rPr>
            </w:pPr>
            <w:r>
              <w:rPr>
                <w:lang w:val="en-GB"/>
              </w:rPr>
              <w:t>Annual gas savings</w:t>
            </w:r>
          </w:p>
        </w:tc>
        <w:tc>
          <w:tcPr>
            <w:tcW w:w="851" w:type="dxa"/>
            <w:shd w:val="clear" w:color="auto" w:fill="6F6652"/>
            <w:tcMar>
              <w:left w:w="57" w:type="dxa"/>
              <w:right w:w="57" w:type="dxa"/>
            </w:tcMar>
          </w:tcPr>
          <w:p w14:paraId="73943983" w14:textId="77777777" w:rsidR="00ED0E85" w:rsidRDefault="00ED0E85" w:rsidP="00ED0E85">
            <w:pPr>
              <w:pStyle w:val="TableDataColumnHeading"/>
              <w:rPr>
                <w:lang w:val="en-GB"/>
              </w:rPr>
            </w:pPr>
            <w:r>
              <w:rPr>
                <w:lang w:val="en-GB"/>
              </w:rPr>
              <w:t>Annual financial saving</w:t>
            </w:r>
          </w:p>
        </w:tc>
        <w:tc>
          <w:tcPr>
            <w:tcW w:w="851" w:type="dxa"/>
            <w:shd w:val="clear" w:color="auto" w:fill="6F6652"/>
            <w:tcMar>
              <w:left w:w="57" w:type="dxa"/>
              <w:right w:w="57" w:type="dxa"/>
            </w:tcMar>
          </w:tcPr>
          <w:p w14:paraId="186F469C" w14:textId="77777777" w:rsidR="00ED0E85" w:rsidRDefault="00ED0E85" w:rsidP="00ED0E85">
            <w:pPr>
              <w:pStyle w:val="TableDataColumnHeading"/>
              <w:rPr>
                <w:lang w:val="en-GB"/>
              </w:rPr>
            </w:pPr>
            <w:r>
              <w:rPr>
                <w:lang w:val="en-GB"/>
              </w:rPr>
              <w:t>Annual emissions reduction</w:t>
            </w:r>
          </w:p>
        </w:tc>
        <w:tc>
          <w:tcPr>
            <w:tcW w:w="851" w:type="dxa"/>
            <w:shd w:val="clear" w:color="auto" w:fill="6F6652"/>
            <w:tcMar>
              <w:left w:w="57" w:type="dxa"/>
              <w:right w:w="57" w:type="dxa"/>
            </w:tcMar>
          </w:tcPr>
          <w:p w14:paraId="7FF4976C" w14:textId="77777777" w:rsidR="00ED0E85" w:rsidRDefault="00ED0E85" w:rsidP="00ED0E85">
            <w:pPr>
              <w:pStyle w:val="TableDataColumnHeading"/>
              <w:rPr>
                <w:lang w:val="en-GB"/>
              </w:rPr>
            </w:pPr>
            <w:r>
              <w:rPr>
                <w:lang w:val="en-GB"/>
              </w:rPr>
              <w:t>Capital cost</w:t>
            </w:r>
          </w:p>
        </w:tc>
        <w:tc>
          <w:tcPr>
            <w:tcW w:w="851" w:type="dxa"/>
            <w:shd w:val="clear" w:color="auto" w:fill="6F6652"/>
            <w:tcMar>
              <w:left w:w="57" w:type="dxa"/>
              <w:right w:w="57" w:type="dxa"/>
            </w:tcMar>
          </w:tcPr>
          <w:p w14:paraId="656218BF" w14:textId="77777777" w:rsidR="00ED0E85" w:rsidRDefault="00ED0E85" w:rsidP="00ED0E85">
            <w:pPr>
              <w:pStyle w:val="TableDataColumnHeading"/>
              <w:rPr>
                <w:lang w:val="en-GB"/>
              </w:rPr>
            </w:pPr>
            <w:r>
              <w:rPr>
                <w:lang w:val="en-GB"/>
              </w:rPr>
              <w:t>Payback</w:t>
            </w:r>
          </w:p>
        </w:tc>
      </w:tr>
      <w:tr w:rsidR="00ED0E85" w14:paraId="03E0C813" w14:textId="77777777" w:rsidTr="00ED0E85">
        <w:trPr>
          <w:trHeight w:val="230"/>
          <w:tblHeader/>
        </w:trPr>
        <w:tc>
          <w:tcPr>
            <w:tcW w:w="2831" w:type="dxa"/>
            <w:tcBorders>
              <w:bottom w:val="single" w:sz="8" w:space="0" w:color="FFFFFF" w:themeColor="background1"/>
            </w:tcBorders>
            <w:shd w:val="clear" w:color="auto" w:fill="auto"/>
            <w:tcMar>
              <w:left w:w="57" w:type="dxa"/>
              <w:right w:w="57" w:type="dxa"/>
            </w:tcMar>
          </w:tcPr>
          <w:p w14:paraId="11A22FAC" w14:textId="77777777" w:rsidR="00ED0E85" w:rsidRDefault="00ED0E85" w:rsidP="00ED0E85">
            <w:pPr>
              <w:pStyle w:val="TableUnit"/>
              <w:jc w:val="left"/>
              <w:rPr>
                <w:lang w:val="en-GB"/>
              </w:rPr>
            </w:pPr>
          </w:p>
        </w:tc>
        <w:tc>
          <w:tcPr>
            <w:tcW w:w="851" w:type="dxa"/>
            <w:tcBorders>
              <w:bottom w:val="single" w:sz="8" w:space="0" w:color="FFFFFF" w:themeColor="background1"/>
            </w:tcBorders>
            <w:shd w:val="clear" w:color="auto" w:fill="auto"/>
            <w:tcMar>
              <w:left w:w="57" w:type="dxa"/>
              <w:right w:w="57" w:type="dxa"/>
            </w:tcMar>
          </w:tcPr>
          <w:p w14:paraId="160B9A73" w14:textId="77777777" w:rsidR="00ED0E85" w:rsidRDefault="00ED0E85" w:rsidP="00ED0E85">
            <w:pPr>
              <w:pStyle w:val="TableUnit"/>
              <w:rPr>
                <w:lang w:val="en-GB"/>
              </w:rPr>
            </w:pPr>
            <w:r>
              <w:rPr>
                <w:lang w:val="en-GB"/>
              </w:rPr>
              <w:t>kWh</w:t>
            </w:r>
          </w:p>
        </w:tc>
        <w:tc>
          <w:tcPr>
            <w:tcW w:w="851" w:type="dxa"/>
            <w:tcBorders>
              <w:bottom w:val="single" w:sz="8" w:space="0" w:color="FFFFFF" w:themeColor="background1"/>
            </w:tcBorders>
            <w:shd w:val="clear" w:color="auto" w:fill="auto"/>
            <w:tcMar>
              <w:left w:w="57" w:type="dxa"/>
              <w:right w:w="57" w:type="dxa"/>
            </w:tcMar>
          </w:tcPr>
          <w:p w14:paraId="5630F3C2" w14:textId="77777777" w:rsidR="00ED0E85" w:rsidRDefault="00ED0E85" w:rsidP="00ED0E85">
            <w:pPr>
              <w:pStyle w:val="TableUnit"/>
              <w:rPr>
                <w:lang w:val="en-GB"/>
              </w:rPr>
            </w:pPr>
            <w:r>
              <w:rPr>
                <w:lang w:val="en-GB"/>
              </w:rPr>
              <w:t>MJ</w:t>
            </w:r>
          </w:p>
        </w:tc>
        <w:tc>
          <w:tcPr>
            <w:tcW w:w="851" w:type="dxa"/>
            <w:tcBorders>
              <w:bottom w:val="single" w:sz="8" w:space="0" w:color="FFFFFF" w:themeColor="background1"/>
            </w:tcBorders>
            <w:shd w:val="clear" w:color="auto" w:fill="auto"/>
            <w:tcMar>
              <w:left w:w="57" w:type="dxa"/>
              <w:right w:w="57" w:type="dxa"/>
            </w:tcMar>
          </w:tcPr>
          <w:p w14:paraId="2F044C58" w14:textId="77777777" w:rsidR="00ED0E85" w:rsidRDefault="00ED0E85" w:rsidP="00ED0E85">
            <w:pPr>
              <w:pStyle w:val="TableUnit"/>
              <w:rPr>
                <w:lang w:val="en-GB"/>
              </w:rPr>
            </w:pPr>
            <w:r>
              <w:rPr>
                <w:lang w:val="en-GB"/>
              </w:rPr>
              <w:t>$</w:t>
            </w:r>
          </w:p>
        </w:tc>
        <w:tc>
          <w:tcPr>
            <w:tcW w:w="851" w:type="dxa"/>
            <w:tcBorders>
              <w:bottom w:val="single" w:sz="8" w:space="0" w:color="FFFFFF" w:themeColor="background1"/>
            </w:tcBorders>
            <w:shd w:val="clear" w:color="auto" w:fill="auto"/>
            <w:tcMar>
              <w:left w:w="57" w:type="dxa"/>
              <w:right w:w="57" w:type="dxa"/>
            </w:tcMar>
          </w:tcPr>
          <w:p w14:paraId="52F190E7" w14:textId="77777777" w:rsidR="00ED0E85" w:rsidRDefault="00ED0E85" w:rsidP="00ED0E85">
            <w:pPr>
              <w:pStyle w:val="TableUnit"/>
              <w:rPr>
                <w:lang w:val="en-GB"/>
              </w:rPr>
            </w:pPr>
            <w:r>
              <w:rPr>
                <w:lang w:val="en-GB"/>
              </w:rPr>
              <w:t>kgCO</w:t>
            </w:r>
            <w:r w:rsidRPr="00A22B6A">
              <w:rPr>
                <w:vertAlign w:val="subscript"/>
                <w:lang w:val="en-GB"/>
              </w:rPr>
              <w:t>2-e</w:t>
            </w:r>
          </w:p>
        </w:tc>
        <w:tc>
          <w:tcPr>
            <w:tcW w:w="851" w:type="dxa"/>
            <w:tcBorders>
              <w:bottom w:val="single" w:sz="8" w:space="0" w:color="FFFFFF" w:themeColor="background1"/>
            </w:tcBorders>
            <w:shd w:val="clear" w:color="auto" w:fill="auto"/>
            <w:tcMar>
              <w:left w:w="57" w:type="dxa"/>
              <w:right w:w="57" w:type="dxa"/>
            </w:tcMar>
          </w:tcPr>
          <w:p w14:paraId="1850CBF5" w14:textId="77777777" w:rsidR="00ED0E85" w:rsidRDefault="00ED0E85" w:rsidP="00ED0E85">
            <w:pPr>
              <w:pStyle w:val="TableUnit"/>
              <w:rPr>
                <w:lang w:val="en-GB"/>
              </w:rPr>
            </w:pPr>
            <w:r>
              <w:rPr>
                <w:lang w:val="en-GB"/>
              </w:rPr>
              <w:t>$</w:t>
            </w:r>
          </w:p>
        </w:tc>
        <w:tc>
          <w:tcPr>
            <w:tcW w:w="851" w:type="dxa"/>
            <w:tcBorders>
              <w:bottom w:val="single" w:sz="8" w:space="0" w:color="FFFFFF" w:themeColor="background1"/>
            </w:tcBorders>
            <w:shd w:val="clear" w:color="auto" w:fill="auto"/>
            <w:tcMar>
              <w:left w:w="57" w:type="dxa"/>
              <w:right w:w="57" w:type="dxa"/>
            </w:tcMar>
          </w:tcPr>
          <w:p w14:paraId="6EAD27E7" w14:textId="77777777" w:rsidR="00ED0E85" w:rsidRDefault="00ED0E85" w:rsidP="00ED0E85">
            <w:pPr>
              <w:pStyle w:val="TableUnit"/>
              <w:rPr>
                <w:lang w:val="en-GB"/>
              </w:rPr>
            </w:pPr>
            <w:r>
              <w:rPr>
                <w:lang w:val="en-GB"/>
              </w:rPr>
              <w:t>Years</w:t>
            </w:r>
          </w:p>
        </w:tc>
      </w:tr>
      <w:tr w:rsidR="00ED0E85" w14:paraId="23111623" w14:textId="77777777" w:rsidTr="00ED0E85">
        <w:trPr>
          <w:trHeight w:val="230"/>
        </w:trPr>
        <w:tc>
          <w:tcPr>
            <w:tcW w:w="28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683DD1" w14:textId="77777777" w:rsidR="00ED0E85" w:rsidRDefault="00ED0E85" w:rsidP="00ED0E85">
            <w:pPr>
              <w:pStyle w:val="TableDataEntries"/>
              <w:jc w:val="left"/>
              <w:rPr>
                <w:lang w:val="en-GB"/>
              </w:rPr>
            </w:pPr>
            <w:r>
              <w:rPr>
                <w:lang w:val="en-GB"/>
              </w:rPr>
              <w:t>NABERS Energy exclusions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186E9D" w14:textId="77777777" w:rsidR="00ED0E85" w:rsidRDefault="00ED0E85" w:rsidP="00ED0E85">
            <w:pPr>
              <w:pStyle w:val="TableDataEntries"/>
              <w:rPr>
                <w:lang w:val="en-GB"/>
              </w:rPr>
            </w:pPr>
            <w:r>
              <w:rPr>
                <w:lang w:val="en-GB"/>
              </w:rPr>
              <w:t xml:space="preserve"> 98 000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586841" w14:textId="77777777" w:rsidR="00ED0E85" w:rsidRDefault="00ED0E85" w:rsidP="00ED0E85">
            <w:pPr>
              <w:pStyle w:val="TableDataEntries"/>
              <w:rPr>
                <w:lang w:val="en-GB"/>
              </w:rPr>
            </w:pPr>
            <w:r>
              <w:rPr>
                <w:lang w:val="en-GB"/>
              </w:rPr>
              <w:t xml:space="preserve">  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A4831D" w14:textId="77777777" w:rsidR="00ED0E85" w:rsidRDefault="00ED0E85" w:rsidP="00ED0E85">
            <w:pPr>
              <w:pStyle w:val="TableDataEntries"/>
              <w:rPr>
                <w:lang w:val="en-GB"/>
              </w:rPr>
            </w:pPr>
            <w:r>
              <w:rPr>
                <w:lang w:val="en-GB"/>
              </w:rPr>
              <w:t xml:space="preserve">  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46F954" w14:textId="77777777" w:rsidR="00ED0E85" w:rsidRDefault="00ED0E85" w:rsidP="00ED0E85">
            <w:pPr>
              <w:pStyle w:val="TableDataEntries"/>
              <w:rPr>
                <w:lang w:val="en-GB"/>
              </w:rPr>
            </w:pPr>
            <w:r>
              <w:rPr>
                <w:lang w:val="en-GB"/>
              </w:rPr>
              <w:t xml:space="preserve"> 132 000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D7E6DA" w14:textId="77777777" w:rsidR="00ED0E85" w:rsidRDefault="00ED0E85" w:rsidP="00ED0E85">
            <w:pPr>
              <w:pStyle w:val="TableDataEntries"/>
              <w:rPr>
                <w:lang w:val="en-GB"/>
              </w:rPr>
            </w:pPr>
            <w:r>
              <w:rPr>
                <w:lang w:val="en-GB"/>
              </w:rPr>
              <w:t xml:space="preserve"> 8 000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C02324" w14:textId="77777777" w:rsidR="00ED0E85" w:rsidRDefault="00ED0E85" w:rsidP="00ED0E85">
            <w:pPr>
              <w:pStyle w:val="TableDataEntries"/>
              <w:rPr>
                <w:lang w:val="en-GB"/>
              </w:rPr>
            </w:pPr>
            <w:r>
              <w:rPr>
                <w:lang w:val="en-GB"/>
              </w:rPr>
              <w:t>n.a.</w:t>
            </w:r>
          </w:p>
        </w:tc>
      </w:tr>
      <w:tr w:rsidR="00ED0E85" w14:paraId="2AF0B249" w14:textId="77777777" w:rsidTr="00ED0E85">
        <w:trPr>
          <w:trHeight w:val="230"/>
        </w:trPr>
        <w:tc>
          <w:tcPr>
            <w:tcW w:w="28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8B126E" w14:textId="77777777" w:rsidR="00ED0E85" w:rsidRDefault="00ED0E85" w:rsidP="00ED0E85">
            <w:pPr>
              <w:pStyle w:val="TableDataEntries"/>
              <w:jc w:val="left"/>
              <w:rPr>
                <w:lang w:val="en-GB"/>
              </w:rPr>
            </w:pPr>
            <w:r>
              <w:rPr>
                <w:lang w:val="en-GB"/>
              </w:rPr>
              <w:t>BMS and controls hardware upgrade</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4EFE5F" w14:textId="77777777" w:rsidR="00ED0E85" w:rsidRDefault="00ED0E85" w:rsidP="00ED0E85">
            <w:pPr>
              <w:pStyle w:val="TableDataEntries"/>
              <w:rPr>
                <w:lang w:val="en-GB"/>
              </w:rPr>
            </w:pPr>
            <w:r>
              <w:rPr>
                <w:lang w:val="en-GB"/>
              </w:rPr>
              <w:t xml:space="preserve"> 12 000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815862" w14:textId="77777777" w:rsidR="00ED0E85" w:rsidRDefault="00ED0E85" w:rsidP="00ED0E85">
            <w:pPr>
              <w:pStyle w:val="TableDataEntries"/>
              <w:rPr>
                <w:lang w:val="en-GB"/>
              </w:rPr>
            </w:pPr>
            <w:r>
              <w:rPr>
                <w:lang w:val="en-GB"/>
              </w:rPr>
              <w:t xml:space="preserve">  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286138" w14:textId="77777777" w:rsidR="00ED0E85" w:rsidRDefault="00ED0E85" w:rsidP="00ED0E85">
            <w:pPr>
              <w:pStyle w:val="TableDataEntries"/>
              <w:rPr>
                <w:lang w:val="en-GB"/>
              </w:rPr>
            </w:pPr>
            <w:r>
              <w:rPr>
                <w:lang w:val="en-GB"/>
              </w:rPr>
              <w:t xml:space="preserve"> 1 200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269555" w14:textId="77777777" w:rsidR="00ED0E85" w:rsidRDefault="00ED0E85" w:rsidP="00ED0E85">
            <w:pPr>
              <w:pStyle w:val="TableDataEntries"/>
              <w:rPr>
                <w:lang w:val="en-GB"/>
              </w:rPr>
            </w:pPr>
            <w:r>
              <w:rPr>
                <w:lang w:val="en-GB"/>
              </w:rPr>
              <w:t xml:space="preserve"> 16 000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3BBE9D" w14:textId="77777777" w:rsidR="00ED0E85" w:rsidRDefault="00ED0E85" w:rsidP="00ED0E85">
            <w:pPr>
              <w:pStyle w:val="TableDataEntries"/>
              <w:rPr>
                <w:lang w:val="en-GB"/>
              </w:rPr>
            </w:pPr>
            <w:r>
              <w:rPr>
                <w:lang w:val="en-GB"/>
              </w:rPr>
              <w:t xml:space="preserve"> 630 000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0C539F" w14:textId="77777777" w:rsidR="00ED0E85" w:rsidRDefault="00ED0E85" w:rsidP="00ED0E85">
            <w:pPr>
              <w:pStyle w:val="TableDataEntries"/>
              <w:rPr>
                <w:lang w:val="en-GB"/>
              </w:rPr>
            </w:pPr>
            <w:r>
              <w:rPr>
                <w:lang w:val="en-GB"/>
              </w:rPr>
              <w:t>n.a.</w:t>
            </w:r>
          </w:p>
        </w:tc>
      </w:tr>
      <w:tr w:rsidR="00ED0E85" w14:paraId="649F8CC6" w14:textId="77777777" w:rsidTr="00ED0E85">
        <w:trPr>
          <w:trHeight w:val="230"/>
        </w:trPr>
        <w:tc>
          <w:tcPr>
            <w:tcW w:w="28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F464D9" w14:textId="77777777" w:rsidR="00ED0E85" w:rsidRDefault="00ED0E85" w:rsidP="00ED0E85">
            <w:pPr>
              <w:pStyle w:val="TableDataEntries"/>
              <w:jc w:val="left"/>
              <w:rPr>
                <w:lang w:val="en-GB"/>
              </w:rPr>
            </w:pPr>
            <w:r>
              <w:rPr>
                <w:lang w:val="en-GB"/>
              </w:rPr>
              <w:t>Retail area lighting exclusion</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CDB9DE" w14:textId="77777777" w:rsidR="00ED0E85" w:rsidRDefault="00ED0E85" w:rsidP="00ED0E85">
            <w:pPr>
              <w:pStyle w:val="TableDataEntries"/>
              <w:rPr>
                <w:lang w:val="en-GB"/>
              </w:rPr>
            </w:pPr>
            <w:r>
              <w:rPr>
                <w:lang w:val="en-GB"/>
              </w:rPr>
              <w:t xml:space="preserve"> 3 000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6035D0" w14:textId="77777777" w:rsidR="00ED0E85" w:rsidRDefault="00ED0E85" w:rsidP="00ED0E85">
            <w:pPr>
              <w:pStyle w:val="TableDataEntries"/>
              <w:rPr>
                <w:lang w:val="en-GB"/>
              </w:rPr>
            </w:pPr>
            <w:r>
              <w:rPr>
                <w:lang w:val="en-GB"/>
              </w:rPr>
              <w:t xml:space="preserve">  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FD674C" w14:textId="77777777" w:rsidR="00ED0E85" w:rsidRDefault="00ED0E85" w:rsidP="00ED0E85">
            <w:pPr>
              <w:pStyle w:val="TableDataEntries"/>
              <w:rPr>
                <w:lang w:val="en-GB"/>
              </w:rPr>
            </w:pPr>
            <w:r>
              <w:rPr>
                <w:lang w:val="en-GB"/>
              </w:rPr>
              <w:t xml:space="preserve">  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709650" w14:textId="77777777" w:rsidR="00ED0E85" w:rsidRDefault="00ED0E85" w:rsidP="00ED0E85">
            <w:pPr>
              <w:pStyle w:val="TableDataEntries"/>
              <w:rPr>
                <w:lang w:val="en-GB"/>
              </w:rPr>
            </w:pPr>
            <w:r>
              <w:rPr>
                <w:lang w:val="en-GB"/>
              </w:rPr>
              <w:t xml:space="preserve"> 4 000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4374C0" w14:textId="77777777" w:rsidR="00ED0E85" w:rsidRDefault="00ED0E85" w:rsidP="00ED0E85">
            <w:pPr>
              <w:pStyle w:val="TableDataEntries"/>
              <w:rPr>
                <w:lang w:val="en-GB"/>
              </w:rPr>
            </w:pPr>
            <w:r>
              <w:rPr>
                <w:lang w:val="en-GB"/>
              </w:rPr>
              <w:t xml:space="preserve"> 3 000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E29CA0" w14:textId="77777777" w:rsidR="00ED0E85" w:rsidRDefault="00ED0E85" w:rsidP="00ED0E85">
            <w:pPr>
              <w:pStyle w:val="TableDataEntries"/>
              <w:rPr>
                <w:lang w:val="en-GB"/>
              </w:rPr>
            </w:pPr>
            <w:r>
              <w:rPr>
                <w:lang w:val="en-GB"/>
              </w:rPr>
              <w:t>n.a.</w:t>
            </w:r>
          </w:p>
        </w:tc>
      </w:tr>
      <w:tr w:rsidR="00ED0E85" w14:paraId="79B19E7D" w14:textId="77777777" w:rsidTr="00ED0E85">
        <w:trPr>
          <w:trHeight w:val="230"/>
        </w:trPr>
        <w:tc>
          <w:tcPr>
            <w:tcW w:w="28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E88249" w14:textId="77777777" w:rsidR="00ED0E85" w:rsidRDefault="00ED0E85" w:rsidP="00ED0E85">
            <w:pPr>
              <w:pStyle w:val="TableDataEntries"/>
              <w:jc w:val="left"/>
              <w:rPr>
                <w:lang w:val="en-GB"/>
              </w:rPr>
            </w:pPr>
            <w:r>
              <w:rPr>
                <w:lang w:val="en-GB"/>
              </w:rPr>
              <w:t>Lift lobby and toilet lighting luminaire upgrade</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DB1C1D" w14:textId="77777777" w:rsidR="00ED0E85" w:rsidRDefault="00ED0E85" w:rsidP="00ED0E85">
            <w:pPr>
              <w:pStyle w:val="TableDataEntries"/>
              <w:rPr>
                <w:lang w:val="en-GB"/>
              </w:rPr>
            </w:pPr>
            <w:r>
              <w:rPr>
                <w:lang w:val="en-GB"/>
              </w:rPr>
              <w:t xml:space="preserve"> 180 000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D24619" w14:textId="77777777" w:rsidR="00ED0E85" w:rsidRDefault="00ED0E85" w:rsidP="00ED0E85">
            <w:pPr>
              <w:pStyle w:val="TableDataEntries"/>
              <w:rPr>
                <w:lang w:val="en-GB"/>
              </w:rPr>
            </w:pPr>
            <w:r>
              <w:rPr>
                <w:lang w:val="en-GB"/>
              </w:rPr>
              <w:t xml:space="preserve">  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D80474" w14:textId="77777777" w:rsidR="00ED0E85" w:rsidRDefault="00ED0E85" w:rsidP="00ED0E85">
            <w:pPr>
              <w:pStyle w:val="TableDataEntries"/>
              <w:rPr>
                <w:lang w:val="en-GB"/>
              </w:rPr>
            </w:pPr>
            <w:r>
              <w:rPr>
                <w:lang w:val="en-GB"/>
              </w:rPr>
              <w:t xml:space="preserve"> 13 000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2F81AD" w14:textId="77777777" w:rsidR="00ED0E85" w:rsidRDefault="00ED0E85" w:rsidP="00ED0E85">
            <w:pPr>
              <w:pStyle w:val="TableDataEntries"/>
              <w:rPr>
                <w:lang w:val="en-GB"/>
              </w:rPr>
            </w:pPr>
            <w:r>
              <w:rPr>
                <w:lang w:val="en-GB"/>
              </w:rPr>
              <w:t xml:space="preserve"> 241 000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8E91C9" w14:textId="77777777" w:rsidR="00ED0E85" w:rsidRDefault="00ED0E85" w:rsidP="00ED0E85">
            <w:pPr>
              <w:pStyle w:val="TableDataEntries"/>
              <w:rPr>
                <w:lang w:val="en-GB"/>
              </w:rPr>
            </w:pPr>
            <w:r>
              <w:rPr>
                <w:lang w:val="en-GB"/>
              </w:rPr>
              <w:t xml:space="preserve">  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7B7E86" w14:textId="77777777" w:rsidR="00ED0E85" w:rsidRDefault="00ED0E85" w:rsidP="00ED0E85">
            <w:pPr>
              <w:pStyle w:val="TableDataEntries"/>
              <w:rPr>
                <w:lang w:val="en-GB"/>
              </w:rPr>
            </w:pPr>
            <w:r>
              <w:rPr>
                <w:lang w:val="en-GB"/>
              </w:rPr>
              <w:t xml:space="preserve"> 0.0</w:t>
            </w:r>
          </w:p>
        </w:tc>
      </w:tr>
      <w:tr w:rsidR="00ED0E85" w14:paraId="30B30713" w14:textId="77777777" w:rsidTr="00ED0E85">
        <w:trPr>
          <w:trHeight w:val="230"/>
        </w:trPr>
        <w:tc>
          <w:tcPr>
            <w:tcW w:w="28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1A0A03" w14:textId="77777777" w:rsidR="00ED0E85" w:rsidRDefault="00ED0E85" w:rsidP="00ED0E85">
            <w:pPr>
              <w:pStyle w:val="TableDataEntries"/>
              <w:jc w:val="left"/>
              <w:rPr>
                <w:lang w:val="en-GB"/>
              </w:rPr>
            </w:pPr>
            <w:r>
              <w:rPr>
                <w:lang w:val="en-GB"/>
              </w:rPr>
              <w:t>Cooling tower control strategy</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FEE9FC" w14:textId="77777777" w:rsidR="00ED0E85" w:rsidRDefault="00ED0E85" w:rsidP="00ED0E85">
            <w:pPr>
              <w:pStyle w:val="TableDataEntries"/>
              <w:rPr>
                <w:lang w:val="en-GB"/>
              </w:rPr>
            </w:pPr>
            <w:r>
              <w:rPr>
                <w:lang w:val="en-GB"/>
              </w:rPr>
              <w:t xml:space="preserve"> 67 000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633AAB" w14:textId="77777777" w:rsidR="00ED0E85" w:rsidRDefault="00ED0E85" w:rsidP="00ED0E85">
            <w:pPr>
              <w:pStyle w:val="TableDataEntries"/>
              <w:rPr>
                <w:lang w:val="en-GB"/>
              </w:rPr>
            </w:pPr>
            <w:r>
              <w:rPr>
                <w:lang w:val="en-GB"/>
              </w:rPr>
              <w:t xml:space="preserve">  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CE8EF4" w14:textId="77777777" w:rsidR="00ED0E85" w:rsidRDefault="00ED0E85" w:rsidP="00ED0E85">
            <w:pPr>
              <w:pStyle w:val="TableDataEntries"/>
              <w:rPr>
                <w:lang w:val="en-GB"/>
              </w:rPr>
            </w:pPr>
            <w:r>
              <w:rPr>
                <w:lang w:val="en-GB"/>
              </w:rPr>
              <w:t xml:space="preserve"> 6 100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4F28DD" w14:textId="77777777" w:rsidR="00ED0E85" w:rsidRDefault="00ED0E85" w:rsidP="00ED0E85">
            <w:pPr>
              <w:pStyle w:val="TableDataEntries"/>
              <w:rPr>
                <w:lang w:val="en-GB"/>
              </w:rPr>
            </w:pPr>
            <w:r>
              <w:rPr>
                <w:lang w:val="en-GB"/>
              </w:rPr>
              <w:t xml:space="preserve"> 89 000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DF9ACC" w14:textId="77777777" w:rsidR="00ED0E85" w:rsidRDefault="00ED0E85" w:rsidP="00ED0E85">
            <w:pPr>
              <w:pStyle w:val="TableDataEntries"/>
              <w:rPr>
                <w:lang w:val="en-GB"/>
              </w:rPr>
            </w:pPr>
            <w:r>
              <w:rPr>
                <w:lang w:val="en-GB"/>
              </w:rPr>
              <w:t xml:space="preserve"> 4 100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426F42" w14:textId="77777777" w:rsidR="00ED0E85" w:rsidRDefault="00ED0E85" w:rsidP="00ED0E85">
            <w:pPr>
              <w:pStyle w:val="TableDataEntries"/>
              <w:rPr>
                <w:lang w:val="en-GB"/>
              </w:rPr>
            </w:pPr>
            <w:r>
              <w:rPr>
                <w:lang w:val="en-GB"/>
              </w:rPr>
              <w:t xml:space="preserve"> 0.7</w:t>
            </w:r>
          </w:p>
        </w:tc>
      </w:tr>
      <w:tr w:rsidR="00ED0E85" w14:paraId="6D54FE25" w14:textId="77777777" w:rsidTr="00ED0E85">
        <w:trPr>
          <w:trHeight w:val="230"/>
        </w:trPr>
        <w:tc>
          <w:tcPr>
            <w:tcW w:w="28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234469" w14:textId="77777777" w:rsidR="00ED0E85" w:rsidRDefault="00ED0E85" w:rsidP="00ED0E85">
            <w:pPr>
              <w:pStyle w:val="TableDataEntries"/>
              <w:jc w:val="left"/>
              <w:rPr>
                <w:lang w:val="en-GB"/>
              </w:rPr>
            </w:pPr>
            <w:r>
              <w:rPr>
                <w:lang w:val="en-GB"/>
              </w:rPr>
              <w:t>Lighting controls upgrade and recommissioning</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04482F" w14:textId="77777777" w:rsidR="00ED0E85" w:rsidRDefault="00ED0E85" w:rsidP="00ED0E85">
            <w:pPr>
              <w:pStyle w:val="TableDataEntries"/>
              <w:rPr>
                <w:lang w:val="en-GB"/>
              </w:rPr>
            </w:pPr>
            <w:r>
              <w:rPr>
                <w:lang w:val="en-GB"/>
              </w:rPr>
              <w:t xml:space="preserve"> 155 000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521D53" w14:textId="77777777" w:rsidR="00ED0E85" w:rsidRDefault="00ED0E85" w:rsidP="00ED0E85">
            <w:pPr>
              <w:pStyle w:val="TableDataEntries"/>
              <w:rPr>
                <w:lang w:val="en-GB"/>
              </w:rPr>
            </w:pPr>
            <w:r>
              <w:rPr>
                <w:lang w:val="en-GB"/>
              </w:rPr>
              <w:t xml:space="preserve">  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3BC25C" w14:textId="77777777" w:rsidR="00ED0E85" w:rsidRDefault="00ED0E85" w:rsidP="00ED0E85">
            <w:pPr>
              <w:pStyle w:val="TableDataEntries"/>
              <w:rPr>
                <w:lang w:val="en-GB"/>
              </w:rPr>
            </w:pPr>
            <w:r>
              <w:rPr>
                <w:lang w:val="en-GB"/>
              </w:rPr>
              <w:t xml:space="preserve"> 11 000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9C08A8" w14:textId="77777777" w:rsidR="00ED0E85" w:rsidRDefault="00ED0E85" w:rsidP="00ED0E85">
            <w:pPr>
              <w:pStyle w:val="TableDataEntries"/>
              <w:rPr>
                <w:lang w:val="en-GB"/>
              </w:rPr>
            </w:pPr>
            <w:r>
              <w:rPr>
                <w:lang w:val="en-GB"/>
              </w:rPr>
              <w:t xml:space="preserve"> 208 000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04E894" w14:textId="77777777" w:rsidR="00ED0E85" w:rsidRDefault="00ED0E85" w:rsidP="00ED0E85">
            <w:pPr>
              <w:pStyle w:val="TableDataEntries"/>
              <w:rPr>
                <w:lang w:val="en-GB"/>
              </w:rPr>
            </w:pPr>
            <w:r>
              <w:rPr>
                <w:lang w:val="en-GB"/>
              </w:rPr>
              <w:t xml:space="preserve"> 22 000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5B3D8C" w14:textId="77777777" w:rsidR="00ED0E85" w:rsidRDefault="00ED0E85" w:rsidP="00ED0E85">
            <w:pPr>
              <w:pStyle w:val="TableDataEntries"/>
              <w:rPr>
                <w:lang w:val="en-GB"/>
              </w:rPr>
            </w:pPr>
            <w:r>
              <w:rPr>
                <w:lang w:val="en-GB"/>
              </w:rPr>
              <w:t xml:space="preserve"> 3.0</w:t>
            </w:r>
          </w:p>
        </w:tc>
      </w:tr>
      <w:tr w:rsidR="00ED0E85" w14:paraId="27F4B71A" w14:textId="77777777" w:rsidTr="00ED0E85">
        <w:trPr>
          <w:trHeight w:val="230"/>
        </w:trPr>
        <w:tc>
          <w:tcPr>
            <w:tcW w:w="28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A6CCEC" w14:textId="77777777" w:rsidR="00ED0E85" w:rsidRDefault="00ED0E85" w:rsidP="00ED0E85">
            <w:pPr>
              <w:pStyle w:val="TableDataEntries"/>
              <w:jc w:val="left"/>
              <w:rPr>
                <w:lang w:val="en-GB"/>
              </w:rPr>
            </w:pPr>
            <w:r>
              <w:rPr>
                <w:lang w:val="en-GB"/>
              </w:rPr>
              <w:t>Tenant condenser water plant</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1060C3" w14:textId="77777777" w:rsidR="00ED0E85" w:rsidRDefault="00ED0E85" w:rsidP="00ED0E85">
            <w:pPr>
              <w:pStyle w:val="TableDataEntries"/>
              <w:rPr>
                <w:lang w:val="en-GB"/>
              </w:rPr>
            </w:pPr>
            <w:r>
              <w:rPr>
                <w:lang w:val="en-GB"/>
              </w:rPr>
              <w:t xml:space="preserve"> 130 000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5CE963" w14:textId="77777777" w:rsidR="00ED0E85" w:rsidRDefault="00ED0E85" w:rsidP="00ED0E85">
            <w:pPr>
              <w:pStyle w:val="TableDataEntries"/>
              <w:rPr>
                <w:lang w:val="en-GB"/>
              </w:rPr>
            </w:pPr>
            <w:r>
              <w:rPr>
                <w:lang w:val="en-GB"/>
              </w:rPr>
              <w:t xml:space="preserve">  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725EEC" w14:textId="77777777" w:rsidR="00ED0E85" w:rsidRDefault="00ED0E85" w:rsidP="00ED0E85">
            <w:pPr>
              <w:pStyle w:val="TableDataEntries"/>
              <w:rPr>
                <w:lang w:val="en-GB"/>
              </w:rPr>
            </w:pPr>
            <w:r>
              <w:rPr>
                <w:lang w:val="en-GB"/>
              </w:rPr>
              <w:t xml:space="preserve"> 9 000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B04334" w14:textId="77777777" w:rsidR="00ED0E85" w:rsidRDefault="00ED0E85" w:rsidP="00ED0E85">
            <w:pPr>
              <w:pStyle w:val="TableDataEntries"/>
              <w:rPr>
                <w:lang w:val="en-GB"/>
              </w:rPr>
            </w:pPr>
            <w:r>
              <w:rPr>
                <w:lang w:val="en-GB"/>
              </w:rPr>
              <w:t xml:space="preserve"> 175 000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0ECF99" w14:textId="77777777" w:rsidR="00ED0E85" w:rsidRDefault="00ED0E85" w:rsidP="00ED0E85">
            <w:pPr>
              <w:pStyle w:val="TableDataEntries"/>
              <w:rPr>
                <w:lang w:val="en-GB"/>
              </w:rPr>
            </w:pPr>
            <w:r>
              <w:rPr>
                <w:lang w:val="en-GB"/>
              </w:rPr>
              <w:t xml:space="preserve"> 41 000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3EF2C8" w14:textId="77777777" w:rsidR="00ED0E85" w:rsidRDefault="00ED0E85" w:rsidP="00ED0E85">
            <w:pPr>
              <w:pStyle w:val="TableDataEntries"/>
              <w:rPr>
                <w:lang w:val="en-GB"/>
              </w:rPr>
            </w:pPr>
            <w:r>
              <w:rPr>
                <w:lang w:val="en-GB"/>
              </w:rPr>
              <w:t xml:space="preserve"> 4.6</w:t>
            </w:r>
          </w:p>
        </w:tc>
      </w:tr>
      <w:tr w:rsidR="00ED0E85" w14:paraId="6C0DF120" w14:textId="77777777" w:rsidTr="00ED0E85">
        <w:trPr>
          <w:trHeight w:val="230"/>
        </w:trPr>
        <w:tc>
          <w:tcPr>
            <w:tcW w:w="28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212F1E" w14:textId="77777777" w:rsidR="00ED0E85" w:rsidRDefault="00ED0E85" w:rsidP="00ED0E85">
            <w:pPr>
              <w:pStyle w:val="TableDataEntries"/>
              <w:jc w:val="left"/>
              <w:rPr>
                <w:lang w:val="en-GB"/>
              </w:rPr>
            </w:pPr>
            <w:r>
              <w:rPr>
                <w:lang w:val="en-GB"/>
              </w:rPr>
              <w:t>Toilet lighting control upgrade</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198775" w14:textId="77777777" w:rsidR="00ED0E85" w:rsidRDefault="00ED0E85" w:rsidP="00ED0E85">
            <w:pPr>
              <w:pStyle w:val="TableDataEntries"/>
              <w:rPr>
                <w:lang w:val="en-GB"/>
              </w:rPr>
            </w:pPr>
            <w:r>
              <w:rPr>
                <w:lang w:val="en-GB"/>
              </w:rPr>
              <w:t xml:space="preserve"> 85 000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6E938F" w14:textId="77777777" w:rsidR="00ED0E85" w:rsidRDefault="00ED0E85" w:rsidP="00ED0E85">
            <w:pPr>
              <w:pStyle w:val="TableDataEntries"/>
              <w:rPr>
                <w:lang w:val="en-GB"/>
              </w:rPr>
            </w:pPr>
            <w:r>
              <w:rPr>
                <w:lang w:val="en-GB"/>
              </w:rPr>
              <w:t xml:space="preserve">  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1F98C3" w14:textId="77777777" w:rsidR="00ED0E85" w:rsidRDefault="00ED0E85" w:rsidP="00ED0E85">
            <w:pPr>
              <w:pStyle w:val="TableDataEntries"/>
              <w:rPr>
                <w:lang w:val="en-GB"/>
              </w:rPr>
            </w:pPr>
            <w:r>
              <w:rPr>
                <w:lang w:val="en-GB"/>
              </w:rPr>
              <w:t xml:space="preserve"> 5 800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343315" w14:textId="77777777" w:rsidR="00ED0E85" w:rsidRDefault="00ED0E85" w:rsidP="00ED0E85">
            <w:pPr>
              <w:pStyle w:val="TableDataEntries"/>
              <w:rPr>
                <w:lang w:val="en-GB"/>
              </w:rPr>
            </w:pPr>
            <w:r>
              <w:rPr>
                <w:lang w:val="en-GB"/>
              </w:rPr>
              <w:t xml:space="preserve"> 114 000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984F9E" w14:textId="77777777" w:rsidR="00ED0E85" w:rsidRDefault="00ED0E85" w:rsidP="00ED0E85">
            <w:pPr>
              <w:pStyle w:val="TableDataEntries"/>
              <w:rPr>
                <w:lang w:val="en-GB"/>
              </w:rPr>
            </w:pPr>
            <w:r>
              <w:rPr>
                <w:lang w:val="en-GB"/>
              </w:rPr>
              <w:t xml:space="preserve"> 41 000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3359EF" w14:textId="77777777" w:rsidR="00ED0E85" w:rsidRDefault="00ED0E85" w:rsidP="00ED0E85">
            <w:pPr>
              <w:pStyle w:val="TableDataEntries"/>
              <w:rPr>
                <w:lang w:val="en-GB"/>
              </w:rPr>
            </w:pPr>
            <w:r>
              <w:rPr>
                <w:lang w:val="en-GB"/>
              </w:rPr>
              <w:t xml:space="preserve"> 7.1</w:t>
            </w:r>
          </w:p>
        </w:tc>
      </w:tr>
      <w:tr w:rsidR="00ED0E85" w14:paraId="712E4AB6" w14:textId="77777777" w:rsidTr="00ED0E85">
        <w:trPr>
          <w:trHeight w:val="230"/>
        </w:trPr>
        <w:tc>
          <w:tcPr>
            <w:tcW w:w="28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E84784" w14:textId="77777777" w:rsidR="00ED0E85" w:rsidRDefault="00ED0E85" w:rsidP="00ED0E85">
            <w:pPr>
              <w:pStyle w:val="TableDataEntries"/>
              <w:jc w:val="left"/>
              <w:rPr>
                <w:lang w:val="en-GB"/>
              </w:rPr>
            </w:pPr>
            <w:r>
              <w:rPr>
                <w:lang w:val="en-GB"/>
              </w:rPr>
              <w:t>Internal air-handling control strategy</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0C8C91" w14:textId="77777777" w:rsidR="00ED0E85" w:rsidRDefault="00ED0E85" w:rsidP="00ED0E85">
            <w:pPr>
              <w:pStyle w:val="TableDataEntries"/>
              <w:rPr>
                <w:lang w:val="en-GB"/>
              </w:rPr>
            </w:pPr>
            <w:r>
              <w:rPr>
                <w:lang w:val="en-GB"/>
              </w:rPr>
              <w:t xml:space="preserve"> 255 000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7942A9" w14:textId="77777777" w:rsidR="00ED0E85" w:rsidRDefault="00ED0E85" w:rsidP="00ED0E85">
            <w:pPr>
              <w:pStyle w:val="TableDataEntries"/>
              <w:rPr>
                <w:lang w:val="en-GB"/>
              </w:rPr>
            </w:pPr>
            <w:r>
              <w:rPr>
                <w:lang w:val="en-GB"/>
              </w:rPr>
              <w:t xml:space="preserve">  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FF18C7" w14:textId="77777777" w:rsidR="00ED0E85" w:rsidRDefault="00ED0E85" w:rsidP="00ED0E85">
            <w:pPr>
              <w:pStyle w:val="TableDataEntries"/>
              <w:rPr>
                <w:lang w:val="en-GB"/>
              </w:rPr>
            </w:pPr>
            <w:r>
              <w:rPr>
                <w:lang w:val="en-GB"/>
              </w:rPr>
              <w:t xml:space="preserve"> 26 000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664A6F" w14:textId="77777777" w:rsidR="00ED0E85" w:rsidRDefault="00ED0E85" w:rsidP="00ED0E85">
            <w:pPr>
              <w:pStyle w:val="TableDataEntries"/>
              <w:rPr>
                <w:lang w:val="en-GB"/>
              </w:rPr>
            </w:pPr>
            <w:r>
              <w:rPr>
                <w:lang w:val="en-GB"/>
              </w:rPr>
              <w:t xml:space="preserve"> 341 000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424A62" w14:textId="77777777" w:rsidR="00ED0E85" w:rsidRDefault="00ED0E85" w:rsidP="00ED0E85">
            <w:pPr>
              <w:pStyle w:val="TableDataEntries"/>
              <w:rPr>
                <w:lang w:val="en-GB"/>
              </w:rPr>
            </w:pPr>
            <w:r>
              <w:rPr>
                <w:lang w:val="en-GB"/>
              </w:rPr>
              <w:t xml:space="preserve"> 200 000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2C6512" w14:textId="77777777" w:rsidR="00ED0E85" w:rsidRDefault="00ED0E85" w:rsidP="00ED0E85">
            <w:pPr>
              <w:pStyle w:val="TableDataEntries"/>
              <w:rPr>
                <w:lang w:val="en-GB"/>
              </w:rPr>
            </w:pPr>
            <w:r>
              <w:rPr>
                <w:lang w:val="en-GB"/>
              </w:rPr>
              <w:t xml:space="preserve"> 7.7</w:t>
            </w:r>
          </w:p>
        </w:tc>
      </w:tr>
      <w:tr w:rsidR="00ED0E85" w14:paraId="6C5E6B84" w14:textId="77777777" w:rsidTr="00ED0E85">
        <w:trPr>
          <w:trHeight w:val="230"/>
        </w:trPr>
        <w:tc>
          <w:tcPr>
            <w:tcW w:w="28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F52CF8" w14:textId="77777777" w:rsidR="00ED0E85" w:rsidRDefault="00ED0E85" w:rsidP="00ED0E85">
            <w:pPr>
              <w:pStyle w:val="TableDataEntries"/>
              <w:jc w:val="left"/>
              <w:rPr>
                <w:lang w:val="en-GB"/>
              </w:rPr>
            </w:pPr>
            <w:r>
              <w:rPr>
                <w:lang w:val="en-GB"/>
              </w:rPr>
              <w:t>Dual duct AHU upgrade and control strategy</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CADB85" w14:textId="77777777" w:rsidR="00ED0E85" w:rsidRDefault="00ED0E85" w:rsidP="00ED0E85">
            <w:pPr>
              <w:pStyle w:val="TableDataEntries"/>
              <w:rPr>
                <w:lang w:val="en-GB"/>
              </w:rPr>
            </w:pPr>
            <w:r>
              <w:rPr>
                <w:lang w:val="en-GB"/>
              </w:rPr>
              <w:t xml:space="preserve"> 134 000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54445A" w14:textId="77777777" w:rsidR="00ED0E85" w:rsidRDefault="00ED0E85" w:rsidP="00ED0E85">
            <w:pPr>
              <w:pStyle w:val="TableDataEntries"/>
              <w:rPr>
                <w:lang w:val="en-GB"/>
              </w:rPr>
            </w:pPr>
            <w:r>
              <w:rPr>
                <w:lang w:val="en-GB"/>
              </w:rPr>
              <w:t xml:space="preserve"> 152 000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CEEBAA" w14:textId="77777777" w:rsidR="00ED0E85" w:rsidRDefault="00ED0E85" w:rsidP="00ED0E85">
            <w:pPr>
              <w:pStyle w:val="TableDataEntries"/>
              <w:rPr>
                <w:lang w:val="en-GB"/>
              </w:rPr>
            </w:pPr>
            <w:r>
              <w:rPr>
                <w:lang w:val="en-GB"/>
              </w:rPr>
              <w:t xml:space="preserve"> 13 000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33B0B9" w14:textId="77777777" w:rsidR="00ED0E85" w:rsidRDefault="00ED0E85" w:rsidP="00ED0E85">
            <w:pPr>
              <w:pStyle w:val="TableDataEntries"/>
              <w:rPr>
                <w:lang w:val="en-GB"/>
              </w:rPr>
            </w:pPr>
            <w:r>
              <w:rPr>
                <w:lang w:val="en-GB"/>
              </w:rPr>
              <w:t xml:space="preserve"> 188 000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0F8C7C" w14:textId="77777777" w:rsidR="00ED0E85" w:rsidRDefault="00ED0E85" w:rsidP="00ED0E85">
            <w:pPr>
              <w:pStyle w:val="TableDataEntries"/>
              <w:rPr>
                <w:lang w:val="en-GB"/>
              </w:rPr>
            </w:pPr>
            <w:r>
              <w:rPr>
                <w:lang w:val="en-GB"/>
              </w:rPr>
              <w:t xml:space="preserve"> 114 000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8D64BD" w14:textId="77777777" w:rsidR="00ED0E85" w:rsidRDefault="00ED0E85" w:rsidP="00ED0E85">
            <w:pPr>
              <w:pStyle w:val="TableDataEntries"/>
              <w:rPr>
                <w:lang w:val="en-GB"/>
              </w:rPr>
            </w:pPr>
            <w:r>
              <w:rPr>
                <w:lang w:val="en-GB"/>
              </w:rPr>
              <w:t xml:space="preserve"> 8.8</w:t>
            </w:r>
          </w:p>
        </w:tc>
      </w:tr>
      <w:tr w:rsidR="00ED0E85" w14:paraId="1DFAD81E" w14:textId="77777777" w:rsidTr="00ED0E85">
        <w:trPr>
          <w:trHeight w:val="230"/>
        </w:trPr>
        <w:tc>
          <w:tcPr>
            <w:tcW w:w="28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4FA461" w14:textId="77777777" w:rsidR="00ED0E85" w:rsidRDefault="00ED0E85" w:rsidP="00ED0E85">
            <w:pPr>
              <w:pStyle w:val="TableDataEntries"/>
              <w:jc w:val="left"/>
              <w:rPr>
                <w:lang w:val="en-GB"/>
              </w:rPr>
            </w:pPr>
            <w:r>
              <w:rPr>
                <w:lang w:val="en-GB"/>
              </w:rPr>
              <w:t>Other air-handling plant control strategies</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622023" w14:textId="77777777" w:rsidR="00ED0E85" w:rsidRDefault="00ED0E85" w:rsidP="00ED0E85">
            <w:pPr>
              <w:pStyle w:val="TableDataEntries"/>
              <w:rPr>
                <w:lang w:val="en-GB"/>
              </w:rPr>
            </w:pPr>
            <w:r>
              <w:rPr>
                <w:lang w:val="en-GB"/>
              </w:rPr>
              <w:t xml:space="preserve"> 31 000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77C525" w14:textId="77777777" w:rsidR="00ED0E85" w:rsidRDefault="00ED0E85" w:rsidP="00ED0E85">
            <w:pPr>
              <w:pStyle w:val="TableDataEntries"/>
              <w:rPr>
                <w:lang w:val="en-GB"/>
              </w:rPr>
            </w:pPr>
            <w:r>
              <w:rPr>
                <w:lang w:val="en-GB"/>
              </w:rPr>
              <w:t xml:space="preserve">  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D2DB9C" w14:textId="77777777" w:rsidR="00ED0E85" w:rsidRDefault="00ED0E85" w:rsidP="00ED0E85">
            <w:pPr>
              <w:pStyle w:val="TableDataEntries"/>
              <w:rPr>
                <w:lang w:val="en-GB"/>
              </w:rPr>
            </w:pPr>
            <w:r>
              <w:rPr>
                <w:lang w:val="en-GB"/>
              </w:rPr>
              <w:t xml:space="preserve"> 2 500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3FA7DF" w14:textId="77777777" w:rsidR="00ED0E85" w:rsidRDefault="00ED0E85" w:rsidP="00ED0E85">
            <w:pPr>
              <w:pStyle w:val="TableDataEntries"/>
              <w:rPr>
                <w:lang w:val="en-GB"/>
              </w:rPr>
            </w:pPr>
            <w:r>
              <w:rPr>
                <w:lang w:val="en-GB"/>
              </w:rPr>
              <w:t xml:space="preserve"> 41 000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17D255" w14:textId="77777777" w:rsidR="00ED0E85" w:rsidRDefault="00ED0E85" w:rsidP="00ED0E85">
            <w:pPr>
              <w:pStyle w:val="TableDataEntries"/>
              <w:rPr>
                <w:lang w:val="en-GB"/>
              </w:rPr>
            </w:pPr>
            <w:r>
              <w:rPr>
                <w:lang w:val="en-GB"/>
              </w:rPr>
              <w:t xml:space="preserve"> 30 000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ECC2D3" w14:textId="77777777" w:rsidR="00ED0E85" w:rsidRDefault="00ED0E85" w:rsidP="00ED0E85">
            <w:pPr>
              <w:pStyle w:val="TableDataEntries"/>
              <w:rPr>
                <w:lang w:val="en-GB"/>
              </w:rPr>
            </w:pPr>
            <w:r>
              <w:rPr>
                <w:lang w:val="en-GB"/>
              </w:rPr>
              <w:t xml:space="preserve"> 12.0</w:t>
            </w:r>
          </w:p>
        </w:tc>
      </w:tr>
      <w:tr w:rsidR="00ED0E85" w14:paraId="15899CD5" w14:textId="77777777" w:rsidTr="00ED0E85">
        <w:trPr>
          <w:trHeight w:val="230"/>
        </w:trPr>
        <w:tc>
          <w:tcPr>
            <w:tcW w:w="28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41CAF8" w14:textId="77777777" w:rsidR="00ED0E85" w:rsidRDefault="00ED0E85" w:rsidP="00ED0E85">
            <w:pPr>
              <w:pStyle w:val="TableDataEntries"/>
              <w:jc w:val="left"/>
              <w:rPr>
                <w:lang w:val="en-GB"/>
              </w:rPr>
            </w:pPr>
            <w:r>
              <w:rPr>
                <w:lang w:val="en-GB"/>
              </w:rPr>
              <w:t>L1 Office stair lighting upgrade</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145E4A" w14:textId="77777777" w:rsidR="00ED0E85" w:rsidRDefault="00ED0E85" w:rsidP="00ED0E85">
            <w:pPr>
              <w:pStyle w:val="TableDataEntries"/>
              <w:rPr>
                <w:lang w:val="en-GB"/>
              </w:rPr>
            </w:pPr>
            <w:r>
              <w:rPr>
                <w:lang w:val="en-GB"/>
              </w:rPr>
              <w:t xml:space="preserve"> 16 500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7220B0" w14:textId="77777777" w:rsidR="00ED0E85" w:rsidRDefault="00ED0E85" w:rsidP="00ED0E85">
            <w:pPr>
              <w:pStyle w:val="TableDataEntries"/>
              <w:rPr>
                <w:lang w:val="en-GB"/>
              </w:rPr>
            </w:pPr>
            <w:r>
              <w:rPr>
                <w:lang w:val="en-GB"/>
              </w:rPr>
              <w:t xml:space="preserve">  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5CD7AD" w14:textId="77777777" w:rsidR="00ED0E85" w:rsidRDefault="00ED0E85" w:rsidP="00ED0E85">
            <w:pPr>
              <w:pStyle w:val="TableDataEntries"/>
              <w:rPr>
                <w:lang w:val="en-GB"/>
              </w:rPr>
            </w:pPr>
            <w:r>
              <w:rPr>
                <w:lang w:val="en-GB"/>
              </w:rPr>
              <w:t xml:space="preserve"> 1 300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CAFC96" w14:textId="77777777" w:rsidR="00ED0E85" w:rsidRDefault="00ED0E85" w:rsidP="00ED0E85">
            <w:pPr>
              <w:pStyle w:val="TableDataEntries"/>
              <w:rPr>
                <w:lang w:val="en-GB"/>
              </w:rPr>
            </w:pPr>
            <w:r>
              <w:rPr>
                <w:lang w:val="en-GB"/>
              </w:rPr>
              <w:t xml:space="preserve"> 22 000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48E02F" w14:textId="77777777" w:rsidR="00ED0E85" w:rsidRDefault="00ED0E85" w:rsidP="00ED0E85">
            <w:pPr>
              <w:pStyle w:val="TableDataEntries"/>
              <w:rPr>
                <w:lang w:val="en-GB"/>
              </w:rPr>
            </w:pPr>
            <w:r>
              <w:rPr>
                <w:lang w:val="en-GB"/>
              </w:rPr>
              <w:t xml:space="preserve"> 16 000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CD2ECE" w14:textId="77777777" w:rsidR="00ED0E85" w:rsidRDefault="00ED0E85" w:rsidP="00ED0E85">
            <w:pPr>
              <w:pStyle w:val="TableDataEntries"/>
              <w:rPr>
                <w:lang w:val="en-GB"/>
              </w:rPr>
            </w:pPr>
            <w:r>
              <w:rPr>
                <w:lang w:val="en-GB"/>
              </w:rPr>
              <w:t xml:space="preserve"> 12.3</w:t>
            </w:r>
          </w:p>
        </w:tc>
      </w:tr>
      <w:tr w:rsidR="00ED0E85" w14:paraId="3B1D25DC" w14:textId="77777777" w:rsidTr="00ED0E85">
        <w:trPr>
          <w:trHeight w:val="230"/>
        </w:trPr>
        <w:tc>
          <w:tcPr>
            <w:tcW w:w="28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5264EE" w14:textId="77777777" w:rsidR="00ED0E85" w:rsidRDefault="00ED0E85" w:rsidP="00ED0E85">
            <w:pPr>
              <w:pStyle w:val="TableDataEntries"/>
              <w:jc w:val="left"/>
              <w:rPr>
                <w:lang w:val="en-GB"/>
              </w:rPr>
            </w:pPr>
            <w:r>
              <w:rPr>
                <w:lang w:val="en-GB"/>
              </w:rPr>
              <w:t>L41 air-handling control strategy</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F6D83B" w14:textId="77777777" w:rsidR="00ED0E85" w:rsidRDefault="00ED0E85" w:rsidP="00ED0E85">
            <w:pPr>
              <w:pStyle w:val="TableDataEntries"/>
              <w:rPr>
                <w:lang w:val="en-GB"/>
              </w:rPr>
            </w:pPr>
            <w:r>
              <w:rPr>
                <w:lang w:val="en-GB"/>
              </w:rPr>
              <w:t xml:space="preserve"> 21 000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D1F3C6" w14:textId="77777777" w:rsidR="00ED0E85" w:rsidRDefault="00ED0E85" w:rsidP="00ED0E85">
            <w:pPr>
              <w:pStyle w:val="TableDataEntries"/>
              <w:rPr>
                <w:lang w:val="en-GB"/>
              </w:rPr>
            </w:pPr>
            <w:r>
              <w:rPr>
                <w:lang w:val="en-GB"/>
              </w:rPr>
              <w:t xml:space="preserve">  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81D071" w14:textId="77777777" w:rsidR="00ED0E85" w:rsidRDefault="00ED0E85" w:rsidP="00ED0E85">
            <w:pPr>
              <w:pStyle w:val="TableDataEntries"/>
              <w:rPr>
                <w:lang w:val="en-GB"/>
              </w:rPr>
            </w:pPr>
            <w:r>
              <w:rPr>
                <w:lang w:val="en-GB"/>
              </w:rPr>
              <w:t xml:space="preserve"> 2 100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2663E8" w14:textId="77777777" w:rsidR="00ED0E85" w:rsidRDefault="00ED0E85" w:rsidP="00ED0E85">
            <w:pPr>
              <w:pStyle w:val="TableDataEntries"/>
              <w:rPr>
                <w:lang w:val="en-GB"/>
              </w:rPr>
            </w:pPr>
            <w:r>
              <w:rPr>
                <w:lang w:val="en-GB"/>
              </w:rPr>
              <w:t xml:space="preserve"> 28 000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D3817D" w14:textId="77777777" w:rsidR="00ED0E85" w:rsidRDefault="00ED0E85" w:rsidP="00ED0E85">
            <w:pPr>
              <w:pStyle w:val="TableDataEntries"/>
              <w:rPr>
                <w:lang w:val="en-GB"/>
              </w:rPr>
            </w:pPr>
            <w:r>
              <w:rPr>
                <w:lang w:val="en-GB"/>
              </w:rPr>
              <w:t xml:space="preserve"> 31 000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1B79D1" w14:textId="77777777" w:rsidR="00ED0E85" w:rsidRDefault="00ED0E85" w:rsidP="00ED0E85">
            <w:pPr>
              <w:pStyle w:val="TableDataEntries"/>
              <w:rPr>
                <w:lang w:val="en-GB"/>
              </w:rPr>
            </w:pPr>
            <w:r>
              <w:rPr>
                <w:lang w:val="en-GB"/>
              </w:rPr>
              <w:t xml:space="preserve"> 14.8</w:t>
            </w:r>
          </w:p>
        </w:tc>
      </w:tr>
      <w:tr w:rsidR="00ED0E85" w14:paraId="47D2C9F1" w14:textId="77777777" w:rsidTr="00ED0E85">
        <w:trPr>
          <w:trHeight w:val="230"/>
        </w:trPr>
        <w:tc>
          <w:tcPr>
            <w:tcW w:w="28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424814" w14:textId="77777777" w:rsidR="00ED0E85" w:rsidRDefault="00ED0E85" w:rsidP="00ED0E85">
            <w:pPr>
              <w:pStyle w:val="TableDataEntries"/>
              <w:jc w:val="left"/>
              <w:rPr>
                <w:lang w:val="en-GB"/>
              </w:rPr>
            </w:pPr>
            <w:r>
              <w:rPr>
                <w:lang w:val="en-GB"/>
              </w:rPr>
              <w:t>Perimeter air-handling control strategy</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D41B54" w14:textId="77777777" w:rsidR="00ED0E85" w:rsidRDefault="00ED0E85" w:rsidP="00ED0E85">
            <w:pPr>
              <w:pStyle w:val="TableDataEntries"/>
              <w:rPr>
                <w:lang w:val="en-GB"/>
              </w:rPr>
            </w:pPr>
            <w:r>
              <w:rPr>
                <w:lang w:val="en-GB"/>
              </w:rPr>
              <w:t xml:space="preserve"> 215 000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294D37" w14:textId="77777777" w:rsidR="00ED0E85" w:rsidRDefault="00ED0E85" w:rsidP="00ED0E85">
            <w:pPr>
              <w:pStyle w:val="TableDataEntries"/>
              <w:rPr>
                <w:lang w:val="en-GB"/>
              </w:rPr>
            </w:pPr>
            <w:r>
              <w:rPr>
                <w:lang w:val="en-GB"/>
              </w:rPr>
              <w:t xml:space="preserve"> 791 000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841FCE" w14:textId="77777777" w:rsidR="00ED0E85" w:rsidRDefault="00ED0E85" w:rsidP="00ED0E85">
            <w:pPr>
              <w:pStyle w:val="TableDataEntries"/>
              <w:rPr>
                <w:lang w:val="en-GB"/>
              </w:rPr>
            </w:pPr>
            <w:r>
              <w:rPr>
                <w:lang w:val="en-GB"/>
              </w:rPr>
              <w:t xml:space="preserve"> 29 000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C50019" w14:textId="77777777" w:rsidR="00ED0E85" w:rsidRDefault="00ED0E85" w:rsidP="00ED0E85">
            <w:pPr>
              <w:pStyle w:val="TableDataEntries"/>
              <w:rPr>
                <w:lang w:val="en-GB"/>
              </w:rPr>
            </w:pPr>
            <w:r>
              <w:rPr>
                <w:lang w:val="en-GB"/>
              </w:rPr>
              <w:t xml:space="preserve"> 335 000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A185E5" w14:textId="77777777" w:rsidR="00ED0E85" w:rsidRDefault="00ED0E85" w:rsidP="00ED0E85">
            <w:pPr>
              <w:pStyle w:val="TableDataEntries"/>
              <w:rPr>
                <w:lang w:val="en-GB"/>
              </w:rPr>
            </w:pPr>
            <w:r>
              <w:rPr>
                <w:lang w:val="en-GB"/>
              </w:rPr>
              <w:t xml:space="preserve"> 465 000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9A4841" w14:textId="77777777" w:rsidR="00ED0E85" w:rsidRDefault="00ED0E85" w:rsidP="00ED0E85">
            <w:pPr>
              <w:pStyle w:val="TableDataEntries"/>
              <w:rPr>
                <w:lang w:val="en-GB"/>
              </w:rPr>
            </w:pPr>
            <w:r>
              <w:rPr>
                <w:lang w:val="en-GB"/>
              </w:rPr>
              <w:t xml:space="preserve"> 16.0</w:t>
            </w:r>
          </w:p>
        </w:tc>
      </w:tr>
      <w:tr w:rsidR="00ED0E85" w14:paraId="21A6FAFB" w14:textId="77777777" w:rsidTr="00ED0E85">
        <w:trPr>
          <w:trHeight w:val="230"/>
        </w:trPr>
        <w:tc>
          <w:tcPr>
            <w:tcW w:w="28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9A04B4" w14:textId="77777777" w:rsidR="00ED0E85" w:rsidRDefault="00ED0E85" w:rsidP="00ED0E85">
            <w:pPr>
              <w:pStyle w:val="TableDataEntries"/>
              <w:jc w:val="left"/>
              <w:rPr>
                <w:lang w:val="en-GB"/>
              </w:rPr>
            </w:pPr>
            <w:r>
              <w:rPr>
                <w:lang w:val="en-GB"/>
              </w:rPr>
              <w:t>Chilled water plant upgrade and control strategy</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B36BA5" w14:textId="77777777" w:rsidR="00ED0E85" w:rsidRDefault="00ED0E85" w:rsidP="00ED0E85">
            <w:pPr>
              <w:pStyle w:val="TableDataEntries"/>
              <w:rPr>
                <w:lang w:val="en-GB"/>
              </w:rPr>
            </w:pPr>
            <w:r>
              <w:rPr>
                <w:lang w:val="en-GB"/>
              </w:rPr>
              <w:t xml:space="preserve"> 720 000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357553" w14:textId="77777777" w:rsidR="00ED0E85" w:rsidRDefault="00ED0E85" w:rsidP="00ED0E85">
            <w:pPr>
              <w:pStyle w:val="TableDataEntries"/>
              <w:rPr>
                <w:lang w:val="en-GB"/>
              </w:rPr>
            </w:pPr>
            <w:r>
              <w:rPr>
                <w:lang w:val="en-GB"/>
              </w:rPr>
              <w:t xml:space="preserve">  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E2EFEF" w14:textId="77777777" w:rsidR="00ED0E85" w:rsidRDefault="00ED0E85" w:rsidP="00ED0E85">
            <w:pPr>
              <w:pStyle w:val="TableDataEntries"/>
              <w:rPr>
                <w:lang w:val="en-GB"/>
              </w:rPr>
            </w:pPr>
            <w:r>
              <w:rPr>
                <w:lang w:val="en-GB"/>
              </w:rPr>
              <w:t xml:space="preserve"> 66 000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1B6430" w14:textId="77777777" w:rsidR="00ED0E85" w:rsidRDefault="00ED0E85" w:rsidP="00ED0E85">
            <w:pPr>
              <w:pStyle w:val="TableDataEntries"/>
              <w:rPr>
                <w:lang w:val="en-GB"/>
              </w:rPr>
            </w:pPr>
            <w:r>
              <w:rPr>
                <w:lang w:val="en-GB"/>
              </w:rPr>
              <w:t xml:space="preserve"> 965 000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DF6067" w14:textId="77777777" w:rsidR="00ED0E85" w:rsidRDefault="00ED0E85" w:rsidP="00ED0E85">
            <w:pPr>
              <w:pStyle w:val="TableDataEntries"/>
              <w:rPr>
                <w:lang w:val="en-GB"/>
              </w:rPr>
            </w:pPr>
            <w:r>
              <w:rPr>
                <w:lang w:val="en-GB"/>
              </w:rPr>
              <w:t>1 100 000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821687" w14:textId="77777777" w:rsidR="00ED0E85" w:rsidRDefault="00ED0E85" w:rsidP="00ED0E85">
            <w:pPr>
              <w:pStyle w:val="TableDataEntries"/>
              <w:rPr>
                <w:lang w:val="en-GB"/>
              </w:rPr>
            </w:pPr>
            <w:r>
              <w:rPr>
                <w:lang w:val="en-GB"/>
              </w:rPr>
              <w:t xml:space="preserve"> 16.7</w:t>
            </w:r>
          </w:p>
        </w:tc>
      </w:tr>
      <w:tr w:rsidR="00ED0E85" w14:paraId="22DBFB0D" w14:textId="77777777" w:rsidTr="00ED0E85">
        <w:trPr>
          <w:trHeight w:val="230"/>
        </w:trPr>
        <w:tc>
          <w:tcPr>
            <w:tcW w:w="28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F74308" w14:textId="77777777" w:rsidR="00ED0E85" w:rsidRDefault="00ED0E85" w:rsidP="00ED0E85">
            <w:pPr>
              <w:pStyle w:val="TableDataEntries"/>
              <w:jc w:val="left"/>
              <w:rPr>
                <w:lang w:val="en-GB"/>
              </w:rPr>
            </w:pPr>
            <w:r>
              <w:rPr>
                <w:lang w:val="en-GB"/>
              </w:rPr>
              <w:t>Plant room lighting upgrade</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D34733" w14:textId="77777777" w:rsidR="00ED0E85" w:rsidRDefault="00ED0E85" w:rsidP="00ED0E85">
            <w:pPr>
              <w:pStyle w:val="TableDataEntries"/>
              <w:rPr>
                <w:lang w:val="en-GB"/>
              </w:rPr>
            </w:pPr>
            <w:r>
              <w:rPr>
                <w:lang w:val="en-GB"/>
              </w:rPr>
              <w:t xml:space="preserve"> 8 500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5F3956" w14:textId="77777777" w:rsidR="00ED0E85" w:rsidRDefault="00ED0E85" w:rsidP="00ED0E85">
            <w:pPr>
              <w:pStyle w:val="TableDataEntries"/>
              <w:rPr>
                <w:lang w:val="en-GB"/>
              </w:rPr>
            </w:pPr>
            <w:r>
              <w:rPr>
                <w:lang w:val="en-GB"/>
              </w:rPr>
              <w:t xml:space="preserve">  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274880" w14:textId="77777777" w:rsidR="00ED0E85" w:rsidRDefault="00ED0E85" w:rsidP="00ED0E85">
            <w:pPr>
              <w:pStyle w:val="TableDataEntries"/>
              <w:rPr>
                <w:lang w:val="en-GB"/>
              </w:rPr>
            </w:pPr>
            <w:r>
              <w:rPr>
                <w:lang w:val="en-GB"/>
              </w:rPr>
              <w:t xml:space="preserve">  700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150914" w14:textId="77777777" w:rsidR="00ED0E85" w:rsidRDefault="00ED0E85" w:rsidP="00ED0E85">
            <w:pPr>
              <w:pStyle w:val="TableDataEntries"/>
              <w:rPr>
                <w:lang w:val="en-GB"/>
              </w:rPr>
            </w:pPr>
            <w:r>
              <w:rPr>
                <w:lang w:val="en-GB"/>
              </w:rPr>
              <w:t xml:space="preserve"> 11 000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0A0F0B" w14:textId="77777777" w:rsidR="00ED0E85" w:rsidRDefault="00ED0E85" w:rsidP="00ED0E85">
            <w:pPr>
              <w:pStyle w:val="TableDataEntries"/>
              <w:rPr>
                <w:lang w:val="en-GB"/>
              </w:rPr>
            </w:pPr>
            <w:r>
              <w:rPr>
                <w:lang w:val="en-GB"/>
              </w:rPr>
              <w:t xml:space="preserve"> 20 000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EFFD7A" w14:textId="77777777" w:rsidR="00ED0E85" w:rsidRDefault="00ED0E85" w:rsidP="00ED0E85">
            <w:pPr>
              <w:pStyle w:val="TableDataEntries"/>
              <w:rPr>
                <w:lang w:val="en-GB"/>
              </w:rPr>
            </w:pPr>
            <w:r>
              <w:rPr>
                <w:lang w:val="en-GB"/>
              </w:rPr>
              <w:t xml:space="preserve"> 28.6</w:t>
            </w:r>
          </w:p>
        </w:tc>
      </w:tr>
      <w:tr w:rsidR="00ED0E85" w14:paraId="76E0E890" w14:textId="77777777" w:rsidTr="00ED0E85">
        <w:trPr>
          <w:trHeight w:val="230"/>
        </w:trPr>
        <w:tc>
          <w:tcPr>
            <w:tcW w:w="28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3AF15E" w14:textId="77777777" w:rsidR="00ED0E85" w:rsidRDefault="00ED0E85" w:rsidP="00ED0E85">
            <w:pPr>
              <w:pStyle w:val="TableDataEntries"/>
              <w:jc w:val="left"/>
              <w:rPr>
                <w:lang w:val="en-GB"/>
              </w:rPr>
            </w:pPr>
            <w:r>
              <w:rPr>
                <w:lang w:val="en-GB"/>
              </w:rPr>
              <w:t>Heating hot water plant upgrade and control strategy</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4AA693" w14:textId="77777777" w:rsidR="00ED0E85" w:rsidRDefault="00ED0E85" w:rsidP="00ED0E85">
            <w:pPr>
              <w:pStyle w:val="TableDataEntries"/>
              <w:rPr>
                <w:lang w:val="en-GB"/>
              </w:rPr>
            </w:pPr>
            <w:r>
              <w:rPr>
                <w:lang w:val="en-GB"/>
              </w:rPr>
              <w:t xml:space="preserve"> 18 000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E51FF5" w14:textId="77777777" w:rsidR="00ED0E85" w:rsidRDefault="00ED0E85" w:rsidP="00ED0E85">
            <w:pPr>
              <w:pStyle w:val="TableDataEntries"/>
              <w:rPr>
                <w:lang w:val="en-GB"/>
              </w:rPr>
            </w:pPr>
            <w:r>
              <w:rPr>
                <w:lang w:val="en-GB"/>
              </w:rPr>
              <w:t xml:space="preserve"> 530 000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07C994" w14:textId="77777777" w:rsidR="00ED0E85" w:rsidRDefault="00ED0E85" w:rsidP="00ED0E85">
            <w:pPr>
              <w:pStyle w:val="TableDataEntries"/>
              <w:rPr>
                <w:lang w:val="en-GB"/>
              </w:rPr>
            </w:pPr>
            <w:r>
              <w:rPr>
                <w:lang w:val="en-GB"/>
              </w:rPr>
              <w:t xml:space="preserve"> 6 600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CD08DC" w14:textId="77777777" w:rsidR="00ED0E85" w:rsidRDefault="00ED0E85" w:rsidP="00ED0E85">
            <w:pPr>
              <w:pStyle w:val="TableDataEntries"/>
              <w:rPr>
                <w:lang w:val="en-GB"/>
              </w:rPr>
            </w:pPr>
            <w:r>
              <w:rPr>
                <w:lang w:val="en-GB"/>
              </w:rPr>
              <w:t xml:space="preserve"> 55 000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D9AE71" w14:textId="77777777" w:rsidR="00ED0E85" w:rsidRDefault="00ED0E85" w:rsidP="00ED0E85">
            <w:pPr>
              <w:pStyle w:val="TableDataEntries"/>
              <w:rPr>
                <w:lang w:val="en-GB"/>
              </w:rPr>
            </w:pPr>
            <w:r>
              <w:rPr>
                <w:lang w:val="en-GB"/>
              </w:rPr>
              <w:t xml:space="preserve"> 308 000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06330A" w14:textId="77777777" w:rsidR="00ED0E85" w:rsidRDefault="00ED0E85" w:rsidP="00ED0E85">
            <w:pPr>
              <w:pStyle w:val="TableDataEntries"/>
              <w:rPr>
                <w:lang w:val="en-GB"/>
              </w:rPr>
            </w:pPr>
            <w:r>
              <w:rPr>
                <w:lang w:val="en-GB"/>
              </w:rPr>
              <w:t xml:space="preserve"> 46.7</w:t>
            </w:r>
          </w:p>
        </w:tc>
      </w:tr>
      <w:tr w:rsidR="00ED0E85" w14:paraId="4EDF14F6" w14:textId="77777777" w:rsidTr="00ED0E85">
        <w:trPr>
          <w:trHeight w:val="230"/>
        </w:trPr>
        <w:tc>
          <w:tcPr>
            <w:tcW w:w="2831" w:type="dxa"/>
            <w:tcBorders>
              <w:top w:val="single" w:sz="8" w:space="0" w:color="FFFFFF" w:themeColor="background1"/>
              <w:bottom w:val="single" w:sz="6" w:space="0" w:color="6F6652"/>
            </w:tcBorders>
            <w:shd w:val="clear" w:color="auto" w:fill="E9E8E5" w:themeFill="background2"/>
            <w:tcMar>
              <w:left w:w="57" w:type="dxa"/>
              <w:right w:w="57" w:type="dxa"/>
            </w:tcMar>
          </w:tcPr>
          <w:p w14:paraId="2D46C5AA" w14:textId="77777777" w:rsidR="00ED0E85" w:rsidRDefault="00ED0E85" w:rsidP="00ED0E85">
            <w:pPr>
              <w:pStyle w:val="TableDataEntries"/>
              <w:jc w:val="left"/>
              <w:rPr>
                <w:lang w:val="en-GB"/>
              </w:rPr>
            </w:pPr>
            <w:r>
              <w:rPr>
                <w:lang w:val="en-GB"/>
              </w:rPr>
              <w:t>Lift motor and drive upgrade</w:t>
            </w:r>
          </w:p>
        </w:tc>
        <w:tc>
          <w:tcPr>
            <w:tcW w:w="851" w:type="dxa"/>
            <w:tcBorders>
              <w:top w:val="single" w:sz="8" w:space="0" w:color="FFFFFF" w:themeColor="background1"/>
              <w:bottom w:val="single" w:sz="6" w:space="0" w:color="6F6652"/>
            </w:tcBorders>
            <w:shd w:val="clear" w:color="auto" w:fill="E9E8E5" w:themeFill="background2"/>
            <w:tcMar>
              <w:left w:w="57" w:type="dxa"/>
              <w:right w:w="57" w:type="dxa"/>
            </w:tcMar>
          </w:tcPr>
          <w:p w14:paraId="0F19CD39" w14:textId="77777777" w:rsidR="00ED0E85" w:rsidRDefault="00ED0E85" w:rsidP="00ED0E85">
            <w:pPr>
              <w:pStyle w:val="TableDataEntries"/>
              <w:rPr>
                <w:lang w:val="en-GB"/>
              </w:rPr>
            </w:pPr>
            <w:r>
              <w:rPr>
                <w:lang w:val="en-GB"/>
              </w:rPr>
              <w:t xml:space="preserve"> 440 000</w:t>
            </w:r>
          </w:p>
        </w:tc>
        <w:tc>
          <w:tcPr>
            <w:tcW w:w="851" w:type="dxa"/>
            <w:tcBorders>
              <w:top w:val="single" w:sz="8" w:space="0" w:color="FFFFFF" w:themeColor="background1"/>
              <w:bottom w:val="single" w:sz="6" w:space="0" w:color="6F6652"/>
            </w:tcBorders>
            <w:shd w:val="clear" w:color="auto" w:fill="E9E8E5" w:themeFill="background2"/>
            <w:tcMar>
              <w:left w:w="57" w:type="dxa"/>
              <w:right w:w="57" w:type="dxa"/>
            </w:tcMar>
          </w:tcPr>
          <w:p w14:paraId="6BE2BB9A" w14:textId="77777777" w:rsidR="00ED0E85" w:rsidRDefault="00ED0E85" w:rsidP="00ED0E85">
            <w:pPr>
              <w:pStyle w:val="TableDataEntries"/>
              <w:rPr>
                <w:lang w:val="en-GB"/>
              </w:rPr>
            </w:pPr>
            <w:r>
              <w:rPr>
                <w:lang w:val="en-GB"/>
              </w:rPr>
              <w:t xml:space="preserve">  0</w:t>
            </w:r>
          </w:p>
        </w:tc>
        <w:tc>
          <w:tcPr>
            <w:tcW w:w="851" w:type="dxa"/>
            <w:tcBorders>
              <w:top w:val="single" w:sz="8" w:space="0" w:color="FFFFFF" w:themeColor="background1"/>
              <w:bottom w:val="single" w:sz="6" w:space="0" w:color="6F6652"/>
            </w:tcBorders>
            <w:shd w:val="clear" w:color="auto" w:fill="E9E8E5" w:themeFill="background2"/>
            <w:tcMar>
              <w:left w:w="57" w:type="dxa"/>
              <w:right w:w="57" w:type="dxa"/>
            </w:tcMar>
          </w:tcPr>
          <w:p w14:paraId="7443F01D" w14:textId="77777777" w:rsidR="00ED0E85" w:rsidRDefault="00ED0E85" w:rsidP="00ED0E85">
            <w:pPr>
              <w:pStyle w:val="TableDataEntries"/>
              <w:rPr>
                <w:lang w:val="en-GB"/>
              </w:rPr>
            </w:pPr>
            <w:r>
              <w:rPr>
                <w:lang w:val="en-GB"/>
              </w:rPr>
              <w:t xml:space="preserve"> 42 000</w:t>
            </w:r>
          </w:p>
        </w:tc>
        <w:tc>
          <w:tcPr>
            <w:tcW w:w="851" w:type="dxa"/>
            <w:tcBorders>
              <w:top w:val="single" w:sz="8" w:space="0" w:color="FFFFFF" w:themeColor="background1"/>
              <w:bottom w:val="single" w:sz="6" w:space="0" w:color="6F6652"/>
            </w:tcBorders>
            <w:shd w:val="clear" w:color="auto" w:fill="E9E8E5" w:themeFill="background2"/>
            <w:tcMar>
              <w:left w:w="57" w:type="dxa"/>
              <w:right w:w="57" w:type="dxa"/>
            </w:tcMar>
          </w:tcPr>
          <w:p w14:paraId="6D5F7B66" w14:textId="77777777" w:rsidR="00ED0E85" w:rsidRDefault="00ED0E85" w:rsidP="00ED0E85">
            <w:pPr>
              <w:pStyle w:val="TableDataEntries"/>
              <w:rPr>
                <w:lang w:val="en-GB"/>
              </w:rPr>
            </w:pPr>
            <w:r>
              <w:rPr>
                <w:lang w:val="en-GB"/>
              </w:rPr>
              <w:t xml:space="preserve"> 86 000</w:t>
            </w:r>
          </w:p>
        </w:tc>
        <w:tc>
          <w:tcPr>
            <w:tcW w:w="851" w:type="dxa"/>
            <w:tcBorders>
              <w:top w:val="single" w:sz="8" w:space="0" w:color="FFFFFF" w:themeColor="background1"/>
              <w:bottom w:val="single" w:sz="6" w:space="0" w:color="6F6652"/>
            </w:tcBorders>
            <w:shd w:val="clear" w:color="auto" w:fill="E9E8E5" w:themeFill="background2"/>
            <w:tcMar>
              <w:left w:w="57" w:type="dxa"/>
              <w:right w:w="57" w:type="dxa"/>
            </w:tcMar>
          </w:tcPr>
          <w:p w14:paraId="030DE36E" w14:textId="77777777" w:rsidR="00ED0E85" w:rsidRDefault="00ED0E85" w:rsidP="00ED0E85">
            <w:pPr>
              <w:pStyle w:val="TableDataEntries"/>
              <w:rPr>
                <w:lang w:val="en-GB"/>
              </w:rPr>
            </w:pPr>
            <w:r>
              <w:rPr>
                <w:lang w:val="en-GB"/>
              </w:rPr>
              <w:t>6 500 000</w:t>
            </w:r>
          </w:p>
        </w:tc>
        <w:tc>
          <w:tcPr>
            <w:tcW w:w="851" w:type="dxa"/>
            <w:tcBorders>
              <w:top w:val="single" w:sz="8" w:space="0" w:color="FFFFFF" w:themeColor="background1"/>
              <w:bottom w:val="single" w:sz="6" w:space="0" w:color="6F6652"/>
            </w:tcBorders>
            <w:shd w:val="clear" w:color="auto" w:fill="E9E8E5" w:themeFill="background2"/>
            <w:tcMar>
              <w:left w:w="57" w:type="dxa"/>
              <w:right w:w="57" w:type="dxa"/>
            </w:tcMar>
          </w:tcPr>
          <w:p w14:paraId="46DAB1AD" w14:textId="77777777" w:rsidR="00ED0E85" w:rsidRDefault="00ED0E85" w:rsidP="00ED0E85">
            <w:pPr>
              <w:pStyle w:val="TableDataEntries"/>
              <w:rPr>
                <w:lang w:val="en-GB"/>
              </w:rPr>
            </w:pPr>
            <w:r>
              <w:rPr>
                <w:lang w:val="en-GB"/>
              </w:rPr>
              <w:t xml:space="preserve"> 155.0</w:t>
            </w:r>
          </w:p>
        </w:tc>
      </w:tr>
    </w:tbl>
    <w:p w14:paraId="5F340D6A" w14:textId="77777777" w:rsidR="00ED0E85" w:rsidRDefault="00ED0E85" w:rsidP="00ED0E85">
      <w:pPr>
        <w:pStyle w:val="Source"/>
      </w:pPr>
      <w:r>
        <w:rPr>
          <w:i/>
        </w:rPr>
        <w:t>Source</w:t>
      </w:r>
      <w:r w:rsidRPr="00E4232C">
        <w:rPr>
          <w:i/>
        </w:rPr>
        <w:t>:</w:t>
      </w:r>
      <w:r>
        <w:t xml:space="preserve"> Energy Action.</w:t>
      </w:r>
    </w:p>
    <w:p w14:paraId="6AF3727F" w14:textId="65EAE0A9" w:rsidR="00ED0E85" w:rsidRDefault="00ED0E85" w:rsidP="00ED0E85">
      <w:pPr>
        <w:pStyle w:val="BodyText"/>
      </w:pPr>
      <w:r>
        <w:t>One major property group also provided aggregated information from more than 500 individual energy efficiency projects across the group’s portfolio. Average implementation costs, annual energy (and water) cost savings and payback periods for different types of projects are shown in table </w:t>
      </w:r>
      <w:r w:rsidR="004550CB">
        <w:rPr>
          <w:noProof/>
        </w:rPr>
        <w:fldChar w:fldCharType="begin"/>
      </w:r>
      <w:r w:rsidR="004550CB">
        <w:rPr>
          <w:noProof/>
        </w:rPr>
        <w:instrText xml:space="preserve"> REF _Caption2362 </w:instrText>
      </w:r>
      <w:r w:rsidR="004550CB">
        <w:rPr>
          <w:noProof/>
        </w:rPr>
        <w:fldChar w:fldCharType="separate"/>
      </w:r>
      <w:r w:rsidR="00AD3561">
        <w:rPr>
          <w:noProof/>
        </w:rPr>
        <w:t>4</w:t>
      </w:r>
      <w:r w:rsidR="00AD3561" w:rsidRPr="00695C93">
        <w:rPr>
          <w:noProof/>
        </w:rPr>
        <w:t>.</w:t>
      </w:r>
      <w:r w:rsidR="00AD3561">
        <w:rPr>
          <w:noProof/>
        </w:rPr>
        <w:t>13</w:t>
      </w:r>
      <w:r w:rsidR="004550CB">
        <w:rPr>
          <w:noProof/>
        </w:rPr>
        <w:fldChar w:fldCharType="end"/>
      </w:r>
      <w:r>
        <w:t>.</w:t>
      </w:r>
    </w:p>
    <w:p w14:paraId="187C6DEC" w14:textId="326A9800"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w:instrText>
      </w:r>
      <w:r w:rsidRPr="00695C93">
        <w:fldChar w:fldCharType="separate"/>
      </w:r>
      <w:r w:rsidR="00AD3561">
        <w:rPr>
          <w:noProof/>
        </w:rPr>
        <w:instrText>4</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4</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13</w:instrText>
      </w:r>
      <w:r w:rsidRPr="00695C93">
        <w:fldChar w:fldCharType="end"/>
      </w:r>
      <w:r w:rsidRPr="00695C93">
        <w:instrText xml:space="preserve">" "" </w:instrText>
      </w:r>
      <w:r w:rsidRPr="00695C93">
        <w:fldChar w:fldCharType="separate"/>
      </w:r>
      <w:bookmarkStart w:id="2261" w:name="_Caption6413"/>
      <w:bookmarkStart w:id="2262" w:name="_Caption2826"/>
      <w:bookmarkStart w:id="2263" w:name="_Caption5410"/>
      <w:bookmarkStart w:id="2264" w:name="_Caption6911"/>
      <w:bookmarkStart w:id="2265" w:name="_Caption5548"/>
      <w:bookmarkStart w:id="2266" w:name="_Caption1258"/>
      <w:bookmarkStart w:id="2267" w:name="_Caption9421"/>
      <w:bookmarkStart w:id="2268" w:name="_Caption7678"/>
      <w:bookmarkStart w:id="2269" w:name="_Caption8512"/>
      <w:bookmarkStart w:id="2270" w:name="_Caption4116"/>
      <w:bookmarkStart w:id="2271" w:name="_Caption4819"/>
      <w:bookmarkStart w:id="2272" w:name="_Caption3274"/>
      <w:bookmarkStart w:id="2273" w:name="_Caption9932"/>
      <w:bookmarkStart w:id="2274" w:name="_Caption5027"/>
      <w:bookmarkStart w:id="2275" w:name="_Caption3023"/>
      <w:bookmarkStart w:id="2276" w:name="_Caption1785"/>
      <w:bookmarkStart w:id="2277" w:name="_Caption8405"/>
      <w:bookmarkStart w:id="2278" w:name="_Caption0929"/>
      <w:bookmarkStart w:id="2279" w:name="_Caption7408"/>
      <w:bookmarkStart w:id="2280" w:name="_Caption7600"/>
      <w:bookmarkStart w:id="2281" w:name="_Caption9778"/>
      <w:bookmarkStart w:id="2282" w:name="_Caption3254"/>
      <w:bookmarkStart w:id="2283" w:name="_Caption8482"/>
      <w:bookmarkStart w:id="2284" w:name="_Caption0696"/>
      <w:bookmarkStart w:id="2285" w:name="_Caption0019"/>
      <w:bookmarkStart w:id="2286" w:name="_Caption2845"/>
      <w:bookmarkStart w:id="2287" w:name="_Caption4725"/>
      <w:bookmarkStart w:id="2288" w:name="_Caption9200"/>
      <w:bookmarkStart w:id="2289" w:name="_Caption2052"/>
      <w:bookmarkStart w:id="2290" w:name="_Caption4622"/>
      <w:bookmarkStart w:id="2291" w:name="_Caption5762"/>
      <w:bookmarkStart w:id="2292" w:name="_Caption2366"/>
      <w:bookmarkStart w:id="2293" w:name="_Caption4008"/>
      <w:bookmarkStart w:id="2294" w:name="_Caption2809"/>
      <w:bookmarkStart w:id="2295" w:name="_Caption1267"/>
      <w:bookmarkStart w:id="2296" w:name="_Caption4395"/>
      <w:bookmarkStart w:id="2297" w:name="_Caption5277"/>
      <w:bookmarkStart w:id="2298" w:name="_Caption1949"/>
      <w:bookmarkStart w:id="2299" w:name="_Caption1308"/>
      <w:bookmarkStart w:id="2300" w:name="_Caption2362"/>
      <w:bookmarkStart w:id="2301" w:name="_Caption6415"/>
      <w:bookmarkStart w:id="2302" w:name="_Caption3242"/>
      <w:bookmarkStart w:id="2303" w:name="_Caption4365"/>
      <w:bookmarkStart w:id="2304" w:name="_Caption0545"/>
      <w:bookmarkStart w:id="2305" w:name="_Caption8357"/>
      <w:bookmarkStart w:id="2306" w:name="_Caption8891"/>
      <w:bookmarkStart w:id="2307" w:name="_Caption8809"/>
      <w:bookmarkStart w:id="2308" w:name="_Caption0100"/>
      <w:bookmarkStart w:id="2309" w:name="_Caption0678"/>
      <w:bookmarkStart w:id="2310" w:name="_Caption9812"/>
      <w:bookmarkStart w:id="2311" w:name="_Caption8210"/>
      <w:bookmarkStart w:id="2312" w:name="_Caption9839"/>
      <w:bookmarkStart w:id="2313" w:name="_Caption9013"/>
      <w:bookmarkStart w:id="2314" w:name="_Caption6452"/>
      <w:bookmarkStart w:id="2315" w:name="_Caption1005"/>
      <w:bookmarkStart w:id="2316" w:name="_Caption1135"/>
      <w:bookmarkStart w:id="2317" w:name="_Caption3855"/>
      <w:bookmarkStart w:id="2318" w:name="_Caption5304"/>
      <w:bookmarkStart w:id="2319" w:name="_Caption4330"/>
      <w:bookmarkStart w:id="2320" w:name="_Caption1609"/>
      <w:bookmarkStart w:id="2321" w:name="_Caption3794"/>
      <w:bookmarkStart w:id="2322" w:name="_Caption8330"/>
      <w:bookmarkStart w:id="2323" w:name="_Caption5402"/>
      <w:bookmarkStart w:id="2324" w:name="_Caption2595"/>
      <w:bookmarkStart w:id="2325" w:name="_Caption9860"/>
      <w:bookmarkStart w:id="2326" w:name="_Caption4372"/>
      <w:bookmarkStart w:id="2327" w:name="_Caption6918"/>
      <w:bookmarkStart w:id="2328" w:name="_Caption4770"/>
      <w:bookmarkStart w:id="2329" w:name="_Caption8305"/>
      <w:bookmarkStart w:id="2330" w:name="_Caption8465"/>
      <w:bookmarkStart w:id="2331" w:name="_Caption8552"/>
      <w:bookmarkStart w:id="2332" w:name="_Caption3131"/>
      <w:bookmarkStart w:id="2333" w:name="_Caption3128"/>
      <w:bookmarkStart w:id="2334" w:name="_Caption9139"/>
      <w:bookmarkStart w:id="2335" w:name="_Caption1278"/>
      <w:bookmarkStart w:id="2336" w:name="_Caption5390"/>
      <w:bookmarkStart w:id="2337" w:name="_Caption8720"/>
      <w:bookmarkStart w:id="2338" w:name="_Caption1140"/>
      <w:bookmarkStart w:id="2339" w:name="_Toc19275582"/>
      <w:bookmarkStart w:id="2340" w:name="_Toc19276192"/>
      <w:bookmarkStart w:id="2341" w:name="_Toc19280191"/>
      <w:r w:rsidR="00C353B5">
        <w:rPr>
          <w:noProof/>
        </w:rPr>
        <w:t>4</w:t>
      </w:r>
      <w:r w:rsidR="00C353B5" w:rsidRPr="00695C93">
        <w:rPr>
          <w:noProof/>
        </w:rPr>
        <w:t>.</w:t>
      </w:r>
      <w:r w:rsidR="00C353B5">
        <w:rPr>
          <w:noProof/>
        </w:rPr>
        <w:t>13</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r w:rsidRPr="00695C93">
        <w:fldChar w:fldCharType="end"/>
      </w:r>
      <w:r w:rsidRPr="00695C93">
        <w:tab/>
      </w:r>
      <w:r>
        <w:t>Average costs and benefits of various energy efficiency strategies</w:t>
      </w:r>
      <w:bookmarkEnd w:id="2339"/>
      <w:bookmarkEnd w:id="2340"/>
      <w:bookmarkEnd w:id="2341"/>
    </w:p>
    <w:tbl>
      <w:tblPr>
        <w:tblW w:w="0" w:type="auto"/>
        <w:tblLayout w:type="fixed"/>
        <w:tblLook w:val="0000" w:firstRow="0" w:lastRow="0" w:firstColumn="0" w:lastColumn="0" w:noHBand="0" w:noVBand="0"/>
      </w:tblPr>
      <w:tblGrid>
        <w:gridCol w:w="2688"/>
        <w:gridCol w:w="1750"/>
        <w:gridCol w:w="1749"/>
        <w:gridCol w:w="1749"/>
      </w:tblGrid>
      <w:tr w:rsidR="00ED0E85" w:rsidRPr="00E95E83" w14:paraId="67A71BD9" w14:textId="77777777" w:rsidTr="00ED0E85">
        <w:trPr>
          <w:trHeight w:val="229"/>
          <w:tblHeader/>
        </w:trPr>
        <w:tc>
          <w:tcPr>
            <w:tcW w:w="2688" w:type="dxa"/>
            <w:shd w:val="clear" w:color="auto" w:fill="6F6652"/>
            <w:tcMar>
              <w:left w:w="57" w:type="dxa"/>
              <w:right w:w="57" w:type="dxa"/>
            </w:tcMar>
          </w:tcPr>
          <w:p w14:paraId="7891ACE8" w14:textId="77777777" w:rsidR="00ED0E85" w:rsidRPr="00E95E83" w:rsidRDefault="00ED0E85" w:rsidP="00ED0E85">
            <w:pPr>
              <w:pStyle w:val="TableDataColumnHeading"/>
              <w:jc w:val="left"/>
              <w:rPr>
                <w:lang w:val="en-GB"/>
              </w:rPr>
            </w:pPr>
          </w:p>
        </w:tc>
        <w:tc>
          <w:tcPr>
            <w:tcW w:w="1750" w:type="dxa"/>
            <w:shd w:val="clear" w:color="auto" w:fill="6F6652"/>
            <w:tcMar>
              <w:left w:w="57" w:type="dxa"/>
              <w:right w:w="57" w:type="dxa"/>
            </w:tcMar>
          </w:tcPr>
          <w:p w14:paraId="07A326A3" w14:textId="77777777" w:rsidR="00ED0E85" w:rsidRPr="00E95E83" w:rsidRDefault="00ED0E85" w:rsidP="00ED0E85">
            <w:pPr>
              <w:pStyle w:val="TableDataColumnHeading"/>
              <w:rPr>
                <w:bCs/>
                <w:lang w:val="en-GB"/>
              </w:rPr>
            </w:pPr>
            <w:r w:rsidRPr="00E95E83">
              <w:rPr>
                <w:bCs/>
                <w:lang w:val="en-GB"/>
              </w:rPr>
              <w:t>Average implementation cost</w:t>
            </w:r>
          </w:p>
        </w:tc>
        <w:tc>
          <w:tcPr>
            <w:tcW w:w="1749" w:type="dxa"/>
            <w:shd w:val="clear" w:color="auto" w:fill="6F6652"/>
            <w:tcMar>
              <w:left w:w="57" w:type="dxa"/>
              <w:right w:w="57" w:type="dxa"/>
            </w:tcMar>
          </w:tcPr>
          <w:p w14:paraId="190DF37D" w14:textId="77777777" w:rsidR="00ED0E85" w:rsidRPr="00E95E83" w:rsidRDefault="00ED0E85" w:rsidP="00ED0E85">
            <w:pPr>
              <w:pStyle w:val="TableDataColumnHeading"/>
              <w:rPr>
                <w:bCs/>
                <w:lang w:val="en-GB"/>
              </w:rPr>
            </w:pPr>
            <w:r w:rsidRPr="00E95E83">
              <w:rPr>
                <w:bCs/>
                <w:lang w:val="en-GB"/>
              </w:rPr>
              <w:t>Average annual energy cost savings</w:t>
            </w:r>
          </w:p>
        </w:tc>
        <w:tc>
          <w:tcPr>
            <w:tcW w:w="1749" w:type="dxa"/>
            <w:shd w:val="clear" w:color="auto" w:fill="6F6652"/>
            <w:tcMar>
              <w:left w:w="57" w:type="dxa"/>
              <w:right w:w="57" w:type="dxa"/>
            </w:tcMar>
          </w:tcPr>
          <w:p w14:paraId="4742C5B2" w14:textId="77777777" w:rsidR="00ED0E85" w:rsidRPr="00E95E83" w:rsidRDefault="00ED0E85" w:rsidP="00ED0E85">
            <w:pPr>
              <w:pStyle w:val="TableDataColumnHeading"/>
              <w:rPr>
                <w:bCs/>
                <w:lang w:val="en-GB"/>
              </w:rPr>
            </w:pPr>
            <w:r w:rsidRPr="00E95E83">
              <w:rPr>
                <w:bCs/>
                <w:lang w:val="en-GB"/>
              </w:rPr>
              <w:t>Payback period</w:t>
            </w:r>
          </w:p>
        </w:tc>
      </w:tr>
      <w:tr w:rsidR="00ED0E85" w14:paraId="2A289C01" w14:textId="77777777" w:rsidTr="00ED0E85">
        <w:trPr>
          <w:trHeight w:val="230"/>
          <w:tblHeader/>
        </w:trPr>
        <w:tc>
          <w:tcPr>
            <w:tcW w:w="2688" w:type="dxa"/>
            <w:tcBorders>
              <w:bottom w:val="single" w:sz="8" w:space="0" w:color="FFFFFF" w:themeColor="background1"/>
            </w:tcBorders>
            <w:shd w:val="clear" w:color="auto" w:fill="auto"/>
            <w:tcMar>
              <w:left w:w="57" w:type="dxa"/>
              <w:right w:w="57" w:type="dxa"/>
            </w:tcMar>
          </w:tcPr>
          <w:p w14:paraId="10E43A0A" w14:textId="77777777" w:rsidR="00ED0E85" w:rsidRDefault="00ED0E85" w:rsidP="00ED0E85">
            <w:pPr>
              <w:pStyle w:val="TableUnit"/>
              <w:jc w:val="left"/>
              <w:rPr>
                <w:lang w:val="en-GB"/>
              </w:rPr>
            </w:pPr>
          </w:p>
        </w:tc>
        <w:tc>
          <w:tcPr>
            <w:tcW w:w="1750" w:type="dxa"/>
            <w:tcBorders>
              <w:bottom w:val="single" w:sz="8" w:space="0" w:color="FFFFFF" w:themeColor="background1"/>
            </w:tcBorders>
            <w:shd w:val="clear" w:color="auto" w:fill="auto"/>
            <w:tcMar>
              <w:left w:w="57" w:type="dxa"/>
              <w:right w:w="57" w:type="dxa"/>
            </w:tcMar>
          </w:tcPr>
          <w:p w14:paraId="1E933BD2" w14:textId="77777777" w:rsidR="00ED0E85" w:rsidRDefault="00ED0E85" w:rsidP="00ED0E85">
            <w:pPr>
              <w:pStyle w:val="TableUnit"/>
              <w:rPr>
                <w:lang w:val="en-GB"/>
              </w:rPr>
            </w:pPr>
            <w:r>
              <w:rPr>
                <w:lang w:val="en-GB"/>
              </w:rPr>
              <w:t>$</w:t>
            </w:r>
          </w:p>
        </w:tc>
        <w:tc>
          <w:tcPr>
            <w:tcW w:w="1749" w:type="dxa"/>
            <w:tcBorders>
              <w:bottom w:val="single" w:sz="8" w:space="0" w:color="FFFFFF" w:themeColor="background1"/>
            </w:tcBorders>
            <w:shd w:val="clear" w:color="auto" w:fill="auto"/>
            <w:tcMar>
              <w:left w:w="57" w:type="dxa"/>
              <w:right w:w="57" w:type="dxa"/>
            </w:tcMar>
          </w:tcPr>
          <w:p w14:paraId="116AA4E2" w14:textId="77777777" w:rsidR="00ED0E85" w:rsidRDefault="00ED0E85" w:rsidP="00ED0E85">
            <w:pPr>
              <w:pStyle w:val="TableUnit"/>
              <w:rPr>
                <w:lang w:val="en-GB"/>
              </w:rPr>
            </w:pPr>
            <w:r>
              <w:rPr>
                <w:lang w:val="en-GB"/>
              </w:rPr>
              <w:t>$</w:t>
            </w:r>
          </w:p>
        </w:tc>
        <w:tc>
          <w:tcPr>
            <w:tcW w:w="1749" w:type="dxa"/>
            <w:tcBorders>
              <w:bottom w:val="single" w:sz="8" w:space="0" w:color="FFFFFF" w:themeColor="background1"/>
            </w:tcBorders>
            <w:shd w:val="clear" w:color="auto" w:fill="auto"/>
            <w:tcMar>
              <w:left w:w="57" w:type="dxa"/>
              <w:right w:w="57" w:type="dxa"/>
            </w:tcMar>
          </w:tcPr>
          <w:p w14:paraId="4344316B" w14:textId="77777777" w:rsidR="00ED0E85" w:rsidRDefault="00ED0E85" w:rsidP="00ED0E85">
            <w:pPr>
              <w:pStyle w:val="TableUnit"/>
              <w:rPr>
                <w:lang w:val="en-GB"/>
              </w:rPr>
            </w:pPr>
            <w:r>
              <w:rPr>
                <w:lang w:val="en-GB"/>
              </w:rPr>
              <w:t>Years</w:t>
            </w:r>
          </w:p>
        </w:tc>
      </w:tr>
      <w:tr w:rsidR="00ED0E85" w14:paraId="65425FE2" w14:textId="77777777" w:rsidTr="00ED0E85">
        <w:trPr>
          <w:trHeight w:val="274"/>
        </w:trPr>
        <w:tc>
          <w:tcPr>
            <w:tcW w:w="26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F5ACCD" w14:textId="77777777" w:rsidR="00ED0E85" w:rsidRDefault="00ED0E85" w:rsidP="00ED0E85">
            <w:pPr>
              <w:pStyle w:val="TableDataEntries"/>
              <w:jc w:val="left"/>
              <w:rPr>
                <w:lang w:val="en-GB"/>
              </w:rPr>
            </w:pPr>
            <w:r>
              <w:rPr>
                <w:lang w:val="en-GB"/>
              </w:rPr>
              <w:t>Metering and Analytics</w:t>
            </w:r>
          </w:p>
        </w:tc>
        <w:tc>
          <w:tcPr>
            <w:tcW w:w="17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F31787" w14:textId="77777777" w:rsidR="00ED0E85" w:rsidRPr="00402B14" w:rsidRDefault="00ED0E85" w:rsidP="00ED0E85">
            <w:pPr>
              <w:pStyle w:val="TableDataEntries"/>
            </w:pPr>
            <w:r w:rsidRPr="00402B14">
              <w:t>32 702</w:t>
            </w:r>
          </w:p>
        </w:tc>
        <w:tc>
          <w:tcPr>
            <w:tcW w:w="17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DA74FA" w14:textId="77777777" w:rsidR="00ED0E85" w:rsidRPr="00402B14" w:rsidRDefault="00ED0E85" w:rsidP="00ED0E85">
            <w:pPr>
              <w:pStyle w:val="TableDataEntries"/>
            </w:pPr>
            <w:r w:rsidRPr="00402B14">
              <w:t>9 887</w:t>
            </w:r>
          </w:p>
        </w:tc>
        <w:tc>
          <w:tcPr>
            <w:tcW w:w="17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C679FA" w14:textId="77777777" w:rsidR="00ED0E85" w:rsidRPr="00402B14" w:rsidRDefault="00ED0E85" w:rsidP="00ED0E85">
            <w:pPr>
              <w:pStyle w:val="TableDataEntries"/>
            </w:pPr>
            <w:r w:rsidRPr="00402B14">
              <w:t xml:space="preserve"> 3.3</w:t>
            </w:r>
          </w:p>
        </w:tc>
      </w:tr>
      <w:tr w:rsidR="00ED0E85" w14:paraId="0B2CDF17" w14:textId="77777777" w:rsidTr="00ED0E85">
        <w:trPr>
          <w:trHeight w:val="274"/>
        </w:trPr>
        <w:tc>
          <w:tcPr>
            <w:tcW w:w="26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6548E1" w14:textId="77777777" w:rsidR="00ED0E85" w:rsidRDefault="00ED0E85" w:rsidP="00ED0E85">
            <w:pPr>
              <w:pStyle w:val="TableDataEntries"/>
              <w:jc w:val="left"/>
              <w:rPr>
                <w:lang w:val="en-GB"/>
              </w:rPr>
            </w:pPr>
            <w:r>
              <w:rPr>
                <w:lang w:val="en-GB"/>
              </w:rPr>
              <w:t>Commissioning</w:t>
            </w:r>
          </w:p>
        </w:tc>
        <w:tc>
          <w:tcPr>
            <w:tcW w:w="17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A9A92B" w14:textId="77777777" w:rsidR="00ED0E85" w:rsidRPr="00402B14" w:rsidRDefault="00ED0E85" w:rsidP="00ED0E85">
            <w:pPr>
              <w:pStyle w:val="TableDataEntries"/>
            </w:pPr>
            <w:r w:rsidRPr="00402B14">
              <w:t>52 979</w:t>
            </w:r>
          </w:p>
        </w:tc>
        <w:tc>
          <w:tcPr>
            <w:tcW w:w="17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CBB0C2" w14:textId="77777777" w:rsidR="00ED0E85" w:rsidRPr="00402B14" w:rsidRDefault="00ED0E85" w:rsidP="00ED0E85">
            <w:pPr>
              <w:pStyle w:val="TableDataEntries"/>
            </w:pPr>
            <w:r w:rsidRPr="00402B14">
              <w:t>15 034</w:t>
            </w:r>
          </w:p>
        </w:tc>
        <w:tc>
          <w:tcPr>
            <w:tcW w:w="17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48F005" w14:textId="77777777" w:rsidR="00ED0E85" w:rsidRPr="00402B14" w:rsidRDefault="00ED0E85" w:rsidP="00ED0E85">
            <w:pPr>
              <w:pStyle w:val="TableDataEntries"/>
            </w:pPr>
            <w:r w:rsidRPr="00402B14">
              <w:t xml:space="preserve"> 3.5</w:t>
            </w:r>
          </w:p>
        </w:tc>
      </w:tr>
      <w:tr w:rsidR="00ED0E85" w14:paraId="3458C4C7" w14:textId="77777777" w:rsidTr="00ED0E85">
        <w:trPr>
          <w:trHeight w:val="274"/>
        </w:trPr>
        <w:tc>
          <w:tcPr>
            <w:tcW w:w="26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771EB7" w14:textId="77777777" w:rsidR="00ED0E85" w:rsidRDefault="00ED0E85" w:rsidP="00ED0E85">
            <w:pPr>
              <w:pStyle w:val="TableDataEntries"/>
              <w:jc w:val="left"/>
              <w:rPr>
                <w:lang w:val="en-GB"/>
              </w:rPr>
            </w:pPr>
            <w:r>
              <w:rPr>
                <w:lang w:val="en-GB"/>
              </w:rPr>
              <w:t>Car Park Ventilation</w:t>
            </w:r>
          </w:p>
        </w:tc>
        <w:tc>
          <w:tcPr>
            <w:tcW w:w="17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E23683" w14:textId="77777777" w:rsidR="00ED0E85" w:rsidRPr="00402B14" w:rsidRDefault="00ED0E85" w:rsidP="00ED0E85">
            <w:pPr>
              <w:pStyle w:val="TableDataEntries"/>
            </w:pPr>
            <w:r w:rsidRPr="00402B14">
              <w:t>58 200</w:t>
            </w:r>
          </w:p>
        </w:tc>
        <w:tc>
          <w:tcPr>
            <w:tcW w:w="17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5205DF" w14:textId="77777777" w:rsidR="00ED0E85" w:rsidRPr="00402B14" w:rsidRDefault="00ED0E85" w:rsidP="00ED0E85">
            <w:pPr>
              <w:pStyle w:val="TableDataEntries"/>
            </w:pPr>
            <w:r w:rsidRPr="00402B14">
              <w:t>10 858</w:t>
            </w:r>
          </w:p>
        </w:tc>
        <w:tc>
          <w:tcPr>
            <w:tcW w:w="17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B82462" w14:textId="77777777" w:rsidR="00ED0E85" w:rsidRPr="00402B14" w:rsidRDefault="00ED0E85" w:rsidP="00ED0E85">
            <w:pPr>
              <w:pStyle w:val="TableDataEntries"/>
            </w:pPr>
            <w:r w:rsidRPr="00402B14">
              <w:t xml:space="preserve"> 5.4</w:t>
            </w:r>
          </w:p>
        </w:tc>
      </w:tr>
      <w:tr w:rsidR="00ED0E85" w14:paraId="1489E881" w14:textId="77777777" w:rsidTr="00ED0E85">
        <w:trPr>
          <w:trHeight w:val="274"/>
        </w:trPr>
        <w:tc>
          <w:tcPr>
            <w:tcW w:w="26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81E5D3" w14:textId="77777777" w:rsidR="00ED0E85" w:rsidRDefault="00ED0E85" w:rsidP="00ED0E85">
            <w:pPr>
              <w:pStyle w:val="TableDataEntries"/>
              <w:jc w:val="left"/>
              <w:rPr>
                <w:lang w:val="en-GB"/>
              </w:rPr>
            </w:pPr>
            <w:r>
              <w:rPr>
                <w:lang w:val="en-GB"/>
              </w:rPr>
              <w:t>Lighting</w:t>
            </w:r>
          </w:p>
        </w:tc>
        <w:tc>
          <w:tcPr>
            <w:tcW w:w="17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5AC032" w14:textId="77777777" w:rsidR="00ED0E85" w:rsidRPr="00402B14" w:rsidRDefault="00ED0E85" w:rsidP="00ED0E85">
            <w:pPr>
              <w:pStyle w:val="TableDataEntries"/>
            </w:pPr>
            <w:r w:rsidRPr="00402B14">
              <w:t>59 729</w:t>
            </w:r>
          </w:p>
        </w:tc>
        <w:tc>
          <w:tcPr>
            <w:tcW w:w="17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8C1142" w14:textId="77777777" w:rsidR="00ED0E85" w:rsidRPr="00402B14" w:rsidRDefault="00ED0E85" w:rsidP="00ED0E85">
            <w:pPr>
              <w:pStyle w:val="TableDataEntries"/>
            </w:pPr>
            <w:r w:rsidRPr="00402B14">
              <w:t>8 373</w:t>
            </w:r>
          </w:p>
        </w:tc>
        <w:tc>
          <w:tcPr>
            <w:tcW w:w="17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7EFBAD" w14:textId="77777777" w:rsidR="00ED0E85" w:rsidRPr="00402B14" w:rsidRDefault="00ED0E85" w:rsidP="00ED0E85">
            <w:pPr>
              <w:pStyle w:val="TableDataEntries"/>
            </w:pPr>
            <w:r w:rsidRPr="00402B14">
              <w:t xml:space="preserve"> 7.1</w:t>
            </w:r>
          </w:p>
        </w:tc>
      </w:tr>
      <w:tr w:rsidR="00ED0E85" w14:paraId="18D3A96A" w14:textId="77777777" w:rsidTr="00ED0E85">
        <w:trPr>
          <w:trHeight w:val="274"/>
        </w:trPr>
        <w:tc>
          <w:tcPr>
            <w:tcW w:w="26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A94960" w14:textId="77777777" w:rsidR="00ED0E85" w:rsidRDefault="00ED0E85" w:rsidP="00ED0E85">
            <w:pPr>
              <w:pStyle w:val="TableDataEntries"/>
              <w:jc w:val="left"/>
              <w:rPr>
                <w:lang w:val="en-GB"/>
              </w:rPr>
            </w:pPr>
            <w:r>
              <w:rPr>
                <w:lang w:val="en-GB"/>
              </w:rPr>
              <w:t>Hot Water</w:t>
            </w:r>
          </w:p>
        </w:tc>
        <w:tc>
          <w:tcPr>
            <w:tcW w:w="17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70974E" w14:textId="77777777" w:rsidR="00ED0E85" w:rsidRPr="00402B14" w:rsidRDefault="00ED0E85" w:rsidP="00ED0E85">
            <w:pPr>
              <w:pStyle w:val="TableDataEntries"/>
            </w:pPr>
            <w:r w:rsidRPr="00402B14">
              <w:t>76 271</w:t>
            </w:r>
          </w:p>
        </w:tc>
        <w:tc>
          <w:tcPr>
            <w:tcW w:w="17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69645B" w14:textId="77777777" w:rsidR="00ED0E85" w:rsidRPr="00402B14" w:rsidRDefault="00ED0E85" w:rsidP="00ED0E85">
            <w:pPr>
              <w:pStyle w:val="TableDataEntries"/>
            </w:pPr>
            <w:r w:rsidRPr="00402B14">
              <w:t>10 022</w:t>
            </w:r>
          </w:p>
        </w:tc>
        <w:tc>
          <w:tcPr>
            <w:tcW w:w="17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3BA271" w14:textId="77777777" w:rsidR="00ED0E85" w:rsidRPr="00402B14" w:rsidRDefault="00ED0E85" w:rsidP="00ED0E85">
            <w:pPr>
              <w:pStyle w:val="TableDataEntries"/>
            </w:pPr>
            <w:r w:rsidRPr="00402B14">
              <w:t xml:space="preserve"> 7.6</w:t>
            </w:r>
          </w:p>
        </w:tc>
      </w:tr>
      <w:tr w:rsidR="00ED0E85" w14:paraId="734375F0" w14:textId="77777777" w:rsidTr="00ED0E85">
        <w:trPr>
          <w:trHeight w:val="274"/>
        </w:trPr>
        <w:tc>
          <w:tcPr>
            <w:tcW w:w="26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16F9A3" w14:textId="77777777" w:rsidR="00ED0E85" w:rsidRDefault="00ED0E85" w:rsidP="00ED0E85">
            <w:pPr>
              <w:pStyle w:val="TableDataEntries"/>
              <w:jc w:val="left"/>
              <w:rPr>
                <w:lang w:val="en-GB"/>
              </w:rPr>
            </w:pPr>
            <w:r>
              <w:rPr>
                <w:lang w:val="en-GB"/>
              </w:rPr>
              <w:t>General Power</w:t>
            </w:r>
          </w:p>
        </w:tc>
        <w:tc>
          <w:tcPr>
            <w:tcW w:w="17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73A98D" w14:textId="77777777" w:rsidR="00ED0E85" w:rsidRPr="00402B14" w:rsidRDefault="00ED0E85" w:rsidP="00ED0E85">
            <w:pPr>
              <w:pStyle w:val="TableDataEntries"/>
            </w:pPr>
            <w:r w:rsidRPr="00402B14">
              <w:t>9 500</w:t>
            </w:r>
          </w:p>
        </w:tc>
        <w:tc>
          <w:tcPr>
            <w:tcW w:w="17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3C36B3" w14:textId="77777777" w:rsidR="00ED0E85" w:rsidRPr="00402B14" w:rsidRDefault="00ED0E85" w:rsidP="00ED0E85">
            <w:pPr>
              <w:pStyle w:val="TableDataEntries"/>
            </w:pPr>
            <w:r w:rsidRPr="00402B14">
              <w:t>1 130</w:t>
            </w:r>
          </w:p>
        </w:tc>
        <w:tc>
          <w:tcPr>
            <w:tcW w:w="17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0B5EDF" w14:textId="77777777" w:rsidR="00ED0E85" w:rsidRPr="00402B14" w:rsidRDefault="00ED0E85" w:rsidP="00ED0E85">
            <w:pPr>
              <w:pStyle w:val="TableDataEntries"/>
            </w:pPr>
            <w:r w:rsidRPr="00402B14">
              <w:t xml:space="preserve"> 8.4</w:t>
            </w:r>
          </w:p>
        </w:tc>
      </w:tr>
      <w:tr w:rsidR="00ED0E85" w14:paraId="62BC3870" w14:textId="77777777" w:rsidTr="00ED0E85">
        <w:trPr>
          <w:trHeight w:val="274"/>
        </w:trPr>
        <w:tc>
          <w:tcPr>
            <w:tcW w:w="26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106BCC" w14:textId="77777777" w:rsidR="00ED0E85" w:rsidRDefault="00ED0E85" w:rsidP="00ED0E85">
            <w:pPr>
              <w:pStyle w:val="TableDataEntries"/>
              <w:jc w:val="left"/>
              <w:rPr>
                <w:lang w:val="en-GB"/>
              </w:rPr>
            </w:pPr>
            <w:r>
              <w:rPr>
                <w:lang w:val="en-GB"/>
              </w:rPr>
              <w:t>Controls</w:t>
            </w:r>
          </w:p>
        </w:tc>
        <w:tc>
          <w:tcPr>
            <w:tcW w:w="17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047BCD" w14:textId="77777777" w:rsidR="00ED0E85" w:rsidRPr="00402B14" w:rsidRDefault="00ED0E85" w:rsidP="00ED0E85">
            <w:pPr>
              <w:pStyle w:val="TableDataEntries"/>
            </w:pPr>
            <w:r w:rsidRPr="00402B14">
              <w:t>486 969</w:t>
            </w:r>
          </w:p>
        </w:tc>
        <w:tc>
          <w:tcPr>
            <w:tcW w:w="17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0E49B4" w14:textId="77777777" w:rsidR="00ED0E85" w:rsidRPr="00402B14" w:rsidRDefault="00ED0E85" w:rsidP="00ED0E85">
            <w:pPr>
              <w:pStyle w:val="TableDataEntries"/>
            </w:pPr>
            <w:r w:rsidRPr="00402B14">
              <w:t>31 238</w:t>
            </w:r>
          </w:p>
        </w:tc>
        <w:tc>
          <w:tcPr>
            <w:tcW w:w="17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2E5D40" w14:textId="77777777" w:rsidR="00ED0E85" w:rsidRPr="00402B14" w:rsidRDefault="00ED0E85" w:rsidP="00ED0E85">
            <w:pPr>
              <w:pStyle w:val="TableDataEntries"/>
            </w:pPr>
            <w:r w:rsidRPr="00402B14">
              <w:t xml:space="preserve"> 15.6</w:t>
            </w:r>
          </w:p>
        </w:tc>
      </w:tr>
      <w:tr w:rsidR="00ED0E85" w14:paraId="1A1EE06F" w14:textId="77777777" w:rsidTr="00ED0E85">
        <w:trPr>
          <w:trHeight w:val="274"/>
        </w:trPr>
        <w:tc>
          <w:tcPr>
            <w:tcW w:w="26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CE18DF" w14:textId="77777777" w:rsidR="00ED0E85" w:rsidRDefault="00ED0E85" w:rsidP="00ED0E85">
            <w:pPr>
              <w:pStyle w:val="TableDataEntries"/>
              <w:jc w:val="left"/>
              <w:rPr>
                <w:lang w:val="en-GB"/>
              </w:rPr>
            </w:pPr>
            <w:r>
              <w:rPr>
                <w:lang w:val="en-GB"/>
              </w:rPr>
              <w:t>HVAC</w:t>
            </w:r>
          </w:p>
        </w:tc>
        <w:tc>
          <w:tcPr>
            <w:tcW w:w="17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9D0A57" w14:textId="77777777" w:rsidR="00ED0E85" w:rsidRPr="00402B14" w:rsidRDefault="00ED0E85" w:rsidP="00ED0E85">
            <w:pPr>
              <w:pStyle w:val="TableDataEntries"/>
            </w:pPr>
            <w:r w:rsidRPr="00402B14">
              <w:t>326 237</w:t>
            </w:r>
          </w:p>
        </w:tc>
        <w:tc>
          <w:tcPr>
            <w:tcW w:w="17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A27196" w14:textId="77777777" w:rsidR="00ED0E85" w:rsidRPr="00402B14" w:rsidRDefault="00ED0E85" w:rsidP="00ED0E85">
            <w:pPr>
              <w:pStyle w:val="TableDataEntries"/>
            </w:pPr>
            <w:r w:rsidRPr="00402B14">
              <w:t>18 605</w:t>
            </w:r>
          </w:p>
        </w:tc>
        <w:tc>
          <w:tcPr>
            <w:tcW w:w="17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EC7A5B" w14:textId="77777777" w:rsidR="00ED0E85" w:rsidRPr="00402B14" w:rsidRDefault="00ED0E85" w:rsidP="00ED0E85">
            <w:pPr>
              <w:pStyle w:val="TableDataEntries"/>
            </w:pPr>
            <w:r w:rsidRPr="00402B14">
              <w:t xml:space="preserve"> 17.5</w:t>
            </w:r>
          </w:p>
        </w:tc>
      </w:tr>
      <w:tr w:rsidR="00ED0E85" w14:paraId="5F9F900A" w14:textId="77777777" w:rsidTr="00ED0E85">
        <w:trPr>
          <w:trHeight w:val="274"/>
        </w:trPr>
        <w:tc>
          <w:tcPr>
            <w:tcW w:w="26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94C0F7" w14:textId="77777777" w:rsidR="00ED0E85" w:rsidRDefault="00ED0E85" w:rsidP="00ED0E85">
            <w:pPr>
              <w:pStyle w:val="TableDataEntries"/>
              <w:jc w:val="left"/>
              <w:rPr>
                <w:lang w:val="en-GB"/>
              </w:rPr>
            </w:pPr>
            <w:r>
              <w:rPr>
                <w:lang w:val="en-GB"/>
              </w:rPr>
              <w:t>Façade</w:t>
            </w:r>
          </w:p>
        </w:tc>
        <w:tc>
          <w:tcPr>
            <w:tcW w:w="17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BB97E0" w14:textId="77777777" w:rsidR="00ED0E85" w:rsidRPr="00402B14" w:rsidRDefault="00ED0E85" w:rsidP="00ED0E85">
            <w:pPr>
              <w:pStyle w:val="TableDataEntries"/>
            </w:pPr>
            <w:r w:rsidRPr="00402B14">
              <w:t>302 136</w:t>
            </w:r>
          </w:p>
        </w:tc>
        <w:tc>
          <w:tcPr>
            <w:tcW w:w="17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BE458A" w14:textId="77777777" w:rsidR="00ED0E85" w:rsidRPr="00402B14" w:rsidRDefault="00ED0E85" w:rsidP="00ED0E85">
            <w:pPr>
              <w:pStyle w:val="TableDataEntries"/>
            </w:pPr>
            <w:r w:rsidRPr="00402B14">
              <w:t>13 127</w:t>
            </w:r>
          </w:p>
        </w:tc>
        <w:tc>
          <w:tcPr>
            <w:tcW w:w="174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7E9ED1" w14:textId="77777777" w:rsidR="00ED0E85" w:rsidRPr="00402B14" w:rsidRDefault="00ED0E85" w:rsidP="00ED0E85">
            <w:pPr>
              <w:pStyle w:val="TableDataEntries"/>
            </w:pPr>
            <w:r w:rsidRPr="00402B14">
              <w:t xml:space="preserve"> 23.0</w:t>
            </w:r>
          </w:p>
        </w:tc>
      </w:tr>
      <w:tr w:rsidR="00ED0E85" w14:paraId="6929D49C" w14:textId="77777777" w:rsidTr="00ED0E85">
        <w:trPr>
          <w:trHeight w:val="274"/>
        </w:trPr>
        <w:tc>
          <w:tcPr>
            <w:tcW w:w="2688" w:type="dxa"/>
            <w:tcBorders>
              <w:top w:val="single" w:sz="8" w:space="0" w:color="FFFFFF" w:themeColor="background1"/>
              <w:bottom w:val="single" w:sz="6" w:space="0" w:color="6F6652"/>
            </w:tcBorders>
            <w:shd w:val="clear" w:color="auto" w:fill="E9E8E5" w:themeFill="background2"/>
            <w:tcMar>
              <w:left w:w="57" w:type="dxa"/>
              <w:right w:w="57" w:type="dxa"/>
            </w:tcMar>
          </w:tcPr>
          <w:p w14:paraId="0765C0DA" w14:textId="77777777" w:rsidR="00ED0E85" w:rsidRDefault="00ED0E85" w:rsidP="00ED0E85">
            <w:pPr>
              <w:pStyle w:val="TableDataEntries"/>
              <w:jc w:val="left"/>
              <w:rPr>
                <w:lang w:val="en-GB"/>
              </w:rPr>
            </w:pPr>
            <w:r>
              <w:rPr>
                <w:lang w:val="en-GB"/>
              </w:rPr>
              <w:t>Lifts</w:t>
            </w:r>
          </w:p>
        </w:tc>
        <w:tc>
          <w:tcPr>
            <w:tcW w:w="1750" w:type="dxa"/>
            <w:tcBorders>
              <w:top w:val="single" w:sz="8" w:space="0" w:color="FFFFFF" w:themeColor="background1"/>
              <w:bottom w:val="single" w:sz="6" w:space="0" w:color="6F6652"/>
            </w:tcBorders>
            <w:shd w:val="clear" w:color="auto" w:fill="E9E8E5" w:themeFill="background2"/>
            <w:tcMar>
              <w:left w:w="57" w:type="dxa"/>
              <w:right w:w="57" w:type="dxa"/>
            </w:tcMar>
          </w:tcPr>
          <w:p w14:paraId="65A43047" w14:textId="77777777" w:rsidR="00ED0E85" w:rsidRPr="00402B14" w:rsidRDefault="00ED0E85" w:rsidP="00ED0E85">
            <w:pPr>
              <w:pStyle w:val="TableDataEntries"/>
            </w:pPr>
            <w:r w:rsidRPr="00402B14">
              <w:t>3</w:t>
            </w:r>
            <w:r>
              <w:t xml:space="preserve"> </w:t>
            </w:r>
            <w:r w:rsidRPr="00402B14">
              <w:t>289 800</w:t>
            </w:r>
          </w:p>
        </w:tc>
        <w:tc>
          <w:tcPr>
            <w:tcW w:w="1749" w:type="dxa"/>
            <w:tcBorders>
              <w:top w:val="single" w:sz="8" w:space="0" w:color="FFFFFF" w:themeColor="background1"/>
              <w:bottom w:val="single" w:sz="6" w:space="0" w:color="6F6652"/>
            </w:tcBorders>
            <w:shd w:val="clear" w:color="auto" w:fill="E9E8E5" w:themeFill="background2"/>
            <w:tcMar>
              <w:left w:w="57" w:type="dxa"/>
              <w:right w:w="57" w:type="dxa"/>
            </w:tcMar>
          </w:tcPr>
          <w:p w14:paraId="66DCFFC3" w14:textId="77777777" w:rsidR="00ED0E85" w:rsidRPr="00402B14" w:rsidRDefault="00ED0E85" w:rsidP="00ED0E85">
            <w:pPr>
              <w:pStyle w:val="TableDataEntries"/>
            </w:pPr>
            <w:r w:rsidRPr="00402B14">
              <w:t>19 667</w:t>
            </w:r>
          </w:p>
        </w:tc>
        <w:tc>
          <w:tcPr>
            <w:tcW w:w="1749" w:type="dxa"/>
            <w:tcBorders>
              <w:top w:val="single" w:sz="8" w:space="0" w:color="FFFFFF" w:themeColor="background1"/>
              <w:bottom w:val="single" w:sz="6" w:space="0" w:color="6F6652"/>
            </w:tcBorders>
            <w:shd w:val="clear" w:color="auto" w:fill="E9E8E5" w:themeFill="background2"/>
            <w:tcMar>
              <w:left w:w="57" w:type="dxa"/>
              <w:right w:w="57" w:type="dxa"/>
            </w:tcMar>
          </w:tcPr>
          <w:p w14:paraId="474CD23A" w14:textId="77777777" w:rsidR="00ED0E85" w:rsidRPr="00402B14" w:rsidRDefault="00ED0E85" w:rsidP="00ED0E85">
            <w:pPr>
              <w:pStyle w:val="TableDataEntries"/>
            </w:pPr>
            <w:r w:rsidRPr="00402B14">
              <w:t xml:space="preserve"> 167.3</w:t>
            </w:r>
          </w:p>
        </w:tc>
      </w:tr>
    </w:tbl>
    <w:p w14:paraId="04CE40D6" w14:textId="77777777" w:rsidR="00ED0E85" w:rsidRDefault="00ED0E85" w:rsidP="00ED0E85">
      <w:pPr>
        <w:pStyle w:val="Source"/>
      </w:pPr>
      <w:r>
        <w:rPr>
          <w:i/>
        </w:rPr>
        <w:t>Source</w:t>
      </w:r>
      <w:r w:rsidRPr="00E4232C">
        <w:rPr>
          <w:i/>
        </w:rPr>
        <w:t>:</w:t>
      </w:r>
      <w:r>
        <w:t xml:space="preserve"> Information provided by a major property group.</w:t>
      </w:r>
    </w:p>
    <w:p w14:paraId="779A1540" w14:textId="77777777" w:rsidR="00ED0E85" w:rsidRDefault="00ED0E85" w:rsidP="00ED0E85">
      <w:pPr>
        <w:pStyle w:val="BodyText"/>
      </w:pPr>
      <w:r>
        <w:t>Not all of the measures identified above would be considered privately ‘cost</w:t>
      </w:r>
      <w:r>
        <w:noBreakHyphen/>
        <w:t>effective’ (i.e. meet the building owners’ criteria). Nevertheless, the information presented above is evidence of a range of cost</w:t>
      </w:r>
      <w:r>
        <w:noBreakHyphen/>
        <w:t>effective energy efficiency opportunities, even for buildings with average energy performance or above.</w:t>
      </w:r>
    </w:p>
    <w:p w14:paraId="6D2E2B56" w14:textId="77777777" w:rsidR="00ED0E85" w:rsidRDefault="00ED0E85" w:rsidP="00ED0E85">
      <w:pPr>
        <w:pStyle w:val="Heading2"/>
        <w:numPr>
          <w:ilvl w:val="1"/>
          <w:numId w:val="5"/>
        </w:numPr>
      </w:pPr>
      <w:bookmarkStart w:id="2342" w:name="_Toc19275505"/>
      <w:bookmarkStart w:id="2343" w:name="_Toc19276115"/>
      <w:bookmarkStart w:id="2344" w:name="_Toc19280114"/>
      <w:r>
        <w:t>Aggregate impacts</w:t>
      </w:r>
      <w:bookmarkEnd w:id="2342"/>
      <w:bookmarkEnd w:id="2343"/>
      <w:bookmarkEnd w:id="2344"/>
    </w:p>
    <w:p w14:paraId="1F418272" w14:textId="77777777" w:rsidR="00ED0E85" w:rsidRDefault="00ED0E85" w:rsidP="00ED0E85">
      <w:pPr>
        <w:pStyle w:val="KeyPoint"/>
      </w:pPr>
      <w:r>
        <w:t>Based on the above analysis, we estimate that to date, the CBD Program has:</w:t>
      </w:r>
    </w:p>
    <w:p w14:paraId="2F36212A" w14:textId="77777777" w:rsidR="00ED0E85" w:rsidRDefault="00ED0E85" w:rsidP="00ED0E85">
      <w:pPr>
        <w:pStyle w:val="KeyPoint2"/>
      </w:pPr>
      <w:r>
        <w:t xml:space="preserve">reduced energy consumption by around 3 PJ </w:t>
      </w:r>
    </w:p>
    <w:p w14:paraId="4AA30241" w14:textId="77777777" w:rsidR="00ED0E85" w:rsidRDefault="00ED0E85" w:rsidP="00ED0E85">
      <w:pPr>
        <w:pStyle w:val="KeyPoint2"/>
      </w:pPr>
      <w:r>
        <w:t>reduced GHG emissions by around 152.6 Kt CO</w:t>
      </w:r>
      <w:r w:rsidRPr="009253DC">
        <w:rPr>
          <w:vertAlign w:val="subscript"/>
        </w:rPr>
        <w:t>2</w:t>
      </w:r>
      <w:r w:rsidRPr="009253DC">
        <w:rPr>
          <w:vertAlign w:val="subscript"/>
        </w:rPr>
        <w:noBreakHyphen/>
        <w:t>e</w:t>
      </w:r>
    </w:p>
    <w:p w14:paraId="6A9A41B7" w14:textId="77777777" w:rsidR="00ED0E85" w:rsidRDefault="00ED0E85" w:rsidP="00ED0E85">
      <w:pPr>
        <w:pStyle w:val="KeyPoint"/>
      </w:pPr>
      <w:r>
        <w:t>Even with no further energy efficiency upgrades, the upgrades made to date will continue to deliver energy savings into the future. We estimate that by 2029</w:t>
      </w:r>
      <w:r>
        <w:noBreakHyphen/>
        <w:t>30:</w:t>
      </w:r>
    </w:p>
    <w:p w14:paraId="3AD7FBF9" w14:textId="77777777" w:rsidR="00ED0E85" w:rsidRDefault="00ED0E85" w:rsidP="00ED0E85">
      <w:pPr>
        <w:pStyle w:val="KeyPoint2"/>
      </w:pPr>
      <w:r>
        <w:t>energy savings will reach 11.6 PJ</w:t>
      </w:r>
    </w:p>
    <w:p w14:paraId="0AEA47EB" w14:textId="77777777" w:rsidR="00ED0E85" w:rsidRDefault="00ED0E85" w:rsidP="00ED0E85">
      <w:pPr>
        <w:pStyle w:val="KeyPoint2"/>
      </w:pPr>
      <w:r>
        <w:t>GHG emission savings will reach around 2.2 Mt CO</w:t>
      </w:r>
      <w:r w:rsidRPr="009253DC">
        <w:rPr>
          <w:vertAlign w:val="subscript"/>
        </w:rPr>
        <w:t>2</w:t>
      </w:r>
      <w:r w:rsidRPr="009253DC">
        <w:rPr>
          <w:vertAlign w:val="subscript"/>
        </w:rPr>
        <w:noBreakHyphen/>
        <w:t>e</w:t>
      </w:r>
      <w:r>
        <w:t>.</w:t>
      </w:r>
    </w:p>
    <w:p w14:paraId="58D5A849" w14:textId="77777777" w:rsidR="00ED0E85" w:rsidRDefault="00ED0E85" w:rsidP="00ED0E85">
      <w:pPr>
        <w:pStyle w:val="Heading3"/>
        <w:numPr>
          <w:ilvl w:val="2"/>
          <w:numId w:val="5"/>
        </w:numPr>
        <w:rPr>
          <w:lang w:eastAsia="en-US"/>
        </w:rPr>
      </w:pPr>
      <w:r>
        <w:rPr>
          <w:lang w:eastAsia="en-US"/>
        </w:rPr>
        <w:t>Aggregate energy savings</w:t>
      </w:r>
    </w:p>
    <w:p w14:paraId="17A5CEEA" w14:textId="3DF831DB" w:rsidR="00ED0E85" w:rsidRDefault="00ED0E85" w:rsidP="00ED0E85">
      <w:pPr>
        <w:pStyle w:val="BodyText"/>
        <w:rPr>
          <w:lang w:eastAsia="en-US"/>
        </w:rPr>
      </w:pPr>
      <w:r>
        <w:rPr>
          <w:lang w:eastAsia="en-US"/>
        </w:rPr>
        <w:t>Estimated aggregate energy savings are shown in chart </w:t>
      </w:r>
      <w:r>
        <w:rPr>
          <w:lang w:eastAsia="en-US"/>
        </w:rPr>
        <w:fldChar w:fldCharType="begin"/>
      </w:r>
      <w:r>
        <w:rPr>
          <w:lang w:eastAsia="en-US"/>
        </w:rPr>
        <w:instrText xml:space="preserve"> REF _Caption2088 </w:instrText>
      </w:r>
      <w:r>
        <w:rPr>
          <w:lang w:eastAsia="en-US"/>
        </w:rPr>
        <w:fldChar w:fldCharType="separate"/>
      </w:r>
      <w:r w:rsidR="00AD3561">
        <w:rPr>
          <w:noProof/>
        </w:rPr>
        <w:t>4</w:t>
      </w:r>
      <w:r w:rsidR="00AD3561" w:rsidRPr="00695C93">
        <w:rPr>
          <w:noProof/>
        </w:rPr>
        <w:t>.</w:t>
      </w:r>
      <w:r w:rsidR="00AD3561">
        <w:rPr>
          <w:noProof/>
        </w:rPr>
        <w:t>14</w:t>
      </w:r>
      <w:r>
        <w:rPr>
          <w:lang w:eastAsia="en-US"/>
        </w:rPr>
        <w:fldChar w:fldCharType="end"/>
      </w:r>
      <w:r>
        <w:rPr>
          <w:lang w:eastAsia="en-US"/>
        </w:rPr>
        <w:t>. Aggregate energy savings increased rapidly as the number of buildings participating in the CBD Program has increased and each building covered by the program makes ongoing improvements, which accumulate over time. We estimate that aggregate energy savings in 2018</w:t>
      </w:r>
      <w:r>
        <w:rPr>
          <w:lang w:eastAsia="en-US"/>
        </w:rPr>
        <w:noBreakHyphen/>
        <w:t>19 reached around 800 TJ. Even if there are no further energy efficiency improvements made (unlikely), we would expect the improvements made to date will continue to deliver benefits into the future.</w:t>
      </w:r>
    </w:p>
    <w:p w14:paraId="4EFFAB0B" w14:textId="601ED4F8"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w:instrText>
      </w:r>
      <w:r w:rsidRPr="00695C93">
        <w:fldChar w:fldCharType="separate"/>
      </w:r>
      <w:r w:rsidR="00AD3561">
        <w:rPr>
          <w:noProof/>
        </w:rPr>
        <w:instrText>4</w:instrText>
      </w:r>
      <w:r w:rsidR="00AD3561"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rsidRPr="00695C93">
        <w:instrText xml:space="preserve">." </w:instrText>
      </w:r>
      <w:r w:rsidRPr="00695C93">
        <w:fldChar w:fldCharType="separate"/>
      </w:r>
      <w:r w:rsidR="00C353B5">
        <w:rPr>
          <w:noProof/>
        </w:rPr>
        <w:instrText>4</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14</w:instrText>
      </w:r>
      <w:r w:rsidRPr="00695C93">
        <w:fldChar w:fldCharType="end"/>
      </w:r>
      <w:r w:rsidRPr="00695C93">
        <w:instrText xml:space="preserve">" "" </w:instrText>
      </w:r>
      <w:r w:rsidRPr="00695C93">
        <w:fldChar w:fldCharType="separate"/>
      </w:r>
      <w:bookmarkStart w:id="2345" w:name="_Caption9725"/>
      <w:bookmarkStart w:id="2346" w:name="_Caption9171"/>
      <w:bookmarkStart w:id="2347" w:name="_Caption4237"/>
      <w:bookmarkStart w:id="2348" w:name="_Caption3651"/>
      <w:bookmarkStart w:id="2349" w:name="_Caption9080"/>
      <w:bookmarkStart w:id="2350" w:name="_Caption6077"/>
      <w:bookmarkStart w:id="2351" w:name="_Caption2773"/>
      <w:bookmarkStart w:id="2352" w:name="_Caption8096"/>
      <w:bookmarkStart w:id="2353" w:name="_Caption6477"/>
      <w:bookmarkStart w:id="2354" w:name="_Caption0918"/>
      <w:bookmarkStart w:id="2355" w:name="_Caption8771"/>
      <w:bookmarkStart w:id="2356" w:name="_Caption6108"/>
      <w:bookmarkStart w:id="2357" w:name="_Caption2088"/>
      <w:bookmarkStart w:id="2358" w:name="_Caption1774"/>
      <w:bookmarkStart w:id="2359" w:name="_Caption4042"/>
      <w:bookmarkStart w:id="2360" w:name="_Caption0276"/>
      <w:bookmarkStart w:id="2361" w:name="_Caption8975"/>
      <w:bookmarkStart w:id="2362" w:name="_Caption8171"/>
      <w:bookmarkStart w:id="2363" w:name="_Caption1555"/>
      <w:bookmarkStart w:id="2364" w:name="_Caption9136"/>
      <w:bookmarkStart w:id="2365" w:name="_Caption6550"/>
      <w:bookmarkStart w:id="2366" w:name="_Caption7588"/>
      <w:bookmarkStart w:id="2367" w:name="_Caption3810"/>
      <w:bookmarkStart w:id="2368" w:name="_Caption8626"/>
      <w:bookmarkStart w:id="2369" w:name="_Caption3826"/>
      <w:bookmarkStart w:id="2370" w:name="_Caption6696"/>
      <w:bookmarkStart w:id="2371" w:name="_Toc19275583"/>
      <w:bookmarkStart w:id="2372" w:name="_Toc19276193"/>
      <w:bookmarkStart w:id="2373" w:name="_Toc19280192"/>
      <w:r w:rsidR="00C353B5">
        <w:rPr>
          <w:noProof/>
        </w:rPr>
        <w:t>4</w:t>
      </w:r>
      <w:r w:rsidR="00C353B5" w:rsidRPr="00695C93">
        <w:rPr>
          <w:noProof/>
        </w:rPr>
        <w:t>.</w:t>
      </w:r>
      <w:r w:rsidR="00C353B5">
        <w:rPr>
          <w:noProof/>
        </w:rPr>
        <w:t>14</w:t>
      </w:r>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r w:rsidRPr="00695C93">
        <w:fldChar w:fldCharType="end"/>
      </w:r>
      <w:r w:rsidRPr="00695C93">
        <w:tab/>
      </w:r>
      <w:r>
        <w:t>Aggregate energy savings</w:t>
      </w:r>
      <w:bookmarkEnd w:id="2371"/>
      <w:bookmarkEnd w:id="2372"/>
      <w:bookmarkEnd w:id="2373"/>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72DFCE11" w14:textId="77777777" w:rsidTr="00ED0E85">
        <w:trPr>
          <w:cantSplit/>
        </w:trPr>
        <w:tc>
          <w:tcPr>
            <w:tcW w:w="7938" w:type="dxa"/>
            <w:shd w:val="clear" w:color="auto" w:fill="E9E8E5" w:themeFill="background2"/>
          </w:tcPr>
          <w:p w14:paraId="41519C23" w14:textId="77777777" w:rsidR="00ED0E85" w:rsidRDefault="00ED0E85" w:rsidP="00D84794">
            <w:pPr>
              <w:pStyle w:val="Chart"/>
              <w:jc w:val="center"/>
            </w:pPr>
            <w:r w:rsidRPr="00570F6E">
              <w:rPr>
                <w:noProof/>
                <w:lang w:eastAsia="en-AU"/>
              </w:rPr>
              <w:drawing>
                <wp:inline distT="0" distB="0" distL="0" distR="0" wp14:anchorId="2CB9FCED" wp14:editId="7628D182">
                  <wp:extent cx="4686300" cy="238379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r="3150"/>
                          <a:stretch/>
                        </pic:blipFill>
                        <pic:spPr bwMode="auto">
                          <a:xfrm>
                            <a:off x="0" y="0"/>
                            <a:ext cx="4686300" cy="23837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F15CD6" w14:textId="77777777" w:rsidR="00ED0E85" w:rsidRDefault="00ED0E85" w:rsidP="00ED0E85">
      <w:pPr>
        <w:pStyle w:val="Source"/>
      </w:pPr>
      <w:r>
        <w:rPr>
          <w:i/>
        </w:rPr>
        <w:t>Data source</w:t>
      </w:r>
      <w:r w:rsidRPr="00A67576">
        <w:rPr>
          <w:i/>
        </w:rPr>
        <w:t>:</w:t>
      </w:r>
      <w:r>
        <w:t xml:space="preserve"> CIE estimates.</w:t>
      </w:r>
    </w:p>
    <w:p w14:paraId="5C833E8E" w14:textId="1DE77518" w:rsidR="00ED0E85" w:rsidRDefault="00ED0E85" w:rsidP="00ED0E85">
      <w:pPr>
        <w:pStyle w:val="BodyText"/>
        <w:rPr>
          <w:lang w:eastAsia="en-US"/>
        </w:rPr>
      </w:pPr>
      <w:r>
        <w:rPr>
          <w:lang w:eastAsia="en-US"/>
        </w:rPr>
        <w:t>Cumulative energy savings are shown in chart </w:t>
      </w:r>
      <w:r>
        <w:rPr>
          <w:lang w:eastAsia="en-US"/>
        </w:rPr>
        <w:fldChar w:fldCharType="begin"/>
      </w:r>
      <w:r>
        <w:rPr>
          <w:lang w:eastAsia="en-US"/>
        </w:rPr>
        <w:instrText xml:space="preserve"> REF _Caption9714 </w:instrText>
      </w:r>
      <w:r>
        <w:rPr>
          <w:lang w:eastAsia="en-US"/>
        </w:rPr>
        <w:fldChar w:fldCharType="separate"/>
      </w:r>
      <w:r w:rsidR="00AD3561">
        <w:rPr>
          <w:noProof/>
        </w:rPr>
        <w:t>4</w:t>
      </w:r>
      <w:r w:rsidR="00AD3561" w:rsidRPr="00695C93">
        <w:rPr>
          <w:noProof/>
        </w:rPr>
        <w:t>.</w:t>
      </w:r>
      <w:r w:rsidR="00AD3561">
        <w:rPr>
          <w:noProof/>
        </w:rPr>
        <w:t>15</w:t>
      </w:r>
      <w:r>
        <w:rPr>
          <w:lang w:eastAsia="en-US"/>
        </w:rPr>
        <w:fldChar w:fldCharType="end"/>
      </w:r>
      <w:r>
        <w:rPr>
          <w:lang w:eastAsia="en-US"/>
        </w:rPr>
        <w:t>. We estimate that cumulative energy savings to 2018</w:t>
      </w:r>
      <w:r>
        <w:rPr>
          <w:lang w:eastAsia="en-US"/>
        </w:rPr>
        <w:noBreakHyphen/>
        <w:t>19 are around 3.0 PJ. Even with no further energy efficiency improvements, ongoing energy savings from the improvements made to date mean that cumulative energy savings will reach around 11.6 PJ by 2029</w:t>
      </w:r>
      <w:r>
        <w:rPr>
          <w:lang w:eastAsia="en-US"/>
        </w:rPr>
        <w:noBreakHyphen/>
        <w:t>30.</w:t>
      </w:r>
    </w:p>
    <w:p w14:paraId="3203ABFF" w14:textId="58CE8A62"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w:instrText>
      </w:r>
      <w:r w:rsidRPr="00695C93">
        <w:fldChar w:fldCharType="separate"/>
      </w:r>
      <w:r w:rsidR="00AD3561">
        <w:rPr>
          <w:noProof/>
        </w:rPr>
        <w:instrText>4</w:instrText>
      </w:r>
      <w:r w:rsidR="00AD3561"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rsidRPr="00695C93">
        <w:instrText xml:space="preserve">." </w:instrText>
      </w:r>
      <w:r w:rsidRPr="00695C93">
        <w:fldChar w:fldCharType="separate"/>
      </w:r>
      <w:r w:rsidR="00C353B5">
        <w:rPr>
          <w:noProof/>
        </w:rPr>
        <w:instrText>4</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15</w:instrText>
      </w:r>
      <w:r w:rsidRPr="00695C93">
        <w:fldChar w:fldCharType="end"/>
      </w:r>
      <w:r w:rsidRPr="00695C93">
        <w:instrText xml:space="preserve">" "" </w:instrText>
      </w:r>
      <w:r w:rsidRPr="00695C93">
        <w:fldChar w:fldCharType="separate"/>
      </w:r>
      <w:bookmarkStart w:id="2374" w:name="_Caption5813"/>
      <w:bookmarkStart w:id="2375" w:name="_Caption1510"/>
      <w:bookmarkStart w:id="2376" w:name="_Caption3339"/>
      <w:bookmarkStart w:id="2377" w:name="_Caption9831"/>
      <w:bookmarkStart w:id="2378" w:name="_Caption4588"/>
      <w:bookmarkStart w:id="2379" w:name="_Caption2486"/>
      <w:bookmarkStart w:id="2380" w:name="_Caption4545"/>
      <w:bookmarkStart w:id="2381" w:name="_Caption3156"/>
      <w:bookmarkStart w:id="2382" w:name="_Caption7505"/>
      <w:bookmarkStart w:id="2383" w:name="_Caption8461"/>
      <w:bookmarkStart w:id="2384" w:name="_Caption9135"/>
      <w:bookmarkStart w:id="2385" w:name="_Caption9714"/>
      <w:bookmarkStart w:id="2386" w:name="_Caption8523"/>
      <w:bookmarkStart w:id="2387" w:name="_Caption5880"/>
      <w:bookmarkStart w:id="2388" w:name="_Caption9633"/>
      <w:bookmarkStart w:id="2389" w:name="_Caption9274"/>
      <w:bookmarkStart w:id="2390" w:name="_Caption3634"/>
      <w:bookmarkStart w:id="2391" w:name="_Caption7958"/>
      <w:bookmarkStart w:id="2392" w:name="_Caption5427"/>
      <w:bookmarkStart w:id="2393" w:name="_Caption6304"/>
      <w:bookmarkStart w:id="2394" w:name="_Caption3652"/>
      <w:bookmarkStart w:id="2395" w:name="_Caption2808"/>
      <w:bookmarkStart w:id="2396" w:name="_Caption0432"/>
      <w:bookmarkStart w:id="2397" w:name="_Caption8667"/>
      <w:bookmarkStart w:id="2398" w:name="_Caption0426"/>
      <w:bookmarkStart w:id="2399" w:name="_Caption2851"/>
      <w:bookmarkStart w:id="2400" w:name="_Toc19275584"/>
      <w:bookmarkStart w:id="2401" w:name="_Toc19276194"/>
      <w:bookmarkStart w:id="2402" w:name="_Toc19280193"/>
      <w:r w:rsidR="00C353B5">
        <w:rPr>
          <w:noProof/>
        </w:rPr>
        <w:t>4</w:t>
      </w:r>
      <w:r w:rsidR="00C353B5" w:rsidRPr="00695C93">
        <w:rPr>
          <w:noProof/>
        </w:rPr>
        <w:t>.</w:t>
      </w:r>
      <w:r w:rsidR="00C353B5">
        <w:rPr>
          <w:noProof/>
        </w:rPr>
        <w:t>15</w:t>
      </w:r>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r w:rsidRPr="00695C93">
        <w:fldChar w:fldCharType="end"/>
      </w:r>
      <w:r w:rsidRPr="00695C93">
        <w:tab/>
      </w:r>
      <w:r>
        <w:t>Cumulative energy savings</w:t>
      </w:r>
      <w:bookmarkEnd w:id="2400"/>
      <w:bookmarkEnd w:id="2401"/>
      <w:bookmarkEnd w:id="2402"/>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1F68B5CA" w14:textId="77777777" w:rsidTr="00ED0E85">
        <w:trPr>
          <w:cantSplit/>
        </w:trPr>
        <w:tc>
          <w:tcPr>
            <w:tcW w:w="7938" w:type="dxa"/>
            <w:shd w:val="clear" w:color="auto" w:fill="E9E8E5" w:themeFill="background2"/>
          </w:tcPr>
          <w:p w14:paraId="51EA2A61" w14:textId="77777777" w:rsidR="00ED0E85" w:rsidRDefault="00ED0E85" w:rsidP="00D84794">
            <w:pPr>
              <w:pStyle w:val="Chart"/>
              <w:jc w:val="center"/>
            </w:pPr>
            <w:r w:rsidRPr="00570F6E">
              <w:rPr>
                <w:noProof/>
                <w:lang w:eastAsia="en-AU"/>
              </w:rPr>
              <w:drawing>
                <wp:inline distT="0" distB="0" distL="0" distR="0" wp14:anchorId="16FA5806" wp14:editId="1D0F91F5">
                  <wp:extent cx="4705350" cy="238379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r="2756"/>
                          <a:stretch/>
                        </pic:blipFill>
                        <pic:spPr bwMode="auto">
                          <a:xfrm>
                            <a:off x="0" y="0"/>
                            <a:ext cx="4705350" cy="23837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F12C51A" w14:textId="77777777" w:rsidR="00ED0E85" w:rsidRDefault="00ED0E85" w:rsidP="00ED0E85">
      <w:pPr>
        <w:pStyle w:val="Source"/>
      </w:pPr>
      <w:r>
        <w:rPr>
          <w:i/>
        </w:rPr>
        <w:t>Data source</w:t>
      </w:r>
      <w:r w:rsidRPr="00A67576">
        <w:rPr>
          <w:i/>
        </w:rPr>
        <w:t>:</w:t>
      </w:r>
      <w:r>
        <w:t xml:space="preserve"> CIE estimates.</w:t>
      </w:r>
    </w:p>
    <w:p w14:paraId="5E202B31" w14:textId="77777777" w:rsidR="00ED0E85" w:rsidRDefault="00ED0E85" w:rsidP="00ED0E85">
      <w:pPr>
        <w:pStyle w:val="Heading3"/>
        <w:numPr>
          <w:ilvl w:val="2"/>
          <w:numId w:val="5"/>
        </w:numPr>
        <w:rPr>
          <w:lang w:eastAsia="en-US"/>
        </w:rPr>
      </w:pPr>
      <w:r>
        <w:rPr>
          <w:lang w:eastAsia="en-US"/>
        </w:rPr>
        <w:t>Aggregate greenhouse gas savings</w:t>
      </w:r>
    </w:p>
    <w:p w14:paraId="1325F236" w14:textId="26963CCF" w:rsidR="00ED0E85" w:rsidRDefault="00ED0E85" w:rsidP="00ED0E85">
      <w:pPr>
        <w:pStyle w:val="BodyText"/>
      </w:pPr>
      <w:r>
        <w:t>Aggregate GHG savings follow a similar pattern, with a rapid increase as both the number of buildings covered by the CBD Program and the savings made by each building (on average) increasing over time (chart </w:t>
      </w:r>
      <w:r w:rsidR="004550CB">
        <w:rPr>
          <w:noProof/>
        </w:rPr>
        <w:fldChar w:fldCharType="begin"/>
      </w:r>
      <w:r w:rsidR="004550CB">
        <w:rPr>
          <w:noProof/>
        </w:rPr>
        <w:instrText xml:space="preserve"> REF _Caption2660 </w:instrText>
      </w:r>
      <w:r w:rsidR="004550CB">
        <w:rPr>
          <w:noProof/>
        </w:rPr>
        <w:fldChar w:fldCharType="separate"/>
      </w:r>
      <w:r w:rsidR="00AD3561">
        <w:rPr>
          <w:noProof/>
        </w:rPr>
        <w:t>4</w:t>
      </w:r>
      <w:r w:rsidR="00AD3561" w:rsidRPr="00695C93">
        <w:rPr>
          <w:noProof/>
        </w:rPr>
        <w:t>.</w:t>
      </w:r>
      <w:r w:rsidR="00AD3561">
        <w:rPr>
          <w:noProof/>
        </w:rPr>
        <w:t>16</w:t>
      </w:r>
      <w:r w:rsidR="004550CB">
        <w:rPr>
          <w:noProof/>
        </w:rPr>
        <w:fldChar w:fldCharType="end"/>
      </w:r>
      <w:r>
        <w:t>). We estimate that in 2018</w:t>
      </w:r>
      <w:r>
        <w:noBreakHyphen/>
        <w:t>19, aggregate GHG savings were around 152.6 Kt CO</w:t>
      </w:r>
      <w:r w:rsidRPr="004771E2">
        <w:rPr>
          <w:vertAlign w:val="subscript"/>
        </w:rPr>
        <w:t>2-e</w:t>
      </w:r>
      <w:r>
        <w:t>. This is expected to decrease gradually over time as the GHG intensity of electricity generation is expected to decline gradually over time.</w:t>
      </w:r>
    </w:p>
    <w:p w14:paraId="31C9BB50" w14:textId="16CCCFF3"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w:instrText>
      </w:r>
      <w:r w:rsidRPr="00695C93">
        <w:fldChar w:fldCharType="separate"/>
      </w:r>
      <w:r w:rsidR="00AD3561">
        <w:rPr>
          <w:noProof/>
        </w:rPr>
        <w:instrText>4</w:instrText>
      </w:r>
      <w:r w:rsidR="00AD3561"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rsidRPr="00695C93">
        <w:instrText xml:space="preserve">." </w:instrText>
      </w:r>
      <w:r w:rsidRPr="00695C93">
        <w:fldChar w:fldCharType="separate"/>
      </w:r>
      <w:r w:rsidR="00C353B5">
        <w:rPr>
          <w:noProof/>
        </w:rPr>
        <w:instrText>4</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16</w:instrText>
      </w:r>
      <w:r w:rsidRPr="00695C93">
        <w:fldChar w:fldCharType="end"/>
      </w:r>
      <w:r w:rsidRPr="00695C93">
        <w:instrText xml:space="preserve">" "" </w:instrText>
      </w:r>
      <w:r w:rsidRPr="00695C93">
        <w:fldChar w:fldCharType="separate"/>
      </w:r>
      <w:bookmarkStart w:id="2403" w:name="_Caption0953"/>
      <w:bookmarkStart w:id="2404" w:name="_Caption4183"/>
      <w:bookmarkStart w:id="2405" w:name="_Caption2591"/>
      <w:bookmarkStart w:id="2406" w:name="_Caption7721"/>
      <w:bookmarkStart w:id="2407" w:name="_Caption9594"/>
      <w:bookmarkStart w:id="2408" w:name="_Caption8829"/>
      <w:bookmarkStart w:id="2409" w:name="_Caption3477"/>
      <w:bookmarkStart w:id="2410" w:name="_Caption9750"/>
      <w:bookmarkStart w:id="2411" w:name="_Caption7963"/>
      <w:bookmarkStart w:id="2412" w:name="_Caption5831"/>
      <w:bookmarkStart w:id="2413" w:name="_Caption2660"/>
      <w:bookmarkStart w:id="2414" w:name="_Caption5386"/>
      <w:bookmarkStart w:id="2415" w:name="_Caption5000"/>
      <w:bookmarkStart w:id="2416" w:name="_Caption4935"/>
      <w:bookmarkStart w:id="2417" w:name="_Caption3995"/>
      <w:bookmarkStart w:id="2418" w:name="_Caption5582"/>
      <w:bookmarkStart w:id="2419" w:name="_Caption6267"/>
      <w:bookmarkStart w:id="2420" w:name="_Caption6090"/>
      <w:bookmarkStart w:id="2421" w:name="_Caption6576"/>
      <w:bookmarkStart w:id="2422" w:name="_Caption4878"/>
      <w:bookmarkStart w:id="2423" w:name="_Caption2248"/>
      <w:bookmarkStart w:id="2424" w:name="_Caption8010"/>
      <w:bookmarkStart w:id="2425" w:name="_Caption5579"/>
      <w:bookmarkStart w:id="2426" w:name="_Caption6081"/>
      <w:bookmarkStart w:id="2427" w:name="_Toc19275585"/>
      <w:bookmarkStart w:id="2428" w:name="_Toc19276195"/>
      <w:bookmarkStart w:id="2429" w:name="_Toc19280194"/>
      <w:r w:rsidR="00C353B5">
        <w:rPr>
          <w:noProof/>
        </w:rPr>
        <w:t>4</w:t>
      </w:r>
      <w:r w:rsidR="00C353B5" w:rsidRPr="00695C93">
        <w:rPr>
          <w:noProof/>
        </w:rPr>
        <w:t>.</w:t>
      </w:r>
      <w:r w:rsidR="00C353B5">
        <w:rPr>
          <w:noProof/>
        </w:rPr>
        <w:t>16</w:t>
      </w:r>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r w:rsidRPr="00695C93">
        <w:fldChar w:fldCharType="end"/>
      </w:r>
      <w:r w:rsidRPr="00695C93">
        <w:tab/>
      </w:r>
      <w:r>
        <w:t>Aggregate GHG savings</w:t>
      </w:r>
      <w:bookmarkEnd w:id="2427"/>
      <w:bookmarkEnd w:id="2428"/>
      <w:bookmarkEnd w:id="2429"/>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2DA2C9A5" w14:textId="77777777" w:rsidTr="00ED0E85">
        <w:trPr>
          <w:cantSplit/>
        </w:trPr>
        <w:tc>
          <w:tcPr>
            <w:tcW w:w="7938" w:type="dxa"/>
            <w:shd w:val="clear" w:color="auto" w:fill="E9E8E5" w:themeFill="background2"/>
          </w:tcPr>
          <w:p w14:paraId="2323C0A9" w14:textId="77777777" w:rsidR="00ED0E85" w:rsidRDefault="00ED0E85" w:rsidP="00D84794">
            <w:pPr>
              <w:pStyle w:val="Chart"/>
              <w:jc w:val="center"/>
            </w:pPr>
            <w:r w:rsidRPr="00EA5957">
              <w:rPr>
                <w:noProof/>
                <w:lang w:eastAsia="en-AU"/>
              </w:rPr>
              <w:drawing>
                <wp:inline distT="0" distB="0" distL="0" distR="0" wp14:anchorId="795F2B2F" wp14:editId="53089958">
                  <wp:extent cx="4667250" cy="238379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a:extLst>
                              <a:ext uri="{28A0092B-C50C-407E-A947-70E740481C1C}">
                                <a14:useLocalDpi xmlns:a14="http://schemas.microsoft.com/office/drawing/2010/main" val="0"/>
                              </a:ext>
                            </a:extLst>
                          </a:blip>
                          <a:srcRect r="3543"/>
                          <a:stretch/>
                        </pic:blipFill>
                        <pic:spPr bwMode="auto">
                          <a:xfrm>
                            <a:off x="0" y="0"/>
                            <a:ext cx="4667250" cy="23837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91E85E6" w14:textId="77777777" w:rsidR="00ED0E85" w:rsidRDefault="00ED0E85" w:rsidP="00ED0E85">
      <w:pPr>
        <w:pStyle w:val="Source"/>
      </w:pPr>
      <w:r>
        <w:rPr>
          <w:i/>
        </w:rPr>
        <w:t>Data source</w:t>
      </w:r>
      <w:r w:rsidRPr="00A67576">
        <w:rPr>
          <w:i/>
        </w:rPr>
        <w:t>:</w:t>
      </w:r>
      <w:r>
        <w:t xml:space="preserve"> CIE estimates.</w:t>
      </w:r>
    </w:p>
    <w:p w14:paraId="0303A2EC" w14:textId="032D59D0" w:rsidR="00ED0E85" w:rsidRDefault="00ED0E85" w:rsidP="00ED0E85">
      <w:pPr>
        <w:pStyle w:val="BodyText"/>
      </w:pPr>
      <w:r>
        <w:t>We estimate that cumulative GHG savings reached around 600.4 Kt CO</w:t>
      </w:r>
      <w:r w:rsidRPr="004771E2">
        <w:rPr>
          <w:vertAlign w:val="subscript"/>
        </w:rPr>
        <w:t>2-e</w:t>
      </w:r>
      <w:r>
        <w:t xml:space="preserve"> in 2018</w:t>
      </w:r>
      <w:r>
        <w:noBreakHyphen/>
        <w:t>19 (chart </w:t>
      </w:r>
      <w:r w:rsidR="004550CB">
        <w:rPr>
          <w:noProof/>
        </w:rPr>
        <w:fldChar w:fldCharType="begin"/>
      </w:r>
      <w:r w:rsidR="004550CB">
        <w:rPr>
          <w:noProof/>
        </w:rPr>
        <w:instrText xml:space="preserve"> REF _Caption8409 </w:instrText>
      </w:r>
      <w:r w:rsidR="004550CB">
        <w:rPr>
          <w:noProof/>
        </w:rPr>
        <w:fldChar w:fldCharType="separate"/>
      </w:r>
      <w:r w:rsidR="00AD3561">
        <w:rPr>
          <w:noProof/>
        </w:rPr>
        <w:t>4</w:t>
      </w:r>
      <w:r w:rsidR="00AD3561" w:rsidRPr="00695C93">
        <w:rPr>
          <w:noProof/>
        </w:rPr>
        <w:t>.</w:t>
      </w:r>
      <w:r w:rsidR="00AD3561">
        <w:rPr>
          <w:noProof/>
        </w:rPr>
        <w:t>17</w:t>
      </w:r>
      <w:r w:rsidR="004550CB">
        <w:rPr>
          <w:noProof/>
        </w:rPr>
        <w:fldChar w:fldCharType="end"/>
      </w:r>
      <w:r>
        <w:t>). Even with no further energy efficiency improvements, we estimate that the benefits of the improvements made to date will increase to around 2.2 Mt CO</w:t>
      </w:r>
      <w:r w:rsidRPr="004771E2">
        <w:rPr>
          <w:vertAlign w:val="subscript"/>
        </w:rPr>
        <w:t>2</w:t>
      </w:r>
      <w:r w:rsidRPr="004771E2">
        <w:rPr>
          <w:vertAlign w:val="subscript"/>
        </w:rPr>
        <w:noBreakHyphen/>
        <w:t>e</w:t>
      </w:r>
      <w:r>
        <w:t xml:space="preserve"> by 2030.</w:t>
      </w:r>
    </w:p>
    <w:p w14:paraId="3D8DED75" w14:textId="3ED1EC23"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w:instrText>
      </w:r>
      <w:r w:rsidRPr="00695C93">
        <w:fldChar w:fldCharType="separate"/>
      </w:r>
      <w:r w:rsidR="00AD3561">
        <w:rPr>
          <w:noProof/>
        </w:rPr>
        <w:instrText>4</w:instrText>
      </w:r>
      <w:r w:rsidR="00AD3561"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rsidRPr="00695C93">
        <w:instrText xml:space="preserve">." </w:instrText>
      </w:r>
      <w:r w:rsidRPr="00695C93">
        <w:fldChar w:fldCharType="separate"/>
      </w:r>
      <w:r w:rsidR="00C353B5">
        <w:rPr>
          <w:noProof/>
        </w:rPr>
        <w:instrText>4</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17</w:instrText>
      </w:r>
      <w:r w:rsidRPr="00695C93">
        <w:fldChar w:fldCharType="end"/>
      </w:r>
      <w:r w:rsidRPr="00695C93">
        <w:instrText xml:space="preserve">" "" </w:instrText>
      </w:r>
      <w:r w:rsidRPr="00695C93">
        <w:fldChar w:fldCharType="separate"/>
      </w:r>
      <w:bookmarkStart w:id="2430" w:name="_Caption9458"/>
      <w:bookmarkStart w:id="2431" w:name="_Caption5278"/>
      <w:bookmarkStart w:id="2432" w:name="_Caption4834"/>
      <w:bookmarkStart w:id="2433" w:name="_Caption4597"/>
      <w:bookmarkStart w:id="2434" w:name="_Caption2692"/>
      <w:bookmarkStart w:id="2435" w:name="_Caption2140"/>
      <w:bookmarkStart w:id="2436" w:name="_Caption1208"/>
      <w:bookmarkStart w:id="2437" w:name="_Caption8335"/>
      <w:bookmarkStart w:id="2438" w:name="_Caption8670"/>
      <w:bookmarkStart w:id="2439" w:name="_Caption8409"/>
      <w:bookmarkStart w:id="2440" w:name="_Caption6465"/>
      <w:bookmarkStart w:id="2441" w:name="_Caption4211"/>
      <w:bookmarkStart w:id="2442" w:name="_Caption8005"/>
      <w:bookmarkStart w:id="2443" w:name="_Caption5429"/>
      <w:bookmarkStart w:id="2444" w:name="_Caption6732"/>
      <w:bookmarkStart w:id="2445" w:name="_Caption4407"/>
      <w:bookmarkStart w:id="2446" w:name="_Caption7228"/>
      <w:bookmarkStart w:id="2447" w:name="_Caption1511"/>
      <w:bookmarkStart w:id="2448" w:name="_Caption2090"/>
      <w:bookmarkStart w:id="2449" w:name="_Caption0163"/>
      <w:bookmarkStart w:id="2450" w:name="_Caption5773"/>
      <w:bookmarkStart w:id="2451" w:name="_Caption3097"/>
      <w:bookmarkStart w:id="2452" w:name="_Caption8529"/>
      <w:bookmarkStart w:id="2453" w:name="_Caption4825"/>
      <w:bookmarkStart w:id="2454" w:name="_Toc19275586"/>
      <w:bookmarkStart w:id="2455" w:name="_Toc19276196"/>
      <w:bookmarkStart w:id="2456" w:name="_Toc19280195"/>
      <w:r w:rsidR="00C353B5">
        <w:rPr>
          <w:noProof/>
        </w:rPr>
        <w:t>4</w:t>
      </w:r>
      <w:r w:rsidR="00C353B5" w:rsidRPr="00695C93">
        <w:rPr>
          <w:noProof/>
        </w:rPr>
        <w:t>.</w:t>
      </w:r>
      <w:r w:rsidR="00C353B5">
        <w:rPr>
          <w:noProof/>
        </w:rPr>
        <w:t>17</w:t>
      </w:r>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r w:rsidRPr="00695C93">
        <w:fldChar w:fldCharType="end"/>
      </w:r>
      <w:r w:rsidRPr="00695C93">
        <w:tab/>
      </w:r>
      <w:r>
        <w:t>Cumulative GHG savings</w:t>
      </w:r>
      <w:bookmarkEnd w:id="2454"/>
      <w:bookmarkEnd w:id="2455"/>
      <w:bookmarkEnd w:id="2456"/>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687397FE" w14:textId="77777777" w:rsidTr="00ED0E85">
        <w:trPr>
          <w:cantSplit/>
        </w:trPr>
        <w:tc>
          <w:tcPr>
            <w:tcW w:w="7938" w:type="dxa"/>
            <w:shd w:val="clear" w:color="auto" w:fill="E9E8E5" w:themeFill="background2"/>
          </w:tcPr>
          <w:p w14:paraId="08DB846A" w14:textId="77777777" w:rsidR="00ED0E85" w:rsidRDefault="00ED0E85" w:rsidP="00D84794">
            <w:pPr>
              <w:pStyle w:val="Chart"/>
              <w:jc w:val="center"/>
            </w:pPr>
            <w:r w:rsidRPr="00BA0D2D">
              <w:rPr>
                <w:noProof/>
                <w:lang w:eastAsia="en-AU"/>
              </w:rPr>
              <w:drawing>
                <wp:inline distT="0" distB="0" distL="0" distR="0" wp14:anchorId="0BEF94C5" wp14:editId="012B0E34">
                  <wp:extent cx="4686300" cy="238379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a:extLst>
                              <a:ext uri="{28A0092B-C50C-407E-A947-70E740481C1C}">
                                <a14:useLocalDpi xmlns:a14="http://schemas.microsoft.com/office/drawing/2010/main" val="0"/>
                              </a:ext>
                            </a:extLst>
                          </a:blip>
                          <a:srcRect r="3150"/>
                          <a:stretch/>
                        </pic:blipFill>
                        <pic:spPr bwMode="auto">
                          <a:xfrm>
                            <a:off x="0" y="0"/>
                            <a:ext cx="4686300" cy="23837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59AE209" w14:textId="77777777" w:rsidR="00ED0E85" w:rsidRDefault="00ED0E85" w:rsidP="00ED0E85">
      <w:pPr>
        <w:pStyle w:val="Source"/>
      </w:pPr>
      <w:r>
        <w:rPr>
          <w:i/>
        </w:rPr>
        <w:t>Data source</w:t>
      </w:r>
      <w:r w:rsidRPr="00A67576">
        <w:rPr>
          <w:i/>
        </w:rPr>
        <w:t>:</w:t>
      </w:r>
      <w:r>
        <w:t xml:space="preserve"> CIE estimates.</w:t>
      </w:r>
    </w:p>
    <w:p w14:paraId="11DE494A" w14:textId="77777777" w:rsidR="00ED0E85" w:rsidRDefault="00ED0E85" w:rsidP="00ED0E85">
      <w:pPr>
        <w:pStyle w:val="Heading2"/>
        <w:numPr>
          <w:ilvl w:val="1"/>
          <w:numId w:val="5"/>
        </w:numPr>
      </w:pPr>
      <w:bookmarkStart w:id="2457" w:name="_Toc19275506"/>
      <w:bookmarkStart w:id="2458" w:name="_Toc19276116"/>
      <w:bookmarkStart w:id="2459" w:name="_Toc19280115"/>
      <w:r>
        <w:t>Tenancy lighting performance</w:t>
      </w:r>
      <w:bookmarkEnd w:id="2457"/>
      <w:bookmarkEnd w:id="2458"/>
      <w:bookmarkEnd w:id="2459"/>
    </w:p>
    <w:p w14:paraId="17AE6371" w14:textId="77777777" w:rsidR="00ED0E85" w:rsidRDefault="00ED0E85" w:rsidP="00ED0E85">
      <w:pPr>
        <w:pStyle w:val="BodyText"/>
      </w:pPr>
      <w:r>
        <w:t>In addition to a NABERS rating, the CBD Program also requires a Tenancy Lighting Assessment (TLA). As part of the recent changes (from 1 July 2017), the TLAs are required every five years (rather than every year).</w:t>
      </w:r>
    </w:p>
    <w:p w14:paraId="1829AB70" w14:textId="14DFDDE7" w:rsidR="00ED0E85" w:rsidRDefault="00ED0E85" w:rsidP="00ED0E85">
      <w:pPr>
        <w:pStyle w:val="BodyText"/>
      </w:pPr>
      <w:r>
        <w:t>This change has reduced the number of TLAs per year significantly (chart </w:t>
      </w:r>
      <w:r w:rsidR="004550CB">
        <w:rPr>
          <w:noProof/>
        </w:rPr>
        <w:fldChar w:fldCharType="begin"/>
      </w:r>
      <w:r w:rsidR="004550CB">
        <w:rPr>
          <w:noProof/>
        </w:rPr>
        <w:instrText xml:space="preserve"> REF _Caption8052 </w:instrText>
      </w:r>
      <w:r w:rsidR="004550CB">
        <w:rPr>
          <w:noProof/>
        </w:rPr>
        <w:fldChar w:fldCharType="separate"/>
      </w:r>
      <w:r w:rsidR="00AD3561">
        <w:rPr>
          <w:noProof/>
        </w:rPr>
        <w:t>4</w:t>
      </w:r>
      <w:r w:rsidR="00AD3561" w:rsidRPr="000E4D37">
        <w:rPr>
          <w:noProof/>
        </w:rPr>
        <w:t>.</w:t>
      </w:r>
      <w:r w:rsidR="00AD3561">
        <w:rPr>
          <w:noProof/>
        </w:rPr>
        <w:t>18</w:t>
      </w:r>
      <w:r w:rsidR="004550CB">
        <w:rPr>
          <w:noProof/>
        </w:rPr>
        <w:fldChar w:fldCharType="end"/>
      </w:r>
      <w:r>
        <w:t>). Prior to the change, the number of TLAs per year had been broadly steady at around 900 to 1000 per year; however, this fell to 723 in 2017</w:t>
      </w:r>
      <w:r>
        <w:noBreakHyphen/>
        <w:t>18. Based on data over the July to December 2018 period (which we double to provide an annual estimate), it appears that the number of TLAs will have fallen even further in 2018</w:t>
      </w:r>
      <w:r>
        <w:noBreakHyphen/>
        <w:t>19.</w:t>
      </w:r>
    </w:p>
    <w:p w14:paraId="11A2A2CF" w14:textId="1E582316" w:rsidR="00ED0E85" w:rsidRPr="00695C93" w:rsidRDefault="00ED0E85" w:rsidP="00ED0E85">
      <w:pPr>
        <w:pStyle w:val="Caption"/>
      </w:pPr>
      <w:r w:rsidRPr="000E4D37">
        <w:fldChar w:fldCharType="begin"/>
      </w:r>
      <w:r w:rsidRPr="000E4D37">
        <w:instrText xml:space="preserve"> IF 1 = 1 "</w:instrText>
      </w:r>
      <w:r w:rsidRPr="000E4D37">
        <w:fldChar w:fldCharType="begin"/>
      </w:r>
      <w:r w:rsidRPr="000E4D37">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0E4D37">
        <w:instrText xml:space="preserve"> = 0 "</w:instrText>
      </w:r>
      <w:r w:rsidRPr="000E4D37">
        <w:fldChar w:fldCharType="begin"/>
      </w:r>
      <w:r w:rsidRPr="000E4D37">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0E4D37">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0E4D37">
        <w:instrText xml:space="preserve">." </w:instrText>
      </w:r>
      <w:r w:rsidRPr="000E4D37">
        <w:fldChar w:fldCharType="separate"/>
      </w:r>
      <w:r w:rsidR="00AD3561">
        <w:rPr>
          <w:noProof/>
        </w:rPr>
        <w:instrText>4</w:instrText>
      </w:r>
      <w:r w:rsidR="00AD3561" w:rsidRPr="000E4D37">
        <w:rPr>
          <w:noProof/>
        </w:rPr>
        <w:instrText>.</w:instrText>
      </w:r>
      <w:r w:rsidRPr="000E4D37">
        <w:fldChar w:fldCharType="end"/>
      </w:r>
      <w:r w:rsidRPr="000E4D37">
        <w:instrText>" "</w:instrText>
      </w:r>
      <w:r w:rsidR="004550CB">
        <w:rPr>
          <w:noProof/>
        </w:rPr>
        <w:fldChar w:fldCharType="begin"/>
      </w:r>
      <w:r w:rsidR="004550CB">
        <w:rPr>
          <w:noProof/>
        </w:rPr>
        <w:instrText xml:space="preserve"> STYLEREF "Heading 6" \l \n </w:instrText>
      </w:r>
      <w:r w:rsidR="004550CB">
        <w:rPr>
          <w:noProof/>
        </w:rPr>
        <w:fldChar w:fldCharType="separate"/>
      </w:r>
      <w:r w:rsidRPr="000E4D37">
        <w:rPr>
          <w:noProof/>
        </w:rPr>
        <w:instrText>A</w:instrText>
      </w:r>
      <w:r w:rsidR="004550CB">
        <w:rPr>
          <w:noProof/>
        </w:rPr>
        <w:fldChar w:fldCharType="end"/>
      </w:r>
      <w:r w:rsidRPr="000E4D37">
        <w:instrText xml:space="preserve">." </w:instrText>
      </w:r>
      <w:r w:rsidRPr="000E4D37">
        <w:fldChar w:fldCharType="separate"/>
      </w:r>
      <w:r w:rsidR="00C353B5">
        <w:rPr>
          <w:noProof/>
        </w:rPr>
        <w:instrText>4</w:instrText>
      </w:r>
      <w:r w:rsidR="00C353B5" w:rsidRPr="000E4D37">
        <w:rPr>
          <w:noProof/>
        </w:rPr>
        <w:instrText>.</w:instrText>
      </w:r>
      <w:r w:rsidRPr="000E4D37">
        <w:fldChar w:fldCharType="end"/>
      </w:r>
      <w:r w:rsidRPr="000E4D37">
        <w:fldChar w:fldCharType="begin"/>
      </w:r>
      <w:r w:rsidRPr="000E4D37">
        <w:instrText xml:space="preserve"> SEQ Item \* ARABIC \s </w:instrText>
      </w:r>
      <w:r w:rsidRPr="000E4D37">
        <w:fldChar w:fldCharType="begin"/>
      </w:r>
      <w:r w:rsidRPr="000E4D37">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0E4D37">
        <w:instrText xml:space="preserve"> = 0 "</w:instrText>
      </w:r>
      <w:r w:rsidRPr="000E4D37">
        <w:fldChar w:fldCharType="begin"/>
      </w:r>
      <w:r w:rsidRPr="000E4D37">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0E4D37">
        <w:instrText xml:space="preserve"> = 0 "" "1" </w:instrText>
      </w:r>
      <w:r w:rsidRPr="000E4D37">
        <w:fldChar w:fldCharType="separate"/>
      </w:r>
      <w:r w:rsidR="00C353B5" w:rsidRPr="000E4D37">
        <w:rPr>
          <w:noProof/>
        </w:rPr>
        <w:instrText>1</w:instrText>
      </w:r>
      <w:r w:rsidRPr="000E4D37">
        <w:fldChar w:fldCharType="end"/>
      </w:r>
      <w:r w:rsidRPr="000E4D37">
        <w:instrText xml:space="preserve">" "6" </w:instrText>
      </w:r>
      <w:r w:rsidRPr="000E4D37">
        <w:fldChar w:fldCharType="separate"/>
      </w:r>
      <w:r w:rsidR="00C353B5" w:rsidRPr="000E4D37">
        <w:rPr>
          <w:noProof/>
        </w:rPr>
        <w:instrText>1</w:instrText>
      </w:r>
      <w:r w:rsidRPr="000E4D37">
        <w:fldChar w:fldCharType="end"/>
      </w:r>
      <w:r w:rsidRPr="000E4D37">
        <w:instrText xml:space="preserve"> </w:instrText>
      </w:r>
      <w:r w:rsidRPr="000E4D37">
        <w:fldChar w:fldCharType="separate"/>
      </w:r>
      <w:r w:rsidR="00AD3561">
        <w:rPr>
          <w:noProof/>
        </w:rPr>
        <w:instrText>18</w:instrText>
      </w:r>
      <w:r w:rsidRPr="000E4D37">
        <w:fldChar w:fldCharType="end"/>
      </w:r>
      <w:r w:rsidRPr="000E4D37">
        <w:instrText xml:space="preserve">" "" </w:instrText>
      </w:r>
      <w:r w:rsidRPr="000E4D37">
        <w:fldChar w:fldCharType="separate"/>
      </w:r>
      <w:bookmarkStart w:id="2460" w:name="_Caption4559"/>
      <w:bookmarkStart w:id="2461" w:name="_Caption6949"/>
      <w:bookmarkStart w:id="2462" w:name="_Caption6913"/>
      <w:bookmarkStart w:id="2463" w:name="_Caption0300"/>
      <w:bookmarkStart w:id="2464" w:name="_Caption4937"/>
      <w:bookmarkStart w:id="2465" w:name="_Caption0147"/>
      <w:bookmarkStart w:id="2466" w:name="_Caption9031"/>
      <w:bookmarkStart w:id="2467" w:name="_Caption0298"/>
      <w:bookmarkStart w:id="2468" w:name="_Caption0486"/>
      <w:bookmarkStart w:id="2469" w:name="_Caption7294"/>
      <w:bookmarkStart w:id="2470" w:name="_Caption3590"/>
      <w:bookmarkStart w:id="2471" w:name="_Caption6867"/>
      <w:bookmarkStart w:id="2472" w:name="_Caption0986"/>
      <w:bookmarkStart w:id="2473" w:name="_Caption0309"/>
      <w:bookmarkStart w:id="2474" w:name="_Caption9900"/>
      <w:bookmarkStart w:id="2475" w:name="_Caption2319"/>
      <w:bookmarkStart w:id="2476" w:name="_Caption9983"/>
      <w:bookmarkStart w:id="2477" w:name="_Caption2480"/>
      <w:bookmarkStart w:id="2478" w:name="_Caption2344"/>
      <w:bookmarkStart w:id="2479" w:name="_Caption3599"/>
      <w:bookmarkStart w:id="2480" w:name="_Caption4491"/>
      <w:bookmarkStart w:id="2481" w:name="_Caption4749"/>
      <w:bookmarkStart w:id="2482" w:name="_Caption5705"/>
      <w:bookmarkStart w:id="2483" w:name="_Caption9175"/>
      <w:bookmarkStart w:id="2484" w:name="_Caption8719"/>
      <w:bookmarkStart w:id="2485" w:name="_Caption1221"/>
      <w:bookmarkStart w:id="2486" w:name="_Caption5112"/>
      <w:bookmarkStart w:id="2487" w:name="_Caption2991"/>
      <w:bookmarkStart w:id="2488" w:name="_Caption8052"/>
      <w:bookmarkStart w:id="2489" w:name="_Caption0082"/>
      <w:bookmarkStart w:id="2490" w:name="_Caption6226"/>
      <w:bookmarkStart w:id="2491" w:name="_Caption9201"/>
      <w:bookmarkStart w:id="2492" w:name="_Caption6426"/>
      <w:bookmarkStart w:id="2493" w:name="_Caption7742"/>
      <w:bookmarkStart w:id="2494" w:name="_Caption4236"/>
      <w:bookmarkStart w:id="2495" w:name="_Caption4329"/>
      <w:bookmarkStart w:id="2496" w:name="_Caption5174"/>
      <w:bookmarkStart w:id="2497" w:name="_Caption7840"/>
      <w:bookmarkStart w:id="2498" w:name="_Caption1896"/>
      <w:bookmarkStart w:id="2499" w:name="_Caption6725"/>
      <w:bookmarkStart w:id="2500" w:name="_Caption2175"/>
      <w:bookmarkStart w:id="2501" w:name="_Caption2189"/>
      <w:bookmarkStart w:id="2502" w:name="_Caption6916"/>
      <w:bookmarkStart w:id="2503" w:name="_Caption3618"/>
      <w:bookmarkStart w:id="2504" w:name="_Caption5399"/>
      <w:bookmarkStart w:id="2505" w:name="_Caption2100"/>
      <w:bookmarkStart w:id="2506" w:name="_Caption1869"/>
      <w:bookmarkStart w:id="2507" w:name="_Caption8856"/>
      <w:bookmarkStart w:id="2508" w:name="_Caption9700"/>
      <w:bookmarkStart w:id="2509" w:name="_Caption1386"/>
      <w:bookmarkStart w:id="2510" w:name="_Caption2975"/>
      <w:bookmarkStart w:id="2511" w:name="_Caption1768"/>
      <w:bookmarkStart w:id="2512" w:name="_Toc19275587"/>
      <w:bookmarkStart w:id="2513" w:name="_Toc19276197"/>
      <w:bookmarkStart w:id="2514" w:name="_Toc19280196"/>
      <w:r w:rsidR="00C353B5">
        <w:rPr>
          <w:noProof/>
        </w:rPr>
        <w:t>4</w:t>
      </w:r>
      <w:r w:rsidR="00C353B5" w:rsidRPr="000E4D37">
        <w:rPr>
          <w:noProof/>
        </w:rPr>
        <w:t>.</w:t>
      </w:r>
      <w:r w:rsidR="00C353B5">
        <w:rPr>
          <w:noProof/>
        </w:rPr>
        <w:t>18</w:t>
      </w:r>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r w:rsidRPr="000E4D37">
        <w:fldChar w:fldCharType="end"/>
      </w:r>
      <w:r w:rsidRPr="000E4D37">
        <w:tab/>
        <w:t>TLAs per year</w:t>
      </w:r>
      <w:bookmarkEnd w:id="2512"/>
      <w:bookmarkEnd w:id="2513"/>
      <w:bookmarkEnd w:id="2514"/>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417293B3" w14:textId="77777777" w:rsidTr="00ED0E85">
        <w:trPr>
          <w:cantSplit/>
        </w:trPr>
        <w:tc>
          <w:tcPr>
            <w:tcW w:w="7938" w:type="dxa"/>
            <w:shd w:val="clear" w:color="auto" w:fill="E9E8E5" w:themeFill="background2"/>
          </w:tcPr>
          <w:p w14:paraId="274C9EBE" w14:textId="77777777" w:rsidR="00ED0E85" w:rsidRDefault="00ED0E85" w:rsidP="00ED0E85">
            <w:pPr>
              <w:pStyle w:val="Chart"/>
            </w:pPr>
            <w:r w:rsidRPr="004844C8">
              <w:rPr>
                <w:noProof/>
                <w:lang w:eastAsia="en-AU"/>
              </w:rPr>
              <w:drawing>
                <wp:inline distT="0" distB="0" distL="0" distR="0" wp14:anchorId="6BCCA30D" wp14:editId="2498127A">
                  <wp:extent cx="5040630" cy="2437765"/>
                  <wp:effectExtent l="0" t="0" r="0" b="63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40630" cy="2437765"/>
                          </a:xfrm>
                          <a:prstGeom prst="rect">
                            <a:avLst/>
                          </a:prstGeom>
                          <a:noFill/>
                          <a:ln>
                            <a:noFill/>
                          </a:ln>
                        </pic:spPr>
                      </pic:pic>
                    </a:graphicData>
                  </a:graphic>
                </wp:inline>
              </w:drawing>
            </w:r>
          </w:p>
        </w:tc>
      </w:tr>
    </w:tbl>
    <w:p w14:paraId="6399081A" w14:textId="77777777" w:rsidR="00ED0E85" w:rsidRPr="00A97BEC" w:rsidRDefault="00ED0E85" w:rsidP="00ED0E85">
      <w:pPr>
        <w:pStyle w:val="Note"/>
      </w:pPr>
      <w:r w:rsidRPr="00A97BEC">
        <w:rPr>
          <w:i/>
        </w:rPr>
        <w:t xml:space="preserve">Note: </w:t>
      </w:r>
      <w:r w:rsidRPr="00BF052B">
        <w:t>The estimated number of TLAs in 2018</w:t>
      </w:r>
      <w:r w:rsidRPr="00BF052B">
        <w:noBreakHyphen/>
        <w:t>19 is based on the TLAs over the July 2018 to December 2018 period, which we doubled to provide an annual estimate.</w:t>
      </w:r>
    </w:p>
    <w:p w14:paraId="00D8B1A1" w14:textId="77777777" w:rsidR="00ED0E85" w:rsidRDefault="00ED0E85" w:rsidP="00ED0E85">
      <w:pPr>
        <w:pStyle w:val="Source"/>
      </w:pPr>
      <w:r>
        <w:rPr>
          <w:i/>
        </w:rPr>
        <w:t>Data source</w:t>
      </w:r>
      <w:r w:rsidRPr="00A67576">
        <w:rPr>
          <w:i/>
        </w:rPr>
        <w:t>:</w:t>
      </w:r>
      <w:r>
        <w:t xml:space="preserve"> CBD dataset.</w:t>
      </w:r>
    </w:p>
    <w:p w14:paraId="14231B59" w14:textId="77777777" w:rsidR="00ED0E85" w:rsidRDefault="00ED0E85" w:rsidP="00ED0E85">
      <w:pPr>
        <w:pStyle w:val="BodyText"/>
      </w:pPr>
      <w:r>
        <w:t>Very few stakeholders have considered the TLA to have had an impact on tenant energy use, or to be a useful mechanism for improving energy efficiency. This is despite that, from a first principles perspective, the TLA is closely related to the issue of split incentives, on which the original CBD Program was premised (i.e. the building owner would generally bear the cost of lighting refits, while the tenant would receive the benefits through lower energy bill). Stakeholders noted that:</w:t>
      </w:r>
    </w:p>
    <w:p w14:paraId="21DCDF1B" w14:textId="77777777" w:rsidR="00ED0E85" w:rsidRDefault="00ED0E85" w:rsidP="00ED0E85">
      <w:pPr>
        <w:pStyle w:val="ListBullet"/>
      </w:pPr>
      <w:r>
        <w:t>tenants rarely look at the TLA (unlike the NABERS rating)</w:t>
      </w:r>
    </w:p>
    <w:p w14:paraId="3167CF83" w14:textId="77777777" w:rsidR="00ED0E85" w:rsidRDefault="00ED0E85" w:rsidP="00ED0E85">
      <w:pPr>
        <w:pStyle w:val="ListBullet"/>
      </w:pPr>
      <w:r>
        <w:t>most tenants have little understanding of what NLPD means and how it would affect their energy bills.</w:t>
      </w:r>
    </w:p>
    <w:p w14:paraId="7690955D" w14:textId="2650DECD" w:rsidR="00ED0E85" w:rsidRDefault="00ED0E85" w:rsidP="00ED0E85">
      <w:pPr>
        <w:pStyle w:val="BodyText"/>
      </w:pPr>
      <w:r>
        <w:t>In terms of changes over time, net lighting power density has fallen rapidly across the buildings covered by the CBD Program (chart </w:t>
      </w:r>
      <w:r>
        <w:rPr>
          <w:noProof/>
        </w:rPr>
        <w:fldChar w:fldCharType="begin"/>
      </w:r>
      <w:r>
        <w:rPr>
          <w:noProof/>
        </w:rPr>
        <w:instrText xml:space="preserve"> REF _Caption4705 </w:instrText>
      </w:r>
      <w:r>
        <w:rPr>
          <w:noProof/>
        </w:rPr>
        <w:fldChar w:fldCharType="separate"/>
      </w:r>
      <w:r w:rsidR="00AD3561">
        <w:rPr>
          <w:noProof/>
        </w:rPr>
        <w:t>4</w:t>
      </w:r>
      <w:r w:rsidR="00AD3561" w:rsidRPr="00695C93">
        <w:rPr>
          <w:noProof/>
        </w:rPr>
        <w:t>.</w:t>
      </w:r>
      <w:r w:rsidR="00AD3561">
        <w:rPr>
          <w:noProof/>
        </w:rPr>
        <w:t>19</w:t>
      </w:r>
      <w:r>
        <w:rPr>
          <w:noProof/>
        </w:rPr>
        <w:fldChar w:fldCharType="end"/>
      </w:r>
      <w:r>
        <w:t xml:space="preserve">). </w:t>
      </w:r>
    </w:p>
    <w:p w14:paraId="23BEFEE5" w14:textId="320BCC9C"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4</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4</w:instrText>
      </w:r>
      <w:r>
        <w:rPr>
          <w:noProof/>
        </w:rPr>
        <w:fldChar w:fldCharType="end"/>
      </w:r>
      <w:r w:rsidRPr="00695C93">
        <w:instrText xml:space="preserve">." </w:instrText>
      </w:r>
      <w:r w:rsidRPr="00695C93">
        <w:fldChar w:fldCharType="separate"/>
      </w:r>
      <w:r w:rsidR="00AD3561">
        <w:rPr>
          <w:noProof/>
        </w:rPr>
        <w:instrText>4</w:instrText>
      </w:r>
      <w:r w:rsidR="00AD3561"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sidR="00C353B5">
        <w:rPr>
          <w:noProof/>
        </w:rPr>
        <w:instrText>4</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4</w:instrText>
      </w:r>
      <w:r>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19</w:instrText>
      </w:r>
      <w:r w:rsidRPr="00695C93">
        <w:fldChar w:fldCharType="end"/>
      </w:r>
      <w:r w:rsidRPr="00695C93">
        <w:instrText xml:space="preserve">" "" </w:instrText>
      </w:r>
      <w:r w:rsidRPr="00695C93">
        <w:fldChar w:fldCharType="separate"/>
      </w:r>
      <w:bookmarkStart w:id="2515" w:name="_Caption7255"/>
      <w:bookmarkStart w:id="2516" w:name="_Caption6308"/>
      <w:bookmarkStart w:id="2517" w:name="_Caption9584"/>
      <w:bookmarkStart w:id="2518" w:name="_Caption1608"/>
      <w:bookmarkStart w:id="2519" w:name="_Caption9865"/>
      <w:bookmarkStart w:id="2520" w:name="_Caption0854"/>
      <w:bookmarkStart w:id="2521" w:name="_Caption4198"/>
      <w:bookmarkStart w:id="2522" w:name="_Caption2394"/>
      <w:bookmarkStart w:id="2523" w:name="_Caption6188"/>
      <w:bookmarkStart w:id="2524" w:name="_Caption2447"/>
      <w:bookmarkStart w:id="2525" w:name="_Caption4378"/>
      <w:bookmarkStart w:id="2526" w:name="_Caption8417"/>
      <w:bookmarkStart w:id="2527" w:name="_Caption5792"/>
      <w:bookmarkStart w:id="2528" w:name="_Caption6931"/>
      <w:bookmarkStart w:id="2529" w:name="_Caption7723"/>
      <w:bookmarkStart w:id="2530" w:name="_Caption0717"/>
      <w:bookmarkStart w:id="2531" w:name="_Caption0944"/>
      <w:bookmarkStart w:id="2532" w:name="_Caption7205"/>
      <w:bookmarkStart w:id="2533" w:name="_Caption6296"/>
      <w:bookmarkStart w:id="2534" w:name="_Caption1143"/>
      <w:bookmarkStart w:id="2535" w:name="_Caption6240"/>
      <w:bookmarkStart w:id="2536" w:name="_Caption4482"/>
      <w:bookmarkStart w:id="2537" w:name="_Caption8202"/>
      <w:bookmarkStart w:id="2538" w:name="_Caption3941"/>
      <w:bookmarkStart w:id="2539" w:name="_Caption1043"/>
      <w:bookmarkStart w:id="2540" w:name="_Caption6882"/>
      <w:bookmarkStart w:id="2541" w:name="_Caption7141"/>
      <w:bookmarkStart w:id="2542" w:name="_Caption4649"/>
      <w:bookmarkStart w:id="2543" w:name="_Caption4295"/>
      <w:bookmarkStart w:id="2544" w:name="_Caption8401"/>
      <w:bookmarkStart w:id="2545" w:name="_Caption2384"/>
      <w:bookmarkStart w:id="2546" w:name="_Caption6075"/>
      <w:bookmarkStart w:id="2547" w:name="_Caption4473"/>
      <w:bookmarkStart w:id="2548" w:name="_Caption4614"/>
      <w:bookmarkStart w:id="2549" w:name="_Caption7540"/>
      <w:bookmarkStart w:id="2550" w:name="_Caption6053"/>
      <w:bookmarkStart w:id="2551" w:name="_Caption4557"/>
      <w:bookmarkStart w:id="2552" w:name="_Caption3860"/>
      <w:bookmarkStart w:id="2553" w:name="_Caption4951"/>
      <w:bookmarkStart w:id="2554" w:name="_Caption2124"/>
      <w:bookmarkStart w:id="2555" w:name="_Caption1496"/>
      <w:bookmarkStart w:id="2556" w:name="_Caption8596"/>
      <w:bookmarkStart w:id="2557" w:name="_Caption8299"/>
      <w:bookmarkStart w:id="2558" w:name="_Caption4705"/>
      <w:bookmarkStart w:id="2559" w:name="_Caption1639"/>
      <w:bookmarkStart w:id="2560" w:name="_Caption5285"/>
      <w:bookmarkStart w:id="2561" w:name="_Caption6799"/>
      <w:bookmarkStart w:id="2562" w:name="_Caption0415"/>
      <w:bookmarkStart w:id="2563" w:name="_Caption8180"/>
      <w:bookmarkStart w:id="2564" w:name="_Caption4776"/>
      <w:bookmarkStart w:id="2565" w:name="_Caption8026"/>
      <w:bookmarkStart w:id="2566" w:name="_Caption0461"/>
      <w:bookmarkStart w:id="2567" w:name="_Caption0831"/>
      <w:bookmarkStart w:id="2568" w:name="_Caption8603"/>
      <w:bookmarkStart w:id="2569" w:name="_Caption6827"/>
      <w:bookmarkStart w:id="2570" w:name="_Caption7071"/>
      <w:bookmarkStart w:id="2571" w:name="_Caption2284"/>
      <w:bookmarkStart w:id="2572" w:name="_Caption0238"/>
      <w:bookmarkStart w:id="2573" w:name="_Caption2499"/>
      <w:bookmarkStart w:id="2574" w:name="_Caption6989"/>
      <w:bookmarkStart w:id="2575" w:name="_Caption9530"/>
      <w:bookmarkStart w:id="2576" w:name="_Caption3488"/>
      <w:bookmarkStart w:id="2577" w:name="_Caption8857"/>
      <w:bookmarkStart w:id="2578" w:name="_Caption2299"/>
      <w:bookmarkStart w:id="2579" w:name="_Caption4057"/>
      <w:bookmarkStart w:id="2580" w:name="_Caption3342"/>
      <w:bookmarkStart w:id="2581" w:name="_Caption1894"/>
      <w:bookmarkStart w:id="2582" w:name="_Caption8322"/>
      <w:bookmarkStart w:id="2583" w:name="_Caption4003"/>
      <w:bookmarkStart w:id="2584" w:name="_Caption2288"/>
      <w:bookmarkStart w:id="2585" w:name="_Caption1872"/>
      <w:bookmarkStart w:id="2586" w:name="_Caption6481"/>
      <w:bookmarkStart w:id="2587" w:name="_Caption5383"/>
      <w:bookmarkStart w:id="2588" w:name="_Caption7984"/>
      <w:bookmarkStart w:id="2589" w:name="_Caption6739"/>
      <w:bookmarkStart w:id="2590" w:name="_Caption0307"/>
      <w:bookmarkStart w:id="2591" w:name="_Caption7596"/>
      <w:bookmarkStart w:id="2592" w:name="_Caption4459"/>
      <w:bookmarkStart w:id="2593" w:name="_Caption4619"/>
      <w:bookmarkStart w:id="2594" w:name="_Caption3289"/>
      <w:bookmarkStart w:id="2595" w:name="_Caption8494"/>
      <w:bookmarkStart w:id="2596" w:name="_Caption1375"/>
      <w:bookmarkStart w:id="2597" w:name="_Caption4344"/>
      <w:bookmarkStart w:id="2598" w:name="_Caption1770"/>
      <w:bookmarkStart w:id="2599" w:name="_Caption3297"/>
      <w:bookmarkStart w:id="2600" w:name="_Caption8555"/>
      <w:bookmarkStart w:id="2601" w:name="_Caption5732"/>
      <w:bookmarkStart w:id="2602" w:name="_Toc19275588"/>
      <w:bookmarkStart w:id="2603" w:name="_Toc19276198"/>
      <w:bookmarkStart w:id="2604" w:name="_Toc19280197"/>
      <w:r w:rsidR="00C353B5">
        <w:rPr>
          <w:noProof/>
        </w:rPr>
        <w:t>4</w:t>
      </w:r>
      <w:r w:rsidR="00C353B5" w:rsidRPr="00695C93">
        <w:rPr>
          <w:noProof/>
        </w:rPr>
        <w:t>.</w:t>
      </w:r>
      <w:r w:rsidR="00C353B5">
        <w:rPr>
          <w:noProof/>
        </w:rPr>
        <w:t>19</w:t>
      </w:r>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r w:rsidRPr="00695C93">
        <w:fldChar w:fldCharType="end"/>
      </w:r>
      <w:r w:rsidRPr="00695C93">
        <w:tab/>
      </w:r>
      <w:r>
        <w:t>Changes in net lighting power density</w:t>
      </w:r>
      <w:bookmarkEnd w:id="2602"/>
      <w:bookmarkEnd w:id="2603"/>
      <w:bookmarkEnd w:id="2604"/>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0CBB37DD" w14:textId="77777777" w:rsidTr="00ED0E85">
        <w:trPr>
          <w:cantSplit/>
        </w:trPr>
        <w:tc>
          <w:tcPr>
            <w:tcW w:w="7938" w:type="dxa"/>
            <w:shd w:val="clear" w:color="auto" w:fill="E9E8E5" w:themeFill="background2"/>
          </w:tcPr>
          <w:p w14:paraId="71455AD9" w14:textId="77777777" w:rsidR="00ED0E85" w:rsidRDefault="00ED0E85" w:rsidP="00ED0E85">
            <w:pPr>
              <w:pStyle w:val="Chart"/>
              <w:jc w:val="center"/>
            </w:pPr>
            <w:r w:rsidRPr="009615FD">
              <w:rPr>
                <w:noProof/>
                <w:lang w:eastAsia="en-AU"/>
              </w:rPr>
              <w:drawing>
                <wp:inline distT="0" distB="0" distL="0" distR="0" wp14:anchorId="79098EC9" wp14:editId="7EB7A542">
                  <wp:extent cx="4819650" cy="25019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8">
                            <a:extLst>
                              <a:ext uri="{28A0092B-C50C-407E-A947-70E740481C1C}">
                                <a14:useLocalDpi xmlns:a14="http://schemas.microsoft.com/office/drawing/2010/main" val="0"/>
                              </a:ext>
                            </a:extLst>
                          </a:blip>
                          <a:srcRect r="3924"/>
                          <a:stretch/>
                        </pic:blipFill>
                        <pic:spPr bwMode="auto">
                          <a:xfrm>
                            <a:off x="0" y="0"/>
                            <a:ext cx="4819650" cy="25019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5AC4AC" w14:textId="77777777" w:rsidR="00ED0E85" w:rsidRDefault="00ED0E85" w:rsidP="00ED0E85">
      <w:pPr>
        <w:pStyle w:val="Source"/>
      </w:pPr>
      <w:r>
        <w:rPr>
          <w:i/>
        </w:rPr>
        <w:t>Data source</w:t>
      </w:r>
      <w:r w:rsidRPr="00A67576">
        <w:rPr>
          <w:i/>
        </w:rPr>
        <w:t>:</w:t>
      </w:r>
      <w:r>
        <w:t xml:space="preserve"> CBD Dataset; CIE analysis.</w:t>
      </w:r>
    </w:p>
    <w:p w14:paraId="0637B47C" w14:textId="77777777" w:rsidR="00ED0E85" w:rsidRDefault="00ED0E85" w:rsidP="00ED0E85">
      <w:pPr>
        <w:pStyle w:val="BodyText"/>
      </w:pPr>
      <w:r>
        <w:t>We have also sought to track the NLPD of an individual space over time, to see how it has changed.</w:t>
      </w:r>
      <w:r>
        <w:rPr>
          <w:rStyle w:val="FootnoteReference"/>
        </w:rPr>
        <w:footnoteReference w:id="27"/>
      </w:r>
      <w:r>
        <w:t xml:space="preserve"> The most TLAs that any functional space has had across the sample is 7. The average is only 1.5 ratings. Functional spaces that have more ratings do tend to be those that have improved their net power lighting density. However, the model explains less than 1 per cent of the variation in net power lighting density for functional spaces, and therefore cannot be viewed as reliable.</w:t>
      </w:r>
    </w:p>
    <w:p w14:paraId="22139CCA" w14:textId="6EA23C34" w:rsidR="00ED0E85" w:rsidRDefault="00ED0E85" w:rsidP="00ED0E85">
      <w:pPr>
        <w:pStyle w:val="BodyText"/>
        <w:rPr>
          <w:lang w:eastAsia="en-US"/>
        </w:rPr>
      </w:pPr>
      <w:r>
        <w:rPr>
          <w:lang w:eastAsia="en-US"/>
        </w:rPr>
        <w:t>Another way to look at changes over time is at the building level. We compare the weighted average NLPD across all functional spaces in a building for all buildings with more than one TLA (chart </w:t>
      </w:r>
      <w:r>
        <w:rPr>
          <w:lang w:eastAsia="en-US"/>
        </w:rPr>
        <w:fldChar w:fldCharType="begin"/>
      </w:r>
      <w:r>
        <w:rPr>
          <w:lang w:eastAsia="en-US"/>
        </w:rPr>
        <w:instrText xml:space="preserve"> REF _Caption6969 </w:instrText>
      </w:r>
      <w:r>
        <w:rPr>
          <w:lang w:eastAsia="en-US"/>
        </w:rPr>
        <w:fldChar w:fldCharType="separate"/>
      </w:r>
      <w:r w:rsidR="00AD3561">
        <w:rPr>
          <w:noProof/>
        </w:rPr>
        <w:t>4</w:t>
      </w:r>
      <w:r w:rsidR="00AD3561" w:rsidRPr="000E4D37">
        <w:rPr>
          <w:noProof/>
        </w:rPr>
        <w:t>.</w:t>
      </w:r>
      <w:r w:rsidR="00AD3561">
        <w:rPr>
          <w:noProof/>
        </w:rPr>
        <w:t>20</w:t>
      </w:r>
      <w:r>
        <w:rPr>
          <w:lang w:eastAsia="en-US"/>
        </w:rPr>
        <w:fldChar w:fldCharType="end"/>
      </w:r>
      <w:r>
        <w:rPr>
          <w:lang w:eastAsia="en-US"/>
        </w:rPr>
        <w:t>). The weighted average NLPD improved in about 71 per cent of buildings and increased in the remaining 29 per cent.</w:t>
      </w:r>
    </w:p>
    <w:p w14:paraId="6572BD82" w14:textId="3EF34B50" w:rsidR="00ED0E85" w:rsidRPr="00695C93" w:rsidRDefault="00ED0E85" w:rsidP="00ED0E85">
      <w:pPr>
        <w:pStyle w:val="Caption"/>
      </w:pPr>
      <w:r w:rsidRPr="000E4D37">
        <w:fldChar w:fldCharType="begin"/>
      </w:r>
      <w:r w:rsidRPr="000E4D37">
        <w:instrText xml:space="preserve"> IF 1 = 1 "</w:instrText>
      </w:r>
      <w:r w:rsidRPr="000E4D37">
        <w:fldChar w:fldCharType="begin"/>
      </w:r>
      <w:r w:rsidRPr="000E4D37">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0E4D37">
        <w:instrText xml:space="preserve"> = 0 "</w:instrText>
      </w:r>
      <w:r w:rsidRPr="000E4D37">
        <w:fldChar w:fldCharType="begin"/>
      </w:r>
      <w:r w:rsidRPr="000E4D37">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0E4D37">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0E4D37">
        <w:instrText xml:space="preserve">." </w:instrText>
      </w:r>
      <w:r w:rsidRPr="000E4D37">
        <w:fldChar w:fldCharType="separate"/>
      </w:r>
      <w:r w:rsidR="00AD3561">
        <w:rPr>
          <w:noProof/>
        </w:rPr>
        <w:instrText>4</w:instrText>
      </w:r>
      <w:r w:rsidR="00AD3561" w:rsidRPr="000E4D37">
        <w:rPr>
          <w:noProof/>
        </w:rPr>
        <w:instrText>.</w:instrText>
      </w:r>
      <w:r w:rsidRPr="000E4D37">
        <w:fldChar w:fldCharType="end"/>
      </w:r>
      <w:r w:rsidRPr="000E4D37">
        <w:instrText>" "</w:instrText>
      </w:r>
      <w:r w:rsidR="004550CB">
        <w:rPr>
          <w:noProof/>
        </w:rPr>
        <w:fldChar w:fldCharType="begin"/>
      </w:r>
      <w:r w:rsidR="004550CB">
        <w:rPr>
          <w:noProof/>
        </w:rPr>
        <w:instrText xml:space="preserve"> STYLEREF "Heading 6" \l \n </w:instrText>
      </w:r>
      <w:r w:rsidR="004550CB">
        <w:rPr>
          <w:noProof/>
        </w:rPr>
        <w:fldChar w:fldCharType="separate"/>
      </w:r>
      <w:r w:rsidRPr="000E4D37">
        <w:rPr>
          <w:noProof/>
        </w:rPr>
        <w:instrText>A</w:instrText>
      </w:r>
      <w:r w:rsidR="004550CB">
        <w:rPr>
          <w:noProof/>
        </w:rPr>
        <w:fldChar w:fldCharType="end"/>
      </w:r>
      <w:r w:rsidRPr="000E4D37">
        <w:instrText xml:space="preserve">." </w:instrText>
      </w:r>
      <w:r w:rsidRPr="000E4D37">
        <w:fldChar w:fldCharType="separate"/>
      </w:r>
      <w:r w:rsidR="00C353B5">
        <w:rPr>
          <w:noProof/>
        </w:rPr>
        <w:instrText>4</w:instrText>
      </w:r>
      <w:r w:rsidR="00C353B5" w:rsidRPr="000E4D37">
        <w:rPr>
          <w:noProof/>
        </w:rPr>
        <w:instrText>.</w:instrText>
      </w:r>
      <w:r w:rsidRPr="000E4D37">
        <w:fldChar w:fldCharType="end"/>
      </w:r>
      <w:r w:rsidRPr="000E4D37">
        <w:fldChar w:fldCharType="begin"/>
      </w:r>
      <w:r w:rsidRPr="000E4D37">
        <w:instrText xml:space="preserve"> SEQ Item \* ARABIC \s </w:instrText>
      </w:r>
      <w:r w:rsidRPr="000E4D37">
        <w:fldChar w:fldCharType="begin"/>
      </w:r>
      <w:r w:rsidRPr="000E4D37">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0E4D37">
        <w:instrText xml:space="preserve"> = 0 "</w:instrText>
      </w:r>
      <w:r w:rsidRPr="000E4D37">
        <w:fldChar w:fldCharType="begin"/>
      </w:r>
      <w:r w:rsidRPr="000E4D37">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0E4D37">
        <w:instrText xml:space="preserve"> = 0 "" "1" </w:instrText>
      </w:r>
      <w:r w:rsidRPr="000E4D37">
        <w:fldChar w:fldCharType="separate"/>
      </w:r>
      <w:r w:rsidR="00C353B5" w:rsidRPr="000E4D37">
        <w:rPr>
          <w:noProof/>
        </w:rPr>
        <w:instrText>1</w:instrText>
      </w:r>
      <w:r w:rsidRPr="000E4D37">
        <w:fldChar w:fldCharType="end"/>
      </w:r>
      <w:r w:rsidRPr="000E4D37">
        <w:instrText xml:space="preserve">" "6" </w:instrText>
      </w:r>
      <w:r w:rsidRPr="000E4D37">
        <w:fldChar w:fldCharType="separate"/>
      </w:r>
      <w:r w:rsidR="00C353B5" w:rsidRPr="000E4D37">
        <w:rPr>
          <w:noProof/>
        </w:rPr>
        <w:instrText>1</w:instrText>
      </w:r>
      <w:r w:rsidRPr="000E4D37">
        <w:fldChar w:fldCharType="end"/>
      </w:r>
      <w:r w:rsidRPr="000E4D37">
        <w:instrText xml:space="preserve"> </w:instrText>
      </w:r>
      <w:r w:rsidRPr="000E4D37">
        <w:fldChar w:fldCharType="separate"/>
      </w:r>
      <w:r w:rsidR="00AD3561">
        <w:rPr>
          <w:noProof/>
        </w:rPr>
        <w:instrText>20</w:instrText>
      </w:r>
      <w:r w:rsidRPr="000E4D37">
        <w:fldChar w:fldCharType="end"/>
      </w:r>
      <w:r w:rsidRPr="000E4D37">
        <w:instrText xml:space="preserve">" "" </w:instrText>
      </w:r>
      <w:r w:rsidRPr="000E4D37">
        <w:fldChar w:fldCharType="separate"/>
      </w:r>
      <w:bookmarkStart w:id="2605" w:name="_Caption3089"/>
      <w:bookmarkStart w:id="2606" w:name="_Caption3067"/>
      <w:bookmarkStart w:id="2607" w:name="_Caption5738"/>
      <w:bookmarkStart w:id="2608" w:name="_Caption3984"/>
      <w:bookmarkStart w:id="2609" w:name="_Caption6513"/>
      <w:bookmarkStart w:id="2610" w:name="_Caption6891"/>
      <w:bookmarkStart w:id="2611" w:name="_Caption1057"/>
      <w:bookmarkStart w:id="2612" w:name="_Caption5944"/>
      <w:bookmarkStart w:id="2613" w:name="_Caption3304"/>
      <w:bookmarkStart w:id="2614" w:name="_Caption6988"/>
      <w:bookmarkStart w:id="2615" w:name="_Caption6367"/>
      <w:bookmarkStart w:id="2616" w:name="_Caption3143"/>
      <w:bookmarkStart w:id="2617" w:name="_Caption1199"/>
      <w:bookmarkStart w:id="2618" w:name="_Caption6651"/>
      <w:bookmarkStart w:id="2619" w:name="_Caption7509"/>
      <w:bookmarkStart w:id="2620" w:name="_Caption5524"/>
      <w:bookmarkStart w:id="2621" w:name="_Caption8060"/>
      <w:bookmarkStart w:id="2622" w:name="_Caption8340"/>
      <w:bookmarkStart w:id="2623" w:name="_Caption5335"/>
      <w:bookmarkStart w:id="2624" w:name="_Caption8513"/>
      <w:bookmarkStart w:id="2625" w:name="_Caption8056"/>
      <w:bookmarkStart w:id="2626" w:name="_Caption7193"/>
      <w:bookmarkStart w:id="2627" w:name="_Caption8055"/>
      <w:bookmarkStart w:id="2628" w:name="_Caption6785"/>
      <w:bookmarkStart w:id="2629" w:name="_Caption8266"/>
      <w:bookmarkStart w:id="2630" w:name="_Caption9898"/>
      <w:bookmarkStart w:id="2631" w:name="_Caption7728"/>
      <w:bookmarkStart w:id="2632" w:name="_Caption5264"/>
      <w:bookmarkStart w:id="2633" w:name="_Caption6969"/>
      <w:bookmarkStart w:id="2634" w:name="_Caption7321"/>
      <w:bookmarkStart w:id="2635" w:name="_Caption5219"/>
      <w:bookmarkStart w:id="2636" w:name="_Caption1220"/>
      <w:bookmarkStart w:id="2637" w:name="_Caption1898"/>
      <w:bookmarkStart w:id="2638" w:name="_Caption7870"/>
      <w:bookmarkStart w:id="2639" w:name="_Caption2753"/>
      <w:bookmarkStart w:id="2640" w:name="_Caption9719"/>
      <w:bookmarkStart w:id="2641" w:name="_Caption5449"/>
      <w:bookmarkStart w:id="2642" w:name="_Caption0348"/>
      <w:bookmarkStart w:id="2643" w:name="_Caption4671"/>
      <w:bookmarkStart w:id="2644" w:name="_Caption7063"/>
      <w:bookmarkStart w:id="2645" w:name="_Caption3551"/>
      <w:bookmarkStart w:id="2646" w:name="_Caption0003"/>
      <w:bookmarkStart w:id="2647" w:name="_Caption3448"/>
      <w:bookmarkStart w:id="2648" w:name="_Caption2856"/>
      <w:bookmarkStart w:id="2649" w:name="_Caption0551"/>
      <w:bookmarkStart w:id="2650" w:name="_Caption5976"/>
      <w:bookmarkStart w:id="2651" w:name="_Caption3191"/>
      <w:bookmarkStart w:id="2652" w:name="_Caption7348"/>
      <w:bookmarkStart w:id="2653" w:name="_Caption8402"/>
      <w:bookmarkStart w:id="2654" w:name="_Toc19275589"/>
      <w:bookmarkStart w:id="2655" w:name="_Toc19276199"/>
      <w:bookmarkStart w:id="2656" w:name="_Toc19280198"/>
      <w:r w:rsidR="00C353B5">
        <w:rPr>
          <w:noProof/>
        </w:rPr>
        <w:t>4</w:t>
      </w:r>
      <w:r w:rsidR="00C353B5" w:rsidRPr="000E4D37">
        <w:rPr>
          <w:noProof/>
        </w:rPr>
        <w:t>.</w:t>
      </w:r>
      <w:r w:rsidR="00C353B5">
        <w:rPr>
          <w:noProof/>
        </w:rPr>
        <w:t>20</w:t>
      </w:r>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r w:rsidRPr="000E4D37">
        <w:fldChar w:fldCharType="end"/>
      </w:r>
      <w:r w:rsidRPr="000E4D37">
        <w:tab/>
        <w:t>Change in weighted average NLPD by building — frequency distribution</w:t>
      </w:r>
      <w:bookmarkEnd w:id="2654"/>
      <w:bookmarkEnd w:id="2655"/>
      <w:bookmarkEnd w:id="2656"/>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25307FA3" w14:textId="77777777" w:rsidTr="00ED0E85">
        <w:trPr>
          <w:cantSplit/>
        </w:trPr>
        <w:tc>
          <w:tcPr>
            <w:tcW w:w="7938" w:type="dxa"/>
            <w:shd w:val="clear" w:color="auto" w:fill="E9E8E5" w:themeFill="background2"/>
          </w:tcPr>
          <w:p w14:paraId="7DDD130B" w14:textId="77777777" w:rsidR="00EE1042" w:rsidRDefault="00EE1042" w:rsidP="00D84794">
            <w:pPr>
              <w:pStyle w:val="Chart"/>
              <w:jc w:val="center"/>
            </w:pPr>
            <w:r w:rsidRPr="00EE1042">
              <w:rPr>
                <w:noProof/>
                <w:lang w:eastAsia="en-AU"/>
              </w:rPr>
              <w:drawing>
                <wp:inline distT="0" distB="0" distL="0" distR="0" wp14:anchorId="664BD913" wp14:editId="06D390BD">
                  <wp:extent cx="4871085" cy="25273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71085" cy="2527300"/>
                          </a:xfrm>
                          <a:prstGeom prst="rect">
                            <a:avLst/>
                          </a:prstGeom>
                          <a:noFill/>
                          <a:ln>
                            <a:noFill/>
                          </a:ln>
                        </pic:spPr>
                      </pic:pic>
                    </a:graphicData>
                  </a:graphic>
                </wp:inline>
              </w:drawing>
            </w:r>
          </w:p>
        </w:tc>
      </w:tr>
    </w:tbl>
    <w:p w14:paraId="509D66C2" w14:textId="77777777" w:rsidR="00ED0E85" w:rsidRDefault="00ED0E85" w:rsidP="00ED0E85">
      <w:pPr>
        <w:pStyle w:val="Source"/>
      </w:pPr>
      <w:r>
        <w:rPr>
          <w:i/>
        </w:rPr>
        <w:t>Data source</w:t>
      </w:r>
      <w:r w:rsidRPr="00A67576">
        <w:rPr>
          <w:i/>
        </w:rPr>
        <w:t>:</w:t>
      </w:r>
      <w:r>
        <w:t xml:space="preserve"> CBD database.</w:t>
      </w:r>
    </w:p>
    <w:p w14:paraId="417BF273" w14:textId="5C3BD000" w:rsidR="00ED0E85" w:rsidRPr="00082878" w:rsidRDefault="00ED0E85" w:rsidP="00ED0E85">
      <w:pPr>
        <w:pStyle w:val="BodyText"/>
      </w:pPr>
      <w:r>
        <w:t>The level of control has also improved over time, in terms of lights switching off when not needed (chart </w:t>
      </w:r>
      <w:r>
        <w:rPr>
          <w:noProof/>
        </w:rPr>
        <w:fldChar w:fldCharType="begin"/>
      </w:r>
      <w:r>
        <w:rPr>
          <w:noProof/>
        </w:rPr>
        <w:instrText xml:space="preserve"> REF _Caption9945 </w:instrText>
      </w:r>
      <w:r>
        <w:rPr>
          <w:noProof/>
        </w:rPr>
        <w:fldChar w:fldCharType="separate"/>
      </w:r>
      <w:r w:rsidR="00AD3561">
        <w:rPr>
          <w:noProof/>
        </w:rPr>
        <w:t>4</w:t>
      </w:r>
      <w:r w:rsidR="00AD3561" w:rsidRPr="00695C93">
        <w:rPr>
          <w:noProof/>
        </w:rPr>
        <w:t>.</w:t>
      </w:r>
      <w:r w:rsidR="00AD3561">
        <w:rPr>
          <w:noProof/>
        </w:rPr>
        <w:t>21</w:t>
      </w:r>
      <w:r>
        <w:rPr>
          <w:noProof/>
        </w:rPr>
        <w:fldChar w:fldCharType="end"/>
      </w:r>
      <w:r>
        <w:t xml:space="preserve">). </w:t>
      </w:r>
    </w:p>
    <w:p w14:paraId="4B10F4AD" w14:textId="5E0AD520"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4</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4</w:instrText>
      </w:r>
      <w:r>
        <w:rPr>
          <w:noProof/>
        </w:rPr>
        <w:fldChar w:fldCharType="end"/>
      </w:r>
      <w:r w:rsidRPr="00695C93">
        <w:instrText xml:space="preserve">." </w:instrText>
      </w:r>
      <w:r w:rsidRPr="00695C93">
        <w:fldChar w:fldCharType="separate"/>
      </w:r>
      <w:r w:rsidR="00AD3561">
        <w:rPr>
          <w:noProof/>
        </w:rPr>
        <w:instrText>4</w:instrText>
      </w:r>
      <w:r w:rsidR="00AD3561"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sidR="00C353B5">
        <w:rPr>
          <w:noProof/>
        </w:rPr>
        <w:instrText>4</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4</w:instrText>
      </w:r>
      <w:r>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21</w:instrText>
      </w:r>
      <w:r w:rsidRPr="00695C93">
        <w:fldChar w:fldCharType="end"/>
      </w:r>
      <w:r w:rsidRPr="00695C93">
        <w:instrText xml:space="preserve">" "" </w:instrText>
      </w:r>
      <w:r w:rsidRPr="00695C93">
        <w:fldChar w:fldCharType="separate"/>
      </w:r>
      <w:bookmarkStart w:id="2657" w:name="_Caption8390"/>
      <w:bookmarkStart w:id="2658" w:name="_Caption5789"/>
      <w:bookmarkStart w:id="2659" w:name="_Caption3108"/>
      <w:bookmarkStart w:id="2660" w:name="_Caption3837"/>
      <w:bookmarkStart w:id="2661" w:name="_Caption8877"/>
      <w:bookmarkStart w:id="2662" w:name="_Caption7344"/>
      <w:bookmarkStart w:id="2663" w:name="_Caption6184"/>
      <w:bookmarkStart w:id="2664" w:name="_Caption7933"/>
      <w:bookmarkStart w:id="2665" w:name="_Caption3157"/>
      <w:bookmarkStart w:id="2666" w:name="_Caption4532"/>
      <w:bookmarkStart w:id="2667" w:name="_Caption2989"/>
      <w:bookmarkStart w:id="2668" w:name="_Caption4277"/>
      <w:bookmarkStart w:id="2669" w:name="_Caption3295"/>
      <w:bookmarkStart w:id="2670" w:name="_Caption7292"/>
      <w:bookmarkStart w:id="2671" w:name="_Caption2766"/>
      <w:bookmarkStart w:id="2672" w:name="_Caption1104"/>
      <w:bookmarkStart w:id="2673" w:name="_Caption6432"/>
      <w:bookmarkStart w:id="2674" w:name="_Caption5933"/>
      <w:bookmarkStart w:id="2675" w:name="_Caption1357"/>
      <w:bookmarkStart w:id="2676" w:name="_Caption3747"/>
      <w:bookmarkStart w:id="2677" w:name="_Caption2609"/>
      <w:bookmarkStart w:id="2678" w:name="_Caption2854"/>
      <w:bookmarkStart w:id="2679" w:name="_Caption1237"/>
      <w:bookmarkStart w:id="2680" w:name="_Caption9011"/>
      <w:bookmarkStart w:id="2681" w:name="_Caption0616"/>
      <w:bookmarkStart w:id="2682" w:name="_Caption0031"/>
      <w:bookmarkStart w:id="2683" w:name="_Caption1680"/>
      <w:bookmarkStart w:id="2684" w:name="_Caption8108"/>
      <w:bookmarkStart w:id="2685" w:name="_Caption7566"/>
      <w:bookmarkStart w:id="2686" w:name="_Caption4408"/>
      <w:bookmarkStart w:id="2687" w:name="_Caption9927"/>
      <w:bookmarkStart w:id="2688" w:name="_Caption0882"/>
      <w:bookmarkStart w:id="2689" w:name="_Caption6981"/>
      <w:bookmarkStart w:id="2690" w:name="_Caption5922"/>
      <w:bookmarkStart w:id="2691" w:name="_Caption4656"/>
      <w:bookmarkStart w:id="2692" w:name="_Caption4300"/>
      <w:bookmarkStart w:id="2693" w:name="_Caption4075"/>
      <w:bookmarkStart w:id="2694" w:name="_Caption2685"/>
      <w:bookmarkStart w:id="2695" w:name="_Caption8475"/>
      <w:bookmarkStart w:id="2696" w:name="_Caption2704"/>
      <w:bookmarkStart w:id="2697" w:name="_Caption9212"/>
      <w:bookmarkStart w:id="2698" w:name="_Caption3576"/>
      <w:bookmarkStart w:id="2699" w:name="_Caption9261"/>
      <w:bookmarkStart w:id="2700" w:name="_Caption5574"/>
      <w:bookmarkStart w:id="2701" w:name="_Caption9945"/>
      <w:bookmarkStart w:id="2702" w:name="_Caption0265"/>
      <w:bookmarkStart w:id="2703" w:name="_Caption5731"/>
      <w:bookmarkStart w:id="2704" w:name="_Caption1977"/>
      <w:bookmarkStart w:id="2705" w:name="_Caption5897"/>
      <w:bookmarkStart w:id="2706" w:name="_Caption5565"/>
      <w:bookmarkStart w:id="2707" w:name="_Caption7532"/>
      <w:bookmarkStart w:id="2708" w:name="_Caption8177"/>
      <w:bookmarkStart w:id="2709" w:name="_Caption8120"/>
      <w:bookmarkStart w:id="2710" w:name="_Caption5063"/>
      <w:bookmarkStart w:id="2711" w:name="_Caption6775"/>
      <w:bookmarkStart w:id="2712" w:name="_Caption4106"/>
      <w:bookmarkStart w:id="2713" w:name="_Caption0255"/>
      <w:bookmarkStart w:id="2714" w:name="_Caption8382"/>
      <w:bookmarkStart w:id="2715" w:name="_Caption7479"/>
      <w:bookmarkStart w:id="2716" w:name="_Caption1114"/>
      <w:bookmarkStart w:id="2717" w:name="_Caption5806"/>
      <w:bookmarkStart w:id="2718" w:name="_Caption4450"/>
      <w:bookmarkStart w:id="2719" w:name="_Caption0396"/>
      <w:bookmarkStart w:id="2720" w:name="_Caption6052"/>
      <w:bookmarkStart w:id="2721" w:name="_Caption8690"/>
      <w:bookmarkStart w:id="2722" w:name="_Caption9961"/>
      <w:bookmarkStart w:id="2723" w:name="_Caption9213"/>
      <w:bookmarkStart w:id="2724" w:name="_Caption1112"/>
      <w:bookmarkStart w:id="2725" w:name="_Caption6261"/>
      <w:bookmarkStart w:id="2726" w:name="_Caption3370"/>
      <w:bookmarkStart w:id="2727" w:name="_Caption7132"/>
      <w:bookmarkStart w:id="2728" w:name="_Caption3049"/>
      <w:bookmarkStart w:id="2729" w:name="_Caption0643"/>
      <w:bookmarkStart w:id="2730" w:name="_Caption2481"/>
      <w:bookmarkStart w:id="2731" w:name="_Caption7383"/>
      <w:bookmarkStart w:id="2732" w:name="_Caption0477"/>
      <w:bookmarkStart w:id="2733" w:name="_Caption5459"/>
      <w:bookmarkStart w:id="2734" w:name="_Caption6529"/>
      <w:bookmarkStart w:id="2735" w:name="_Caption9853"/>
      <w:bookmarkStart w:id="2736" w:name="_Caption5197"/>
      <w:bookmarkStart w:id="2737" w:name="_Caption7853"/>
      <w:bookmarkStart w:id="2738" w:name="_Caption0252"/>
      <w:bookmarkStart w:id="2739" w:name="_Caption4076"/>
      <w:bookmarkStart w:id="2740" w:name="_Caption8473"/>
      <w:bookmarkStart w:id="2741" w:name="_Caption8145"/>
      <w:bookmarkStart w:id="2742" w:name="_Caption3329"/>
      <w:bookmarkStart w:id="2743" w:name="_Caption8397"/>
      <w:bookmarkStart w:id="2744" w:name="_Toc19275590"/>
      <w:bookmarkStart w:id="2745" w:name="_Toc19276200"/>
      <w:bookmarkStart w:id="2746" w:name="_Toc19280199"/>
      <w:r w:rsidR="00C353B5">
        <w:rPr>
          <w:noProof/>
        </w:rPr>
        <w:t>4</w:t>
      </w:r>
      <w:r w:rsidR="00C353B5" w:rsidRPr="00695C93">
        <w:rPr>
          <w:noProof/>
        </w:rPr>
        <w:t>.</w:t>
      </w:r>
      <w:r w:rsidR="00C353B5">
        <w:rPr>
          <w:noProof/>
        </w:rPr>
        <w:t>21</w:t>
      </w:r>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r w:rsidRPr="00695C93">
        <w:fldChar w:fldCharType="end"/>
      </w:r>
      <w:r w:rsidRPr="00695C93">
        <w:tab/>
      </w:r>
      <w:r>
        <w:t>Share of spaces by control capacity</w:t>
      </w:r>
      <w:bookmarkEnd w:id="2744"/>
      <w:bookmarkEnd w:id="2745"/>
      <w:bookmarkEnd w:id="2746"/>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3B9E81E4" w14:textId="77777777" w:rsidTr="00ED0E85">
        <w:trPr>
          <w:cantSplit/>
        </w:trPr>
        <w:tc>
          <w:tcPr>
            <w:tcW w:w="7938" w:type="dxa"/>
            <w:shd w:val="clear" w:color="auto" w:fill="E9E8E5" w:themeFill="background2"/>
          </w:tcPr>
          <w:p w14:paraId="648774F3" w14:textId="77777777" w:rsidR="00ED0E85" w:rsidRDefault="00ED0E85" w:rsidP="00ED0E85">
            <w:pPr>
              <w:pStyle w:val="Chart"/>
              <w:jc w:val="center"/>
            </w:pPr>
            <w:r w:rsidRPr="0096547B">
              <w:rPr>
                <w:noProof/>
                <w:lang w:eastAsia="en-AU"/>
              </w:rPr>
              <w:drawing>
                <wp:inline distT="0" distB="0" distL="0" distR="0" wp14:anchorId="7D64462C" wp14:editId="0AE509F0">
                  <wp:extent cx="4924425" cy="250190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0">
                            <a:extLst>
                              <a:ext uri="{28A0092B-C50C-407E-A947-70E740481C1C}">
                                <a14:useLocalDpi xmlns:a14="http://schemas.microsoft.com/office/drawing/2010/main" val="0"/>
                              </a:ext>
                            </a:extLst>
                          </a:blip>
                          <a:srcRect r="1836"/>
                          <a:stretch/>
                        </pic:blipFill>
                        <pic:spPr bwMode="auto">
                          <a:xfrm>
                            <a:off x="0" y="0"/>
                            <a:ext cx="4924425" cy="25019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AE9EC15" w14:textId="77777777" w:rsidR="00ED0E85" w:rsidRDefault="00ED0E85" w:rsidP="00ED0E85">
      <w:pPr>
        <w:pStyle w:val="Source"/>
      </w:pPr>
      <w:r>
        <w:rPr>
          <w:i/>
        </w:rPr>
        <w:t>Data source</w:t>
      </w:r>
      <w:r w:rsidRPr="00A67576">
        <w:rPr>
          <w:i/>
        </w:rPr>
        <w:t>:</w:t>
      </w:r>
      <w:r>
        <w:t xml:space="preserve"> CBD dataset; CIE analysis.</w:t>
      </w:r>
    </w:p>
    <w:p w14:paraId="0B12BCD2" w14:textId="77777777" w:rsidR="00ED0E85" w:rsidRDefault="00ED0E85" w:rsidP="00ED0E85">
      <w:pPr>
        <w:pStyle w:val="BodyText"/>
      </w:pPr>
      <w:r>
        <w:t>Most stakeholders consulted considered that the changes in lighting performance have reflected the adoption of LEDs and have not been attributable to the CBD Program.</w:t>
      </w:r>
    </w:p>
    <w:p w14:paraId="68E279F0" w14:textId="77777777" w:rsidR="00ED0E85" w:rsidRDefault="00ED0E85" w:rsidP="00ED0E85">
      <w:pPr>
        <w:pStyle w:val="BodyText"/>
      </w:pPr>
      <w:r>
        <w:t xml:space="preserve">Furthermore, the impacts of reducing NLPD on actual energy consumption and improved lighting control is not clear from the data available. Unlike a NABERS rating, the TLA is not based on actual performance. </w:t>
      </w:r>
    </w:p>
    <w:p w14:paraId="536CC820" w14:textId="77777777" w:rsidR="00ED0E85" w:rsidRDefault="00ED0E85" w:rsidP="00ED0E85">
      <w:pPr>
        <w:pStyle w:val="BodyText"/>
      </w:pPr>
      <w:r>
        <w:t>To link NLPD to a measure of actual energy performance, we have matched the NLPD for functional spaces (from the CBD database) with the tenant energy intensity (from the NABERS database for those tenants that have an office tenancy rating). Note that the measure of tenant energy intensity would include energy consumption unrelated to lighting, such as plug</w:t>
      </w:r>
      <w:r>
        <w:noBreakHyphen/>
        <w:t>in equipment (for example, computers) and in some cases tenant server rooms and data centres.</w:t>
      </w:r>
    </w:p>
    <w:p w14:paraId="0F464899" w14:textId="0B3732E3" w:rsidR="00ED0E85" w:rsidRDefault="00ED0E85" w:rsidP="00ED0E85">
      <w:pPr>
        <w:pStyle w:val="BodyText"/>
      </w:pPr>
      <w:r>
        <w:t>Nevertheless, based on this relatively small sample the relationship between NLPD and tenant energy intensity is relatively weak (chart </w:t>
      </w:r>
      <w:r w:rsidR="004550CB">
        <w:rPr>
          <w:noProof/>
        </w:rPr>
        <w:fldChar w:fldCharType="begin"/>
      </w:r>
      <w:r w:rsidR="004550CB">
        <w:rPr>
          <w:noProof/>
        </w:rPr>
        <w:instrText xml:space="preserve"> REF _Caption1350 </w:instrText>
      </w:r>
      <w:r w:rsidR="004550CB">
        <w:rPr>
          <w:noProof/>
        </w:rPr>
        <w:fldChar w:fldCharType="separate"/>
      </w:r>
      <w:r w:rsidR="00AD3561">
        <w:rPr>
          <w:noProof/>
        </w:rPr>
        <w:t>4</w:t>
      </w:r>
      <w:r w:rsidR="00AD3561" w:rsidRPr="00695C93">
        <w:rPr>
          <w:noProof/>
        </w:rPr>
        <w:t>.</w:t>
      </w:r>
      <w:r w:rsidR="00AD3561">
        <w:rPr>
          <w:noProof/>
        </w:rPr>
        <w:t>22</w:t>
      </w:r>
      <w:r w:rsidR="004550CB">
        <w:rPr>
          <w:noProof/>
        </w:rPr>
        <w:fldChar w:fldCharType="end"/>
      </w:r>
      <w:r>
        <w:t>). This suggests that the TLA is unlikely to be a good indicator of tenant energy bills.</w:t>
      </w:r>
    </w:p>
    <w:p w14:paraId="165BC850" w14:textId="3C1BD186"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w:instrText>
      </w:r>
      <w:r w:rsidRPr="00695C93">
        <w:fldChar w:fldCharType="separate"/>
      </w:r>
      <w:r w:rsidR="00AD3561">
        <w:rPr>
          <w:noProof/>
        </w:rPr>
        <w:instrText>4</w:instrText>
      </w:r>
      <w:r w:rsidR="00AD3561"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rsidRPr="00695C93">
        <w:instrText xml:space="preserve">." </w:instrText>
      </w:r>
      <w:r w:rsidRPr="00695C93">
        <w:fldChar w:fldCharType="separate"/>
      </w:r>
      <w:r w:rsidR="00C353B5">
        <w:rPr>
          <w:noProof/>
        </w:rPr>
        <w:instrText>4</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4</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22</w:instrText>
      </w:r>
      <w:r w:rsidRPr="00695C93">
        <w:fldChar w:fldCharType="end"/>
      </w:r>
      <w:r w:rsidRPr="00695C93">
        <w:instrText xml:space="preserve">" "" </w:instrText>
      </w:r>
      <w:r w:rsidRPr="00695C93">
        <w:fldChar w:fldCharType="separate"/>
      </w:r>
      <w:bookmarkStart w:id="2747" w:name="_Caption8496"/>
      <w:bookmarkStart w:id="2748" w:name="_Caption6647"/>
      <w:bookmarkStart w:id="2749" w:name="_Caption8342"/>
      <w:bookmarkStart w:id="2750" w:name="_Caption9590"/>
      <w:bookmarkStart w:id="2751" w:name="_Caption1614"/>
      <w:bookmarkStart w:id="2752" w:name="_Caption4128"/>
      <w:bookmarkStart w:id="2753" w:name="_Caption6626"/>
      <w:bookmarkStart w:id="2754" w:name="_Caption3999"/>
      <w:bookmarkStart w:id="2755" w:name="_Caption7374"/>
      <w:bookmarkStart w:id="2756" w:name="_Caption0112"/>
      <w:bookmarkStart w:id="2757" w:name="_Caption2565"/>
      <w:bookmarkStart w:id="2758" w:name="_Caption3530"/>
      <w:bookmarkStart w:id="2759" w:name="_Caption8835"/>
      <w:bookmarkStart w:id="2760" w:name="_Caption0283"/>
      <w:bookmarkStart w:id="2761" w:name="_Caption8534"/>
      <w:bookmarkStart w:id="2762" w:name="_Caption3740"/>
      <w:bookmarkStart w:id="2763" w:name="_Caption6285"/>
      <w:bookmarkStart w:id="2764" w:name="_Caption6548"/>
      <w:bookmarkStart w:id="2765" w:name="_Caption8153"/>
      <w:bookmarkStart w:id="2766" w:name="_Caption2999"/>
      <w:bookmarkStart w:id="2767" w:name="_Caption1607"/>
      <w:bookmarkStart w:id="2768" w:name="_Caption3348"/>
      <w:bookmarkStart w:id="2769" w:name="_Caption1771"/>
      <w:bookmarkStart w:id="2770" w:name="_Caption8451"/>
      <w:bookmarkStart w:id="2771" w:name="_Caption0042"/>
      <w:bookmarkStart w:id="2772" w:name="_Caption3729"/>
      <w:bookmarkStart w:id="2773" w:name="_Caption7168"/>
      <w:bookmarkStart w:id="2774" w:name="_Caption2233"/>
      <w:bookmarkStart w:id="2775" w:name="_Caption9519"/>
      <w:bookmarkStart w:id="2776" w:name="_Caption1350"/>
      <w:bookmarkStart w:id="2777" w:name="_Caption2483"/>
      <w:bookmarkStart w:id="2778" w:name="_Caption4129"/>
      <w:bookmarkStart w:id="2779" w:name="_Caption5793"/>
      <w:bookmarkStart w:id="2780" w:name="_Caption6295"/>
      <w:bookmarkStart w:id="2781" w:name="_Caption1191"/>
      <w:bookmarkStart w:id="2782" w:name="_Caption6253"/>
      <w:bookmarkStart w:id="2783" w:name="_Caption7358"/>
      <w:bookmarkStart w:id="2784" w:name="_Caption2161"/>
      <w:bookmarkStart w:id="2785" w:name="_Caption7531"/>
      <w:bookmarkStart w:id="2786" w:name="_Caption9302"/>
      <w:bookmarkStart w:id="2787" w:name="_Caption0012"/>
      <w:bookmarkStart w:id="2788" w:name="_Caption5016"/>
      <w:bookmarkStart w:id="2789" w:name="_Caption0774"/>
      <w:bookmarkStart w:id="2790" w:name="_Caption3808"/>
      <w:bookmarkStart w:id="2791" w:name="_Caption8159"/>
      <w:bookmarkStart w:id="2792" w:name="_Caption0639"/>
      <w:bookmarkStart w:id="2793" w:name="_Caption3608"/>
      <w:bookmarkStart w:id="2794" w:name="_Caption1077"/>
      <w:bookmarkStart w:id="2795" w:name="_Caption5942"/>
      <w:bookmarkStart w:id="2796" w:name="_Caption0365"/>
      <w:bookmarkStart w:id="2797" w:name="_Caption6795"/>
      <w:bookmarkStart w:id="2798" w:name="_Toc19275591"/>
      <w:bookmarkStart w:id="2799" w:name="_Toc19276201"/>
      <w:bookmarkStart w:id="2800" w:name="_Toc19280200"/>
      <w:r w:rsidR="00C353B5">
        <w:rPr>
          <w:noProof/>
        </w:rPr>
        <w:t>4</w:t>
      </w:r>
      <w:r w:rsidR="00C353B5" w:rsidRPr="00695C93">
        <w:rPr>
          <w:noProof/>
        </w:rPr>
        <w:t>.</w:t>
      </w:r>
      <w:r w:rsidR="00C353B5">
        <w:rPr>
          <w:noProof/>
        </w:rPr>
        <w:t>22</w:t>
      </w:r>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r w:rsidRPr="00695C93">
        <w:fldChar w:fldCharType="end"/>
      </w:r>
      <w:r w:rsidRPr="00695C93">
        <w:tab/>
      </w:r>
      <w:r>
        <w:t>Relationship between net lighting power density and energy intensity</w:t>
      </w:r>
      <w:bookmarkEnd w:id="2798"/>
      <w:bookmarkEnd w:id="2799"/>
      <w:bookmarkEnd w:id="2800"/>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25C659BF" w14:textId="77777777" w:rsidTr="00ED0E85">
        <w:trPr>
          <w:cantSplit/>
        </w:trPr>
        <w:tc>
          <w:tcPr>
            <w:tcW w:w="7938" w:type="dxa"/>
            <w:shd w:val="clear" w:color="auto" w:fill="E9E8E5" w:themeFill="background2"/>
          </w:tcPr>
          <w:p w14:paraId="5A20576A" w14:textId="77777777" w:rsidR="00ED0E85" w:rsidRDefault="00ED0E85" w:rsidP="00ED0E85">
            <w:pPr>
              <w:pStyle w:val="Chart"/>
              <w:spacing w:after="120"/>
            </w:pPr>
            <w:r w:rsidRPr="008E11DC">
              <w:rPr>
                <w:noProof/>
                <w:lang w:eastAsia="en-AU"/>
              </w:rPr>
              <w:drawing>
                <wp:inline distT="0" distB="0" distL="0" distR="0" wp14:anchorId="0FBAEAB9" wp14:editId="10CB66F8">
                  <wp:extent cx="5040630" cy="242506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40630" cy="2425065"/>
                          </a:xfrm>
                          <a:prstGeom prst="rect">
                            <a:avLst/>
                          </a:prstGeom>
                          <a:noFill/>
                          <a:ln>
                            <a:noFill/>
                          </a:ln>
                        </pic:spPr>
                      </pic:pic>
                    </a:graphicData>
                  </a:graphic>
                </wp:inline>
              </w:drawing>
            </w:r>
          </w:p>
        </w:tc>
      </w:tr>
    </w:tbl>
    <w:p w14:paraId="456DBEDE" w14:textId="77777777" w:rsidR="00ED0E85" w:rsidRPr="009253DC" w:rsidRDefault="00ED0E85" w:rsidP="00ED0E85">
      <w:pPr>
        <w:pStyle w:val="Source"/>
        <w:rPr>
          <w:iCs/>
        </w:rPr>
      </w:pPr>
      <w:r w:rsidRPr="009253DC">
        <w:rPr>
          <w:iCs/>
        </w:rPr>
        <w:t xml:space="preserve">Note: </w:t>
      </w:r>
      <w:r>
        <w:t>The measure of tenant energy intensity would include energy consumption unrelated to lighting, such as plug</w:t>
      </w:r>
      <w:r>
        <w:noBreakHyphen/>
        <w:t>in equipment (for example, computers) and in some cases tenant server rooms and data centres.</w:t>
      </w:r>
    </w:p>
    <w:p w14:paraId="1E401342" w14:textId="77777777" w:rsidR="00ED0E85" w:rsidRDefault="00ED0E85" w:rsidP="00ED0E85">
      <w:pPr>
        <w:pStyle w:val="Source"/>
      </w:pPr>
      <w:r>
        <w:rPr>
          <w:i/>
        </w:rPr>
        <w:t>Data source</w:t>
      </w:r>
      <w:r w:rsidRPr="00A67576">
        <w:rPr>
          <w:i/>
        </w:rPr>
        <w:t>:</w:t>
      </w:r>
      <w:r>
        <w:t xml:space="preserve"> CBD database, NABERS database, The CIE.</w:t>
      </w:r>
    </w:p>
    <w:p w14:paraId="1B2F7ED4" w14:textId="77777777" w:rsidR="00ED0E85" w:rsidRDefault="00ED0E85" w:rsidP="00ED0E85">
      <w:pPr>
        <w:pStyle w:val="BodyText"/>
      </w:pPr>
    </w:p>
    <w:p w14:paraId="0821592B" w14:textId="77777777" w:rsidR="00ED0E85" w:rsidRDefault="00ED0E85" w:rsidP="00ED0E85">
      <w:pPr>
        <w:pStyle w:val="BodyText"/>
      </w:pPr>
    </w:p>
    <w:p w14:paraId="02668B69" w14:textId="77777777" w:rsidR="00ED0E85" w:rsidRDefault="00ED0E85" w:rsidP="00ED0E85">
      <w:pPr>
        <w:pStyle w:val="BodyText"/>
      </w:pPr>
    </w:p>
    <w:p w14:paraId="32FEE4E1" w14:textId="77777777" w:rsidR="00ED0E85" w:rsidRPr="00940594" w:rsidRDefault="00ED0E85" w:rsidP="00ED0E85">
      <w:pPr>
        <w:pStyle w:val="Heading1"/>
        <w:numPr>
          <w:ilvl w:val="0"/>
          <w:numId w:val="5"/>
        </w:numPr>
      </w:pPr>
      <w:bookmarkStart w:id="2801" w:name="_Toc19275507"/>
      <w:bookmarkStart w:id="2802" w:name="_Toc19276117"/>
      <w:bookmarkStart w:id="2803" w:name="_Toc19280116"/>
      <w:r w:rsidRPr="00940594">
        <w:t>Cost-benefit analysis of existing program</w:t>
      </w:r>
      <w:bookmarkEnd w:id="2801"/>
      <w:bookmarkEnd w:id="2802"/>
      <w:bookmarkEnd w:id="2803"/>
    </w:p>
    <w:p w14:paraId="779F6C3F" w14:textId="77777777" w:rsidR="00ED0E85" w:rsidRDefault="00ED0E85" w:rsidP="00ED0E85">
      <w:pPr>
        <w:pStyle w:val="Heading2"/>
        <w:numPr>
          <w:ilvl w:val="1"/>
          <w:numId w:val="5"/>
        </w:numPr>
      </w:pPr>
      <w:bookmarkStart w:id="2804" w:name="_Toc19275508"/>
      <w:bookmarkStart w:id="2805" w:name="_Toc19276118"/>
      <w:bookmarkStart w:id="2806" w:name="_Toc19280117"/>
      <w:r>
        <w:t>Key findings</w:t>
      </w:r>
      <w:bookmarkEnd w:id="2804"/>
      <w:bookmarkEnd w:id="2805"/>
      <w:bookmarkEnd w:id="2806"/>
    </w:p>
    <w:p w14:paraId="3A089BEE" w14:textId="77777777" w:rsidR="00ED0E85" w:rsidRDefault="00ED0E85" w:rsidP="00ED0E85">
      <w:pPr>
        <w:pStyle w:val="BodyText"/>
      </w:pPr>
      <w:r>
        <w:t>Cost-benefit analysis (CBA) is a framework for systematically weighing up the costs and benefits of government policies and programs discussed in the previous chapter. This provides insights as to whether the CBD Program is a cost</w:t>
      </w:r>
      <w:r>
        <w:noBreakHyphen/>
        <w:t>effective approach to achieve energy efficiency outcomes (as required by the Terms of Reference).</w:t>
      </w:r>
    </w:p>
    <w:p w14:paraId="7752DACA" w14:textId="77777777" w:rsidR="00ED0E85" w:rsidRPr="00783932" w:rsidRDefault="00ED0E85" w:rsidP="00ED0E85">
      <w:pPr>
        <w:pStyle w:val="Heading3"/>
        <w:numPr>
          <w:ilvl w:val="2"/>
          <w:numId w:val="5"/>
        </w:numPr>
      </w:pPr>
      <w:r>
        <w:t>Net benefits to date</w:t>
      </w:r>
    </w:p>
    <w:p w14:paraId="40A075B6" w14:textId="3E9325FC" w:rsidR="00ED0E85" w:rsidRDefault="00ED0E85" w:rsidP="00ED0E85">
      <w:pPr>
        <w:pStyle w:val="BodyText"/>
      </w:pPr>
      <w:r>
        <w:t>We estimate that the CBD Program has delivered net benefits of around $86.09 million in net present value terms based on all energy efficiency upgrades made since the program commenced to 2018</w:t>
      </w:r>
      <w:r>
        <w:noBreakHyphen/>
        <w:t>19 (table </w:t>
      </w:r>
      <w:r>
        <w:rPr>
          <w:noProof/>
        </w:rPr>
        <w:fldChar w:fldCharType="begin"/>
      </w:r>
      <w:r>
        <w:rPr>
          <w:noProof/>
        </w:rPr>
        <w:instrText xml:space="preserve"> REF _Caption5778 </w:instrText>
      </w:r>
      <w:r>
        <w:rPr>
          <w:noProof/>
        </w:rPr>
        <w:fldChar w:fldCharType="separate"/>
      </w:r>
      <w:r w:rsidR="00AD3561">
        <w:rPr>
          <w:noProof/>
        </w:rPr>
        <w:t>5</w:t>
      </w:r>
      <w:r w:rsidR="00AD3561" w:rsidRPr="00695C93">
        <w:rPr>
          <w:noProof/>
        </w:rPr>
        <w:t>.</w:t>
      </w:r>
      <w:r w:rsidR="00AD3561">
        <w:rPr>
          <w:noProof/>
        </w:rPr>
        <w:t>1</w:t>
      </w:r>
      <w:r>
        <w:rPr>
          <w:noProof/>
        </w:rPr>
        <w:fldChar w:fldCharType="end"/>
      </w:r>
      <w:r>
        <w:t>) (see appendix A for CBA results by state). As the energy efficiency upgrades made to date would be expected to continue to deliver energy savings (relative to the baseline) even with not further upgrades, energy saving benefits have been extended over an additional ten-year period.</w:t>
      </w:r>
    </w:p>
    <w:p w14:paraId="66D0AA8C" w14:textId="738C5A6A"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w:instrText>
      </w:r>
      <w:r w:rsidRPr="00695C93">
        <w:fldChar w:fldCharType="separate"/>
      </w:r>
      <w:r w:rsidR="00AD3561">
        <w:rPr>
          <w:noProof/>
        </w:rPr>
        <w:instrText>5</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5</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w:instrText>
      </w:r>
      <w:r w:rsidRPr="00695C93">
        <w:fldChar w:fldCharType="end"/>
      </w:r>
      <w:r w:rsidRPr="00695C93">
        <w:instrText xml:space="preserve">" "" </w:instrText>
      </w:r>
      <w:r w:rsidRPr="00695C93">
        <w:fldChar w:fldCharType="separate"/>
      </w:r>
      <w:bookmarkStart w:id="2807" w:name="_Caption2021"/>
      <w:bookmarkStart w:id="2808" w:name="_Caption6009"/>
      <w:bookmarkStart w:id="2809" w:name="_Caption2641"/>
      <w:bookmarkStart w:id="2810" w:name="_Caption1380"/>
      <w:bookmarkStart w:id="2811" w:name="_Caption3017"/>
      <w:bookmarkStart w:id="2812" w:name="_Caption6291"/>
      <w:bookmarkStart w:id="2813" w:name="_Caption8652"/>
      <w:bookmarkStart w:id="2814" w:name="_Caption4132"/>
      <w:bookmarkStart w:id="2815" w:name="_Caption5345"/>
      <w:bookmarkStart w:id="2816" w:name="_Caption2970"/>
      <w:bookmarkStart w:id="2817" w:name="_Caption1884"/>
      <w:bookmarkStart w:id="2818" w:name="_Caption4355"/>
      <w:bookmarkStart w:id="2819" w:name="_Caption2868"/>
      <w:bookmarkStart w:id="2820" w:name="_Caption5778"/>
      <w:bookmarkStart w:id="2821" w:name="_Caption5894"/>
      <w:bookmarkStart w:id="2822" w:name="_Caption8182"/>
      <w:bookmarkStart w:id="2823" w:name="_Caption8023"/>
      <w:bookmarkStart w:id="2824" w:name="_Caption7219"/>
      <w:bookmarkStart w:id="2825" w:name="_Caption9813"/>
      <w:bookmarkStart w:id="2826" w:name="_Caption5558"/>
      <w:bookmarkStart w:id="2827" w:name="_Caption5728"/>
      <w:bookmarkStart w:id="2828" w:name="_Caption7487"/>
      <w:bookmarkStart w:id="2829" w:name="_Caption6024"/>
      <w:bookmarkStart w:id="2830" w:name="_Caption0771"/>
      <w:bookmarkStart w:id="2831" w:name="_Caption5382"/>
      <w:bookmarkStart w:id="2832" w:name="_Caption2781"/>
      <w:bookmarkStart w:id="2833" w:name="_Caption9664"/>
      <w:bookmarkStart w:id="2834" w:name="_Toc19275592"/>
      <w:bookmarkStart w:id="2835" w:name="_Toc19276202"/>
      <w:bookmarkStart w:id="2836" w:name="_Toc19280201"/>
      <w:r w:rsidR="00C353B5">
        <w:rPr>
          <w:noProof/>
        </w:rPr>
        <w:t>5</w:t>
      </w:r>
      <w:r w:rsidR="00C353B5" w:rsidRPr="00695C93">
        <w:rPr>
          <w:noProof/>
        </w:rPr>
        <w:t>.</w:t>
      </w:r>
      <w:r w:rsidR="00C353B5">
        <w:rPr>
          <w:noProof/>
        </w:rPr>
        <w:t>1</w:t>
      </w:r>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r w:rsidRPr="00695C93">
        <w:fldChar w:fldCharType="end"/>
      </w:r>
      <w:r w:rsidRPr="00695C93">
        <w:tab/>
      </w:r>
      <w:r>
        <w:t>CBD Program to 2018</w:t>
      </w:r>
      <w:r>
        <w:noBreakHyphen/>
        <w:t>19 — cost-benefit analysis</w:t>
      </w:r>
      <w:bookmarkEnd w:id="2834"/>
      <w:bookmarkEnd w:id="2835"/>
      <w:bookmarkEnd w:id="2836"/>
    </w:p>
    <w:tbl>
      <w:tblPr>
        <w:tblW w:w="0" w:type="auto"/>
        <w:tblLayout w:type="fixed"/>
        <w:tblLook w:val="0000" w:firstRow="0" w:lastRow="0" w:firstColumn="0" w:lastColumn="0" w:noHBand="0" w:noVBand="0"/>
      </w:tblPr>
      <w:tblGrid>
        <w:gridCol w:w="3492"/>
        <w:gridCol w:w="1482"/>
        <w:gridCol w:w="1481"/>
        <w:gridCol w:w="1482"/>
      </w:tblGrid>
      <w:tr w:rsidR="00ED0E85" w14:paraId="7FA2C1BC" w14:textId="77777777" w:rsidTr="00ED0E85">
        <w:trPr>
          <w:trHeight w:val="691"/>
          <w:tblHeader/>
        </w:trPr>
        <w:tc>
          <w:tcPr>
            <w:tcW w:w="3492" w:type="dxa"/>
            <w:shd w:val="clear" w:color="auto" w:fill="6F6652"/>
            <w:tcMar>
              <w:left w:w="57" w:type="dxa"/>
              <w:right w:w="57" w:type="dxa"/>
            </w:tcMar>
          </w:tcPr>
          <w:p w14:paraId="6E2B981F" w14:textId="77777777" w:rsidR="00ED0E85" w:rsidRDefault="00ED0E85" w:rsidP="00ED0E85">
            <w:pPr>
              <w:pStyle w:val="TableDataColumnHeading"/>
              <w:jc w:val="left"/>
              <w:rPr>
                <w:lang w:val="en-GB"/>
              </w:rPr>
            </w:pPr>
          </w:p>
        </w:tc>
        <w:tc>
          <w:tcPr>
            <w:tcW w:w="1482" w:type="dxa"/>
            <w:shd w:val="clear" w:color="auto" w:fill="6F6652"/>
            <w:tcMar>
              <w:left w:w="57" w:type="dxa"/>
              <w:right w:w="57" w:type="dxa"/>
            </w:tcMar>
          </w:tcPr>
          <w:p w14:paraId="1977C03F" w14:textId="77777777" w:rsidR="00ED0E85" w:rsidRDefault="00ED0E85" w:rsidP="00ED0E85">
            <w:pPr>
              <w:pStyle w:val="TableDataColumnHeading"/>
              <w:rPr>
                <w:lang w:val="en-GB"/>
              </w:rPr>
            </w:pPr>
            <w:r>
              <w:rPr>
                <w:lang w:val="en-GB"/>
              </w:rPr>
              <w:t>Original program design</w:t>
            </w:r>
          </w:p>
        </w:tc>
        <w:tc>
          <w:tcPr>
            <w:tcW w:w="1481" w:type="dxa"/>
            <w:shd w:val="clear" w:color="auto" w:fill="6F6652"/>
            <w:tcMar>
              <w:left w:w="57" w:type="dxa"/>
              <w:right w:w="57" w:type="dxa"/>
            </w:tcMar>
          </w:tcPr>
          <w:p w14:paraId="2216E26B" w14:textId="77777777" w:rsidR="00ED0E85" w:rsidRDefault="00ED0E85" w:rsidP="00ED0E85">
            <w:pPr>
              <w:pStyle w:val="TableDataColumnHeading"/>
              <w:rPr>
                <w:lang w:val="en-GB"/>
              </w:rPr>
            </w:pPr>
            <w:r>
              <w:rPr>
                <w:lang w:val="en-GB"/>
              </w:rPr>
              <w:t>2017 changes</w:t>
            </w:r>
          </w:p>
        </w:tc>
        <w:tc>
          <w:tcPr>
            <w:tcW w:w="1482" w:type="dxa"/>
            <w:shd w:val="clear" w:color="auto" w:fill="6F6652"/>
            <w:tcMar>
              <w:left w:w="57" w:type="dxa"/>
              <w:right w:w="57" w:type="dxa"/>
            </w:tcMar>
          </w:tcPr>
          <w:p w14:paraId="62F8D8D1" w14:textId="77777777" w:rsidR="00ED0E85" w:rsidRDefault="00ED0E85" w:rsidP="00ED0E85">
            <w:pPr>
              <w:pStyle w:val="TableDataColumnHeading"/>
              <w:rPr>
                <w:lang w:val="en-GB"/>
              </w:rPr>
            </w:pPr>
            <w:r>
              <w:rPr>
                <w:lang w:val="en-GB"/>
              </w:rPr>
              <w:t>Total impacts</w:t>
            </w:r>
          </w:p>
        </w:tc>
      </w:tr>
      <w:tr w:rsidR="00ED0E85" w14:paraId="30D06C2F" w14:textId="77777777" w:rsidTr="00D84794">
        <w:trPr>
          <w:trHeight w:val="230"/>
          <w:tblHeader/>
        </w:trPr>
        <w:tc>
          <w:tcPr>
            <w:tcW w:w="3492" w:type="dxa"/>
            <w:tcBorders>
              <w:bottom w:val="single" w:sz="8" w:space="0" w:color="FFFFFF" w:themeColor="background1"/>
            </w:tcBorders>
            <w:shd w:val="clear" w:color="auto" w:fill="auto"/>
            <w:tcMar>
              <w:left w:w="57" w:type="dxa"/>
              <w:right w:w="57" w:type="dxa"/>
            </w:tcMar>
          </w:tcPr>
          <w:p w14:paraId="21EF3426" w14:textId="77777777" w:rsidR="00ED0E85" w:rsidRDefault="00ED0E85" w:rsidP="00ED0E85">
            <w:pPr>
              <w:pStyle w:val="TableUnit"/>
              <w:jc w:val="left"/>
              <w:rPr>
                <w:lang w:val="en-GB"/>
              </w:rPr>
            </w:pPr>
          </w:p>
        </w:tc>
        <w:tc>
          <w:tcPr>
            <w:tcW w:w="1482" w:type="dxa"/>
            <w:tcBorders>
              <w:bottom w:val="single" w:sz="8" w:space="0" w:color="FFFFFF" w:themeColor="background1"/>
            </w:tcBorders>
            <w:shd w:val="clear" w:color="auto" w:fill="auto"/>
            <w:tcMar>
              <w:left w:w="57" w:type="dxa"/>
              <w:right w:w="57" w:type="dxa"/>
            </w:tcMar>
          </w:tcPr>
          <w:p w14:paraId="70B04A2D" w14:textId="77777777" w:rsidR="00ED0E85" w:rsidRDefault="00ED0E85" w:rsidP="00ED0E85">
            <w:pPr>
              <w:pStyle w:val="TableUnit"/>
              <w:rPr>
                <w:lang w:val="en-GB"/>
              </w:rPr>
            </w:pPr>
            <w:r>
              <w:rPr>
                <w:lang w:val="en-GB"/>
              </w:rPr>
              <w:t>$ million</w:t>
            </w:r>
          </w:p>
        </w:tc>
        <w:tc>
          <w:tcPr>
            <w:tcW w:w="1481" w:type="dxa"/>
            <w:tcBorders>
              <w:bottom w:val="single" w:sz="8" w:space="0" w:color="FFFFFF" w:themeColor="background1"/>
            </w:tcBorders>
            <w:shd w:val="clear" w:color="auto" w:fill="auto"/>
            <w:tcMar>
              <w:left w:w="57" w:type="dxa"/>
              <w:right w:w="57" w:type="dxa"/>
            </w:tcMar>
          </w:tcPr>
          <w:p w14:paraId="361A9F47" w14:textId="77777777" w:rsidR="00ED0E85" w:rsidRDefault="00ED0E85" w:rsidP="00ED0E85">
            <w:pPr>
              <w:pStyle w:val="TableUnit"/>
              <w:rPr>
                <w:lang w:val="en-GB"/>
              </w:rPr>
            </w:pPr>
            <w:r>
              <w:rPr>
                <w:lang w:val="en-GB"/>
              </w:rPr>
              <w:t>$ million</w:t>
            </w:r>
          </w:p>
        </w:tc>
        <w:tc>
          <w:tcPr>
            <w:tcW w:w="1482" w:type="dxa"/>
            <w:tcBorders>
              <w:bottom w:val="single" w:sz="8" w:space="0" w:color="FFFFFF" w:themeColor="background1"/>
            </w:tcBorders>
            <w:shd w:val="clear" w:color="auto" w:fill="auto"/>
            <w:tcMar>
              <w:left w:w="57" w:type="dxa"/>
              <w:right w:w="57" w:type="dxa"/>
            </w:tcMar>
          </w:tcPr>
          <w:p w14:paraId="365D353E" w14:textId="77777777" w:rsidR="00ED0E85" w:rsidRDefault="00ED0E85" w:rsidP="00ED0E85">
            <w:pPr>
              <w:pStyle w:val="TableUnit"/>
              <w:rPr>
                <w:lang w:val="en-GB"/>
              </w:rPr>
            </w:pPr>
            <w:r>
              <w:rPr>
                <w:lang w:val="en-GB"/>
              </w:rPr>
              <w:t>$ million</w:t>
            </w:r>
          </w:p>
        </w:tc>
      </w:tr>
      <w:tr w:rsidR="00ED0E85" w14:paraId="5749E096" w14:textId="77777777" w:rsidTr="00D84794">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D306B0" w14:textId="77777777" w:rsidR="00ED0E85" w:rsidRDefault="00ED0E85" w:rsidP="00ED0E85">
            <w:pPr>
              <w:pStyle w:val="TableHeading1"/>
              <w:rPr>
                <w:lang w:val="en-GB"/>
              </w:rPr>
            </w:pPr>
            <w:r>
              <w:rPr>
                <w:lang w:val="en-GB"/>
              </w:rPr>
              <w:t>Private benefits/costs</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B46FF2" w14:textId="77777777" w:rsidR="00ED0E85" w:rsidRDefault="00ED0E85" w:rsidP="00ED0E85">
            <w:pPr>
              <w:pStyle w:val="TableHeading1"/>
              <w:rPr>
                <w:lang w:val="en-GB"/>
              </w:rPr>
            </w:pPr>
          </w:p>
        </w:tc>
        <w:tc>
          <w:tcPr>
            <w:tcW w:w="148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3760DF" w14:textId="77777777" w:rsidR="00ED0E85" w:rsidRDefault="00ED0E85" w:rsidP="00ED0E85">
            <w:pPr>
              <w:pStyle w:val="TableHeading1"/>
              <w:rPr>
                <w:lang w:val="en-GB"/>
              </w:rPr>
            </w:pP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8C0934" w14:textId="77777777" w:rsidR="00ED0E85" w:rsidRDefault="00ED0E85" w:rsidP="00ED0E85">
            <w:pPr>
              <w:pStyle w:val="TableHeading1"/>
              <w:rPr>
                <w:lang w:val="en-GB"/>
              </w:rPr>
            </w:pPr>
          </w:p>
        </w:tc>
      </w:tr>
      <w:tr w:rsidR="00ED0E85" w14:paraId="4BD28848" w14:textId="77777777" w:rsidTr="00D84794">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39CC62" w14:textId="77777777" w:rsidR="00ED0E85" w:rsidRDefault="00ED0E85" w:rsidP="00ED0E85">
            <w:pPr>
              <w:pStyle w:val="TableDataEntries"/>
              <w:jc w:val="left"/>
              <w:rPr>
                <w:lang w:val="en-GB"/>
              </w:rPr>
            </w:pPr>
            <w:r>
              <w:rPr>
                <w:lang w:val="en-GB"/>
              </w:rPr>
              <w:t>Electricity savings</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C62A909" w14:textId="77777777" w:rsidR="00ED0E85" w:rsidRPr="009253DC" w:rsidRDefault="00ED0E85" w:rsidP="00ED0E85">
            <w:pPr>
              <w:pStyle w:val="TableDataEntries"/>
            </w:pPr>
            <w:r w:rsidRPr="009253DC">
              <w:t xml:space="preserve"> 89.74</w:t>
            </w:r>
          </w:p>
        </w:tc>
        <w:tc>
          <w:tcPr>
            <w:tcW w:w="148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FFBAB84" w14:textId="77777777" w:rsidR="00ED0E85" w:rsidRPr="009253DC" w:rsidRDefault="00ED0E85" w:rsidP="00ED0E85">
            <w:pPr>
              <w:pStyle w:val="TableDataEntries"/>
            </w:pPr>
            <w:r w:rsidRPr="009253DC">
              <w:t xml:space="preserve"> 0.15</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4EFBA80" w14:textId="77777777" w:rsidR="00ED0E85" w:rsidRPr="009253DC" w:rsidRDefault="00ED0E85" w:rsidP="00ED0E85">
            <w:pPr>
              <w:pStyle w:val="TableDataEntries"/>
            </w:pPr>
            <w:r w:rsidRPr="009253DC">
              <w:t xml:space="preserve"> 89.89</w:t>
            </w:r>
          </w:p>
        </w:tc>
      </w:tr>
      <w:tr w:rsidR="00ED0E85" w14:paraId="0E89BF19" w14:textId="77777777" w:rsidTr="00D84794">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C30C71" w14:textId="77777777" w:rsidR="00ED0E85" w:rsidRDefault="00ED0E85" w:rsidP="00ED0E85">
            <w:pPr>
              <w:pStyle w:val="TableDataEntries"/>
              <w:jc w:val="left"/>
              <w:rPr>
                <w:lang w:val="en-GB"/>
              </w:rPr>
            </w:pPr>
            <w:r>
              <w:rPr>
                <w:lang w:val="en-GB"/>
              </w:rPr>
              <w:t>Gas savings</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3C14688" w14:textId="77777777" w:rsidR="00ED0E85" w:rsidRPr="009253DC" w:rsidRDefault="00ED0E85" w:rsidP="00ED0E85">
            <w:pPr>
              <w:pStyle w:val="TableDataEntries"/>
            </w:pPr>
            <w:r w:rsidRPr="009253DC">
              <w:t xml:space="preserve"> 49.04</w:t>
            </w:r>
          </w:p>
        </w:tc>
        <w:tc>
          <w:tcPr>
            <w:tcW w:w="148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8BBB670" w14:textId="77777777" w:rsidR="00ED0E85" w:rsidRPr="009253DC" w:rsidRDefault="00ED0E85" w:rsidP="00ED0E85">
            <w:pPr>
              <w:pStyle w:val="TableDataEntries"/>
            </w:pPr>
            <w:r w:rsidRPr="009253DC">
              <w:t xml:space="preserve"> 0.06</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45290CD" w14:textId="77777777" w:rsidR="00ED0E85" w:rsidRPr="009253DC" w:rsidRDefault="00ED0E85" w:rsidP="00ED0E85">
            <w:pPr>
              <w:pStyle w:val="TableDataEntries"/>
            </w:pPr>
            <w:r w:rsidRPr="009253DC">
              <w:t xml:space="preserve"> 49.11</w:t>
            </w:r>
          </w:p>
        </w:tc>
      </w:tr>
      <w:tr w:rsidR="00ED0E85" w14:paraId="4BD66E8B" w14:textId="77777777" w:rsidTr="00D84794">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74E584" w14:textId="77777777" w:rsidR="00ED0E85" w:rsidRDefault="00ED0E85" w:rsidP="00ED0E85">
            <w:pPr>
              <w:pStyle w:val="TableDataEntries"/>
              <w:jc w:val="left"/>
              <w:rPr>
                <w:lang w:val="en-GB"/>
              </w:rPr>
            </w:pPr>
            <w:r>
              <w:rPr>
                <w:lang w:val="en-GB"/>
              </w:rPr>
              <w:t>Upgrade costs</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095E514" w14:textId="77777777" w:rsidR="00ED0E85" w:rsidRPr="009253DC" w:rsidRDefault="00ED0E85" w:rsidP="00ED0E85">
            <w:pPr>
              <w:pStyle w:val="TableDataEntries"/>
            </w:pPr>
            <w:r w:rsidRPr="009253DC">
              <w:t>- 68.07</w:t>
            </w:r>
          </w:p>
        </w:tc>
        <w:tc>
          <w:tcPr>
            <w:tcW w:w="148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181E7DE" w14:textId="77777777" w:rsidR="00ED0E85" w:rsidRPr="009253DC" w:rsidRDefault="00ED0E85" w:rsidP="00ED0E85">
            <w:pPr>
              <w:pStyle w:val="TableDataEntries"/>
            </w:pPr>
            <w:r w:rsidRPr="009253DC">
              <w:t>- 0.09</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FA8DA95" w14:textId="77777777" w:rsidR="00ED0E85" w:rsidRPr="009253DC" w:rsidRDefault="00ED0E85" w:rsidP="00ED0E85">
            <w:pPr>
              <w:pStyle w:val="TableDataEntries"/>
            </w:pPr>
            <w:r w:rsidRPr="009253DC">
              <w:t>- 68.16</w:t>
            </w:r>
          </w:p>
        </w:tc>
      </w:tr>
      <w:tr w:rsidR="00ED0E85" w14:paraId="2084C11C" w14:textId="77777777" w:rsidTr="00D84794">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5B9592" w14:textId="77777777" w:rsidR="00ED0E85" w:rsidRDefault="00ED0E85" w:rsidP="00ED0E85">
            <w:pPr>
              <w:pStyle w:val="TableDataEntries"/>
              <w:jc w:val="left"/>
              <w:rPr>
                <w:lang w:val="en-GB"/>
              </w:rPr>
            </w:pPr>
            <w:r>
              <w:rPr>
                <w:lang w:val="en-GB"/>
              </w:rPr>
              <w:t>Compliance costs - NABERS ratings</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0860264" w14:textId="77777777" w:rsidR="00ED0E85" w:rsidRPr="009253DC" w:rsidRDefault="00ED0E85" w:rsidP="00ED0E85">
            <w:pPr>
              <w:pStyle w:val="TableDataEntries"/>
            </w:pPr>
            <w:r w:rsidRPr="009253DC">
              <w:t>- 27.54</w:t>
            </w:r>
          </w:p>
        </w:tc>
        <w:tc>
          <w:tcPr>
            <w:tcW w:w="148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0169604" w14:textId="77777777" w:rsidR="00ED0E85" w:rsidRPr="009253DC" w:rsidRDefault="00ED0E85" w:rsidP="00ED0E85">
            <w:pPr>
              <w:pStyle w:val="TableDataEntries"/>
            </w:pPr>
            <w:r w:rsidRPr="009253DC">
              <w:t>- 1.67</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85C934" w14:textId="77777777" w:rsidR="00ED0E85" w:rsidRPr="009253DC" w:rsidRDefault="00ED0E85" w:rsidP="00ED0E85">
            <w:pPr>
              <w:pStyle w:val="TableDataEntries"/>
            </w:pPr>
            <w:r w:rsidRPr="009253DC">
              <w:t>- 29.22</w:t>
            </w:r>
          </w:p>
        </w:tc>
      </w:tr>
      <w:tr w:rsidR="00ED0E85" w14:paraId="798DF5EF" w14:textId="77777777" w:rsidTr="00D84794">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F11442" w14:textId="77777777" w:rsidR="00ED0E85" w:rsidRDefault="00ED0E85" w:rsidP="00ED0E85">
            <w:pPr>
              <w:pStyle w:val="TableDataEntries"/>
              <w:jc w:val="left"/>
              <w:rPr>
                <w:lang w:val="en-GB"/>
              </w:rPr>
            </w:pPr>
            <w:r>
              <w:rPr>
                <w:lang w:val="en-GB"/>
              </w:rPr>
              <w:t>Compliance costs - TLAs</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EA2ED95" w14:textId="77777777" w:rsidR="00ED0E85" w:rsidRPr="009253DC" w:rsidRDefault="00ED0E85" w:rsidP="00ED0E85">
            <w:pPr>
              <w:pStyle w:val="TableDataEntries"/>
            </w:pPr>
            <w:r w:rsidRPr="009253DC">
              <w:t>- 8.19</w:t>
            </w:r>
          </w:p>
        </w:tc>
        <w:tc>
          <w:tcPr>
            <w:tcW w:w="148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B816384" w14:textId="77777777" w:rsidR="00ED0E85" w:rsidRPr="009253DC" w:rsidRDefault="00ED0E85" w:rsidP="00ED0E85">
            <w:pPr>
              <w:pStyle w:val="TableDataEntries"/>
            </w:pPr>
            <w:r w:rsidRPr="009253DC">
              <w:t xml:space="preserve"> 0.52</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DD3987E" w14:textId="77777777" w:rsidR="00ED0E85" w:rsidRPr="009253DC" w:rsidRDefault="00ED0E85" w:rsidP="00ED0E85">
            <w:pPr>
              <w:pStyle w:val="TableDataEntries"/>
            </w:pPr>
            <w:r w:rsidRPr="009253DC">
              <w:t>- 7.67</w:t>
            </w:r>
          </w:p>
        </w:tc>
      </w:tr>
      <w:tr w:rsidR="00ED0E85" w:rsidRPr="00EF7724" w14:paraId="5E1233A7" w14:textId="77777777" w:rsidTr="00D84794">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20BBB2" w14:textId="77777777" w:rsidR="00ED0E85" w:rsidRPr="009253DC" w:rsidRDefault="00ED0E85" w:rsidP="00ED0E85">
            <w:pPr>
              <w:pStyle w:val="TableDataEntries"/>
              <w:jc w:val="left"/>
              <w:rPr>
                <w:rFonts w:ascii="Franklin Gothic Demi" w:hAnsi="Franklin Gothic Demi"/>
                <w:lang w:val="en-GB"/>
              </w:rPr>
            </w:pPr>
            <w:r w:rsidRPr="009253DC">
              <w:rPr>
                <w:rFonts w:ascii="Franklin Gothic Demi" w:hAnsi="Franklin Gothic Demi"/>
                <w:lang w:val="en-GB"/>
              </w:rPr>
              <w:t>Net private benefits/costs</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0CD8ED4" w14:textId="77777777" w:rsidR="00ED0E85" w:rsidRPr="009253DC" w:rsidRDefault="00ED0E85" w:rsidP="00ED0E85">
            <w:pPr>
              <w:pStyle w:val="TableDataEntries"/>
              <w:rPr>
                <w:rFonts w:ascii="Franklin Gothic Demi" w:hAnsi="Franklin Gothic Demi"/>
              </w:rPr>
            </w:pPr>
            <w:r w:rsidRPr="009253DC">
              <w:rPr>
                <w:rFonts w:ascii="Franklin Gothic Demi" w:hAnsi="Franklin Gothic Demi"/>
              </w:rPr>
              <w:t xml:space="preserve"> 34.98</w:t>
            </w:r>
          </w:p>
        </w:tc>
        <w:tc>
          <w:tcPr>
            <w:tcW w:w="148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8ED3BD3" w14:textId="77777777" w:rsidR="00ED0E85" w:rsidRPr="009253DC" w:rsidRDefault="00ED0E85" w:rsidP="00ED0E85">
            <w:pPr>
              <w:pStyle w:val="TableDataEntries"/>
              <w:rPr>
                <w:rFonts w:ascii="Franklin Gothic Demi" w:hAnsi="Franklin Gothic Demi"/>
              </w:rPr>
            </w:pPr>
            <w:r w:rsidRPr="009253DC">
              <w:rPr>
                <w:rFonts w:ascii="Franklin Gothic Demi" w:hAnsi="Franklin Gothic Demi"/>
              </w:rPr>
              <w:t>- 1.03</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01CDB34" w14:textId="77777777" w:rsidR="00ED0E85" w:rsidRPr="009253DC" w:rsidRDefault="00ED0E85" w:rsidP="00ED0E85">
            <w:pPr>
              <w:pStyle w:val="TableDataEntries"/>
              <w:rPr>
                <w:rFonts w:ascii="Franklin Gothic Demi" w:hAnsi="Franklin Gothic Demi"/>
              </w:rPr>
            </w:pPr>
            <w:r w:rsidRPr="009253DC">
              <w:rPr>
                <w:rFonts w:ascii="Franklin Gothic Demi" w:hAnsi="Franklin Gothic Demi"/>
              </w:rPr>
              <w:t xml:space="preserve"> 33.95</w:t>
            </w:r>
          </w:p>
        </w:tc>
      </w:tr>
      <w:tr w:rsidR="00ED0E85" w14:paraId="2DE9CA17" w14:textId="77777777" w:rsidTr="00ED0E85">
        <w:trPr>
          <w:trHeight w:val="230"/>
        </w:trPr>
        <w:tc>
          <w:tcPr>
            <w:tcW w:w="349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B547EBB" w14:textId="77777777" w:rsidR="00ED0E85" w:rsidRDefault="00ED0E85" w:rsidP="00ED0E85">
            <w:pPr>
              <w:pStyle w:val="TableHeading1"/>
              <w:rPr>
                <w:lang w:val="en-GB"/>
              </w:rPr>
            </w:pPr>
            <w:r>
              <w:rPr>
                <w:lang w:val="en-GB"/>
              </w:rPr>
              <w:t>Other benefits/costs</w:t>
            </w:r>
          </w:p>
        </w:tc>
        <w:tc>
          <w:tcPr>
            <w:tcW w:w="148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738ECFCE" w14:textId="77777777" w:rsidR="00ED0E85" w:rsidRPr="009253DC" w:rsidRDefault="00ED0E85" w:rsidP="00ED0E85">
            <w:pPr>
              <w:pStyle w:val="TableDataEntries"/>
            </w:pPr>
          </w:p>
        </w:tc>
        <w:tc>
          <w:tcPr>
            <w:tcW w:w="148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48C7060D" w14:textId="77777777" w:rsidR="00ED0E85" w:rsidRPr="009253DC" w:rsidRDefault="00ED0E85" w:rsidP="00ED0E85">
            <w:pPr>
              <w:pStyle w:val="TableDataEntries"/>
            </w:pPr>
          </w:p>
        </w:tc>
        <w:tc>
          <w:tcPr>
            <w:tcW w:w="148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163FF013" w14:textId="77777777" w:rsidR="00ED0E85" w:rsidRPr="009253DC" w:rsidRDefault="00ED0E85" w:rsidP="00ED0E85">
            <w:pPr>
              <w:pStyle w:val="TableDataEntries"/>
            </w:pPr>
          </w:p>
        </w:tc>
      </w:tr>
      <w:tr w:rsidR="00ED0E85" w14:paraId="711E6AAF" w14:textId="77777777" w:rsidTr="00ED0E85">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FAAF3D" w14:textId="77777777" w:rsidR="00ED0E85" w:rsidRDefault="00ED0E85" w:rsidP="00ED0E85">
            <w:pPr>
              <w:pStyle w:val="TableDataEntries"/>
              <w:jc w:val="left"/>
              <w:rPr>
                <w:lang w:val="en-GB"/>
              </w:rPr>
            </w:pPr>
            <w:r>
              <w:rPr>
                <w:lang w:val="en-GB"/>
              </w:rPr>
              <w:t>GHG emissions</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821C407" w14:textId="77777777" w:rsidR="00ED0E85" w:rsidRPr="009253DC" w:rsidRDefault="00ED0E85" w:rsidP="00ED0E85">
            <w:pPr>
              <w:pStyle w:val="TableDataEntries"/>
            </w:pPr>
            <w:r w:rsidRPr="009253DC">
              <w:t xml:space="preserve"> 64.48</w:t>
            </w:r>
          </w:p>
        </w:tc>
        <w:tc>
          <w:tcPr>
            <w:tcW w:w="148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26A069B" w14:textId="77777777" w:rsidR="00ED0E85" w:rsidRPr="009253DC" w:rsidRDefault="00ED0E85" w:rsidP="00ED0E85">
            <w:pPr>
              <w:pStyle w:val="TableDataEntries"/>
            </w:pPr>
            <w:r w:rsidRPr="009253DC">
              <w:t xml:space="preserve"> 0.10</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88C156B" w14:textId="77777777" w:rsidR="00ED0E85" w:rsidRPr="009253DC" w:rsidRDefault="00ED0E85" w:rsidP="00ED0E85">
            <w:pPr>
              <w:pStyle w:val="TableDataEntries"/>
            </w:pPr>
            <w:r w:rsidRPr="009253DC">
              <w:t xml:space="preserve"> 64.58</w:t>
            </w:r>
          </w:p>
        </w:tc>
      </w:tr>
      <w:tr w:rsidR="00ED0E85" w14:paraId="3BCCD83B" w14:textId="77777777" w:rsidTr="00ED0E85">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EFB0FD" w14:textId="77777777" w:rsidR="00ED0E85" w:rsidRDefault="00ED0E85" w:rsidP="00ED0E85">
            <w:pPr>
              <w:pStyle w:val="TableDataEntries"/>
              <w:jc w:val="left"/>
              <w:rPr>
                <w:lang w:val="en-GB"/>
              </w:rPr>
            </w:pPr>
            <w:r>
              <w:rPr>
                <w:lang w:val="en-GB"/>
              </w:rPr>
              <w:t>Government costs</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465A5AA" w14:textId="77777777" w:rsidR="00ED0E85" w:rsidRPr="009253DC" w:rsidRDefault="00ED0E85" w:rsidP="00ED0E85">
            <w:pPr>
              <w:pStyle w:val="TableDataEntries"/>
            </w:pPr>
            <w:r w:rsidRPr="009253DC">
              <w:t>- 11.91</w:t>
            </w:r>
          </w:p>
        </w:tc>
        <w:tc>
          <w:tcPr>
            <w:tcW w:w="148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A9136BC" w14:textId="77777777" w:rsidR="00ED0E85" w:rsidRPr="009253DC" w:rsidRDefault="00ED0E85" w:rsidP="00ED0E85">
            <w:pPr>
              <w:pStyle w:val="TableDataEntries"/>
            </w:pPr>
            <w:r w:rsidRPr="009253DC">
              <w:t xml:space="preserve"> 0.00</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FEDAB2D" w14:textId="77777777" w:rsidR="00ED0E85" w:rsidRPr="009253DC" w:rsidRDefault="00ED0E85" w:rsidP="00ED0E85">
            <w:pPr>
              <w:pStyle w:val="TableDataEntries"/>
            </w:pPr>
            <w:r w:rsidRPr="009253DC">
              <w:t>- 11.91</w:t>
            </w:r>
          </w:p>
        </w:tc>
      </w:tr>
      <w:tr w:rsidR="00ED0E85" w:rsidRPr="00EF7724" w14:paraId="7B3219A5" w14:textId="77777777" w:rsidTr="00ED0E85">
        <w:trPr>
          <w:trHeight w:val="230"/>
        </w:trPr>
        <w:tc>
          <w:tcPr>
            <w:tcW w:w="349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C902514" w14:textId="77777777" w:rsidR="00ED0E85" w:rsidRPr="009253DC" w:rsidRDefault="00ED0E85" w:rsidP="00ED0E85">
            <w:pPr>
              <w:pStyle w:val="TableDataEntries"/>
              <w:jc w:val="left"/>
              <w:rPr>
                <w:rFonts w:ascii="Franklin Gothic Demi" w:hAnsi="Franklin Gothic Demi"/>
                <w:lang w:val="en-GB"/>
              </w:rPr>
            </w:pPr>
            <w:r w:rsidRPr="009253DC">
              <w:rPr>
                <w:rFonts w:ascii="Franklin Gothic Demi" w:hAnsi="Franklin Gothic Demi"/>
                <w:lang w:val="en-GB"/>
              </w:rPr>
              <w:t>Total net benefit/cost</w:t>
            </w:r>
          </w:p>
        </w:tc>
        <w:tc>
          <w:tcPr>
            <w:tcW w:w="1482"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0EB3B59" w14:textId="77777777" w:rsidR="00ED0E85" w:rsidRPr="009253DC" w:rsidRDefault="00ED0E85" w:rsidP="00ED0E85">
            <w:pPr>
              <w:pStyle w:val="TableDataEntries"/>
              <w:rPr>
                <w:rFonts w:ascii="Franklin Gothic Demi" w:hAnsi="Franklin Gothic Demi"/>
              </w:rPr>
            </w:pPr>
            <w:r w:rsidRPr="009253DC">
              <w:rPr>
                <w:rFonts w:ascii="Franklin Gothic Demi" w:hAnsi="Franklin Gothic Demi"/>
              </w:rPr>
              <w:t xml:space="preserve"> 87.54</w:t>
            </w:r>
          </w:p>
        </w:tc>
        <w:tc>
          <w:tcPr>
            <w:tcW w:w="1481"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5B5078F5" w14:textId="77777777" w:rsidR="00ED0E85" w:rsidRPr="009253DC" w:rsidRDefault="00ED0E85" w:rsidP="00ED0E85">
            <w:pPr>
              <w:pStyle w:val="TableDataEntries"/>
              <w:rPr>
                <w:rFonts w:ascii="Franklin Gothic Demi" w:hAnsi="Franklin Gothic Demi"/>
              </w:rPr>
            </w:pPr>
            <w:r w:rsidRPr="009253DC">
              <w:rPr>
                <w:rFonts w:ascii="Franklin Gothic Demi" w:hAnsi="Franklin Gothic Demi"/>
              </w:rPr>
              <w:t>- 0.93</w:t>
            </w:r>
          </w:p>
        </w:tc>
        <w:tc>
          <w:tcPr>
            <w:tcW w:w="1482"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393D2E9D" w14:textId="77777777" w:rsidR="00ED0E85" w:rsidRPr="009253DC" w:rsidRDefault="00ED0E85" w:rsidP="00ED0E85">
            <w:pPr>
              <w:pStyle w:val="TableDataEntries"/>
              <w:rPr>
                <w:rFonts w:ascii="Franklin Gothic Demi" w:hAnsi="Franklin Gothic Demi"/>
              </w:rPr>
            </w:pPr>
            <w:r w:rsidRPr="009253DC">
              <w:rPr>
                <w:rFonts w:ascii="Franklin Gothic Demi" w:hAnsi="Franklin Gothic Demi"/>
              </w:rPr>
              <w:t xml:space="preserve"> 86.62</w:t>
            </w:r>
          </w:p>
        </w:tc>
      </w:tr>
    </w:tbl>
    <w:p w14:paraId="4C0EBC43" w14:textId="77777777" w:rsidR="00ED0E85" w:rsidRDefault="00ED0E85" w:rsidP="00ED0E85">
      <w:pPr>
        <w:pStyle w:val="Note"/>
      </w:pPr>
      <w:r w:rsidRPr="007D1B4F">
        <w:rPr>
          <w:i/>
        </w:rPr>
        <w:t>Note:</w:t>
      </w:r>
      <w:r w:rsidRPr="00E879B8">
        <w:t xml:space="preserve"> </w:t>
      </w:r>
      <w:r>
        <w:t>Costs and benefits are presented in present value terms over the period from where the CBD Program commenced in 2010</w:t>
      </w:r>
      <w:r>
        <w:noBreakHyphen/>
        <w:t>11 to 2018</w:t>
      </w:r>
      <w:r>
        <w:noBreakHyphen/>
        <w:t>19. As the energy efficiency upgrades made over this period will continue to deliver benefits into the future, energy saving benefits have been extended for an additional ten years.</w:t>
      </w:r>
    </w:p>
    <w:p w14:paraId="6C5930C7" w14:textId="77777777" w:rsidR="00ED0E85" w:rsidRDefault="00ED0E85" w:rsidP="00ED0E85">
      <w:pPr>
        <w:pStyle w:val="Source"/>
      </w:pPr>
      <w:r>
        <w:rPr>
          <w:i/>
        </w:rPr>
        <w:t>Source</w:t>
      </w:r>
      <w:r w:rsidRPr="00E4232C">
        <w:rPr>
          <w:i/>
        </w:rPr>
        <w:t>:</w:t>
      </w:r>
      <w:r>
        <w:t xml:space="preserve"> CIE estimates.</w:t>
      </w:r>
    </w:p>
    <w:p w14:paraId="34B12559" w14:textId="77777777" w:rsidR="00ED0E85" w:rsidRDefault="00ED0E85" w:rsidP="00ED0E85">
      <w:pPr>
        <w:pStyle w:val="BodyText"/>
      </w:pPr>
      <w:r>
        <w:t>The changes to the CBD Program implemented from 1 July 2017 (including reducing the threshold from 2000 m</w:t>
      </w:r>
      <w:r w:rsidRPr="00DF537B">
        <w:rPr>
          <w:vertAlign w:val="superscript"/>
        </w:rPr>
        <w:t>2</w:t>
      </w:r>
      <w:r>
        <w:t xml:space="preserve"> to 1000 m</w:t>
      </w:r>
      <w:r w:rsidRPr="00DF537B">
        <w:rPr>
          <w:vertAlign w:val="superscript"/>
        </w:rPr>
        <w:t>2</w:t>
      </w:r>
      <w:r>
        <w:t xml:space="preserve"> and reducing the requirement for a TLA from every year to every five years) are estimated to have had minimal impact to date.</w:t>
      </w:r>
    </w:p>
    <w:p w14:paraId="0AF2A645" w14:textId="77777777" w:rsidR="00ED0E85" w:rsidRDefault="00ED0E85" w:rsidP="00ED0E85">
      <w:pPr>
        <w:pStyle w:val="ListBullet"/>
      </w:pPr>
      <w:r>
        <w:t>The CBA results suggest these changes have resulted in a small net cost, with the compliance costs imposed on the additional buildings covered by the CBD Program estimated to outweigh the net benefits of the energy efficiency improvements made to date.</w:t>
      </w:r>
    </w:p>
    <w:p w14:paraId="19E15DDD" w14:textId="77777777" w:rsidR="00ED0E85" w:rsidRDefault="00ED0E85" w:rsidP="00ED0E85">
      <w:pPr>
        <w:pStyle w:val="ListBullet"/>
      </w:pPr>
      <w:r>
        <w:t>However, this result is not reflective of the longer</w:t>
      </w:r>
      <w:r>
        <w:noBreakHyphen/>
        <w:t>term impacts of these changes (see below).</w:t>
      </w:r>
    </w:p>
    <w:p w14:paraId="75DAB4FC" w14:textId="77777777" w:rsidR="00ED0E85" w:rsidRDefault="00ED0E85" w:rsidP="00ED0E85">
      <w:pPr>
        <w:pStyle w:val="ListBullet2"/>
      </w:pPr>
      <w:r>
        <w:t>As these changes have been in place for only around 2 years, most buildings that have entered the NABERS system as a result of these changes have had limited opportunity to make energy efficiency improvements.</w:t>
      </w:r>
    </w:p>
    <w:p w14:paraId="625E0F3F" w14:textId="77777777" w:rsidR="00ED0E85" w:rsidRDefault="00ED0E85" w:rsidP="00ED0E85">
      <w:pPr>
        <w:pStyle w:val="ListBullet3"/>
      </w:pPr>
      <w:r>
        <w:t>Those buildings that obtained their first NABERS rating during 2017</w:t>
      </w:r>
      <w:r>
        <w:noBreakHyphen/>
        <w:t>18 have had only 1 year to make energy efficiency improvements.</w:t>
      </w:r>
    </w:p>
    <w:p w14:paraId="4D7BCCB6" w14:textId="77777777" w:rsidR="00ED0E85" w:rsidRDefault="00ED0E85" w:rsidP="00ED0E85">
      <w:pPr>
        <w:pStyle w:val="ListBullet3"/>
      </w:pPr>
      <w:r>
        <w:t>Those buildings that obtained their first NABERS rating during 2018</w:t>
      </w:r>
      <w:r>
        <w:noBreakHyphen/>
        <w:t>19 have effectively had no opportunity to make energy efficiency improvements.</w:t>
      </w:r>
    </w:p>
    <w:p w14:paraId="21694061" w14:textId="77777777" w:rsidR="00ED0E85" w:rsidRDefault="00ED0E85" w:rsidP="00ED0E85">
      <w:pPr>
        <w:pStyle w:val="ListBullet2"/>
      </w:pPr>
      <w:r>
        <w:t>Furthermore, the evidence suggests that once buildings enter the NABERS system, most improve performance progressively over time; the benefits of these improvements are cumulative.</w:t>
      </w:r>
    </w:p>
    <w:p w14:paraId="5DD7900B" w14:textId="77777777" w:rsidR="00ED0E85" w:rsidRDefault="00ED0E85" w:rsidP="00ED0E85">
      <w:pPr>
        <w:pStyle w:val="BodyText"/>
      </w:pPr>
      <w:r>
        <w:t>The overall net benefits are somewhat higher than estimated by ACIL Allen Consulting in the previous review of the CBD Program; under ACIL Allen’s ‘realistic case’, the net benefits were estimated at around $44 million in net present value terms (around $47 million in 2019 dollar terms).</w:t>
      </w:r>
      <w:r>
        <w:rPr>
          <w:rStyle w:val="FootnoteReference"/>
        </w:rPr>
        <w:footnoteReference w:id="28"/>
      </w:r>
      <w:r>
        <w:t xml:space="preserve"> However, due to different time periods (ACIL Allen’s estimate covered only the period to 2014) and different methodological approaches, these estimates are not directly comparable.</w:t>
      </w:r>
    </w:p>
    <w:p w14:paraId="31BDE8CA" w14:textId="77777777" w:rsidR="00ED0E85" w:rsidRDefault="00ED0E85" w:rsidP="00ED0E85">
      <w:pPr>
        <w:pStyle w:val="Heading3"/>
        <w:numPr>
          <w:ilvl w:val="2"/>
          <w:numId w:val="5"/>
        </w:numPr>
      </w:pPr>
      <w:r>
        <w:t>‘Business as usual’ to 2030</w:t>
      </w:r>
    </w:p>
    <w:p w14:paraId="5D984B59" w14:textId="70354E26" w:rsidR="00ED0E85" w:rsidRDefault="00ED0E85" w:rsidP="00ED0E85">
      <w:pPr>
        <w:pStyle w:val="BodyText"/>
      </w:pPr>
      <w:r>
        <w:t>We also estimated the costs and benefits assuming ‘business as usual’ out to 2029</w:t>
      </w:r>
      <w:r>
        <w:noBreakHyphen/>
        <w:t>30 (table </w:t>
      </w:r>
      <w:r w:rsidR="004550CB">
        <w:rPr>
          <w:noProof/>
        </w:rPr>
        <w:fldChar w:fldCharType="begin"/>
      </w:r>
      <w:r w:rsidR="004550CB">
        <w:rPr>
          <w:noProof/>
        </w:rPr>
        <w:instrText xml:space="preserve"> REF _Caption2830 </w:instrText>
      </w:r>
      <w:r w:rsidR="004550CB">
        <w:rPr>
          <w:noProof/>
        </w:rPr>
        <w:fldChar w:fldCharType="separate"/>
      </w:r>
      <w:r w:rsidR="00AD3561">
        <w:rPr>
          <w:noProof/>
        </w:rPr>
        <w:t>5</w:t>
      </w:r>
      <w:r w:rsidR="00AD3561" w:rsidRPr="00695C93">
        <w:rPr>
          <w:noProof/>
        </w:rPr>
        <w:t>.</w:t>
      </w:r>
      <w:r w:rsidR="00AD3561">
        <w:rPr>
          <w:noProof/>
        </w:rPr>
        <w:t>2</w:t>
      </w:r>
      <w:r w:rsidR="004550CB">
        <w:rPr>
          <w:noProof/>
        </w:rPr>
        <w:fldChar w:fldCharType="end"/>
      </w:r>
      <w:r>
        <w:t>). As above, energy saving benefits are extended out an extra ten years, reflecting the fact that energy efficiency upgrades made during the period would be expected to deliver ongoing benefits. These estimates are based on ongoing improvements in buildings that have already entered the NABERS system. As we would expect some additional buildings to enter the NABERS system in the future (such as new buildings), these estimates are likely to understate the costs and benefits.</w:t>
      </w:r>
    </w:p>
    <w:p w14:paraId="368F777D" w14:textId="40764F63"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w:instrText>
      </w:r>
      <w:r w:rsidRPr="00695C93">
        <w:fldChar w:fldCharType="separate"/>
      </w:r>
      <w:r w:rsidR="00AD3561">
        <w:rPr>
          <w:noProof/>
        </w:rPr>
        <w:instrText>5</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5</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2</w:instrText>
      </w:r>
      <w:r w:rsidRPr="00695C93">
        <w:fldChar w:fldCharType="end"/>
      </w:r>
      <w:r w:rsidRPr="00695C93">
        <w:instrText xml:space="preserve">" "" </w:instrText>
      </w:r>
      <w:r w:rsidRPr="00695C93">
        <w:fldChar w:fldCharType="separate"/>
      </w:r>
      <w:bookmarkStart w:id="2837" w:name="_Caption2547"/>
      <w:bookmarkStart w:id="2838" w:name="_Caption2833"/>
      <w:bookmarkStart w:id="2839" w:name="_Caption9934"/>
      <w:bookmarkStart w:id="2840" w:name="_Caption2830"/>
      <w:bookmarkStart w:id="2841" w:name="_Toc19275593"/>
      <w:bookmarkStart w:id="2842" w:name="_Toc19276203"/>
      <w:bookmarkStart w:id="2843" w:name="_Toc19280202"/>
      <w:r w:rsidR="00C353B5">
        <w:rPr>
          <w:noProof/>
        </w:rPr>
        <w:t>5</w:t>
      </w:r>
      <w:r w:rsidR="00C353B5" w:rsidRPr="00695C93">
        <w:rPr>
          <w:noProof/>
        </w:rPr>
        <w:t>.</w:t>
      </w:r>
      <w:r w:rsidR="00C353B5">
        <w:rPr>
          <w:noProof/>
        </w:rPr>
        <w:t>2</w:t>
      </w:r>
      <w:bookmarkEnd w:id="2837"/>
      <w:bookmarkEnd w:id="2838"/>
      <w:bookmarkEnd w:id="2839"/>
      <w:bookmarkEnd w:id="2840"/>
      <w:r w:rsidRPr="00695C93">
        <w:fldChar w:fldCharType="end"/>
      </w:r>
      <w:r w:rsidRPr="00695C93">
        <w:tab/>
      </w:r>
      <w:r>
        <w:t>CBD Program ‘business as usual’ to 2030 — cost-benefit analysis</w:t>
      </w:r>
      <w:bookmarkEnd w:id="2841"/>
      <w:bookmarkEnd w:id="2842"/>
      <w:bookmarkEnd w:id="2843"/>
    </w:p>
    <w:tbl>
      <w:tblPr>
        <w:tblW w:w="0" w:type="auto"/>
        <w:tblLayout w:type="fixed"/>
        <w:tblLook w:val="0000" w:firstRow="0" w:lastRow="0" w:firstColumn="0" w:lastColumn="0" w:noHBand="0" w:noVBand="0"/>
      </w:tblPr>
      <w:tblGrid>
        <w:gridCol w:w="3492"/>
        <w:gridCol w:w="1482"/>
        <w:gridCol w:w="1481"/>
        <w:gridCol w:w="1482"/>
      </w:tblGrid>
      <w:tr w:rsidR="00ED0E85" w14:paraId="5609335A" w14:textId="77777777" w:rsidTr="00ED0E85">
        <w:trPr>
          <w:trHeight w:val="691"/>
          <w:tblHeader/>
        </w:trPr>
        <w:tc>
          <w:tcPr>
            <w:tcW w:w="3492" w:type="dxa"/>
            <w:shd w:val="clear" w:color="auto" w:fill="6F6652"/>
            <w:tcMar>
              <w:left w:w="57" w:type="dxa"/>
              <w:right w:w="57" w:type="dxa"/>
            </w:tcMar>
          </w:tcPr>
          <w:p w14:paraId="38E7CE4D" w14:textId="77777777" w:rsidR="00ED0E85" w:rsidRDefault="00ED0E85" w:rsidP="00ED0E85">
            <w:pPr>
              <w:pStyle w:val="TableDataColumnHeading"/>
              <w:jc w:val="left"/>
              <w:rPr>
                <w:lang w:val="en-GB"/>
              </w:rPr>
            </w:pPr>
          </w:p>
        </w:tc>
        <w:tc>
          <w:tcPr>
            <w:tcW w:w="1482" w:type="dxa"/>
            <w:shd w:val="clear" w:color="auto" w:fill="6F6652"/>
            <w:tcMar>
              <w:left w:w="57" w:type="dxa"/>
              <w:right w:w="57" w:type="dxa"/>
            </w:tcMar>
          </w:tcPr>
          <w:p w14:paraId="2FE23C49" w14:textId="77777777" w:rsidR="00ED0E85" w:rsidRDefault="00ED0E85" w:rsidP="00ED0E85">
            <w:pPr>
              <w:pStyle w:val="TableDataColumnHeading"/>
              <w:rPr>
                <w:lang w:val="en-GB"/>
              </w:rPr>
            </w:pPr>
            <w:r>
              <w:rPr>
                <w:lang w:val="en-GB"/>
              </w:rPr>
              <w:t>Original program design</w:t>
            </w:r>
          </w:p>
        </w:tc>
        <w:tc>
          <w:tcPr>
            <w:tcW w:w="1481" w:type="dxa"/>
            <w:shd w:val="clear" w:color="auto" w:fill="6F6652"/>
            <w:tcMar>
              <w:left w:w="57" w:type="dxa"/>
              <w:right w:w="57" w:type="dxa"/>
            </w:tcMar>
          </w:tcPr>
          <w:p w14:paraId="152F8DF8" w14:textId="77777777" w:rsidR="00ED0E85" w:rsidRDefault="00ED0E85" w:rsidP="00ED0E85">
            <w:pPr>
              <w:pStyle w:val="TableDataColumnHeading"/>
              <w:rPr>
                <w:lang w:val="en-GB"/>
              </w:rPr>
            </w:pPr>
            <w:r>
              <w:rPr>
                <w:lang w:val="en-GB"/>
              </w:rPr>
              <w:t>2017 changes</w:t>
            </w:r>
          </w:p>
        </w:tc>
        <w:tc>
          <w:tcPr>
            <w:tcW w:w="1482" w:type="dxa"/>
            <w:shd w:val="clear" w:color="auto" w:fill="6F6652"/>
            <w:tcMar>
              <w:left w:w="57" w:type="dxa"/>
              <w:right w:w="57" w:type="dxa"/>
            </w:tcMar>
          </w:tcPr>
          <w:p w14:paraId="5C662794" w14:textId="77777777" w:rsidR="00ED0E85" w:rsidRDefault="00ED0E85" w:rsidP="00ED0E85">
            <w:pPr>
              <w:pStyle w:val="TableDataColumnHeading"/>
              <w:rPr>
                <w:lang w:val="en-GB"/>
              </w:rPr>
            </w:pPr>
            <w:r>
              <w:rPr>
                <w:lang w:val="en-GB"/>
              </w:rPr>
              <w:t>Total impacts</w:t>
            </w:r>
          </w:p>
        </w:tc>
      </w:tr>
      <w:tr w:rsidR="00ED0E85" w14:paraId="59623F90" w14:textId="77777777" w:rsidTr="00ED0E85">
        <w:trPr>
          <w:trHeight w:val="230"/>
          <w:tblHeader/>
        </w:trPr>
        <w:tc>
          <w:tcPr>
            <w:tcW w:w="3492" w:type="dxa"/>
            <w:tcBorders>
              <w:bottom w:val="single" w:sz="8" w:space="0" w:color="FFFFFF" w:themeColor="background1"/>
            </w:tcBorders>
            <w:shd w:val="clear" w:color="auto" w:fill="auto"/>
            <w:tcMar>
              <w:left w:w="57" w:type="dxa"/>
              <w:right w:w="57" w:type="dxa"/>
            </w:tcMar>
          </w:tcPr>
          <w:p w14:paraId="3A03F4B0" w14:textId="77777777" w:rsidR="00ED0E85" w:rsidRDefault="00ED0E85" w:rsidP="00ED0E85">
            <w:pPr>
              <w:pStyle w:val="TableUnit"/>
              <w:jc w:val="left"/>
              <w:rPr>
                <w:lang w:val="en-GB"/>
              </w:rPr>
            </w:pPr>
          </w:p>
        </w:tc>
        <w:tc>
          <w:tcPr>
            <w:tcW w:w="1482" w:type="dxa"/>
            <w:tcBorders>
              <w:bottom w:val="single" w:sz="8" w:space="0" w:color="FFFFFF" w:themeColor="background1"/>
            </w:tcBorders>
            <w:shd w:val="clear" w:color="auto" w:fill="auto"/>
            <w:tcMar>
              <w:left w:w="57" w:type="dxa"/>
              <w:right w:w="57" w:type="dxa"/>
            </w:tcMar>
          </w:tcPr>
          <w:p w14:paraId="44CEDA7B" w14:textId="77777777" w:rsidR="00ED0E85" w:rsidRDefault="00ED0E85" w:rsidP="00ED0E85">
            <w:pPr>
              <w:pStyle w:val="TableUnit"/>
              <w:rPr>
                <w:lang w:val="en-GB"/>
              </w:rPr>
            </w:pPr>
            <w:r>
              <w:rPr>
                <w:lang w:val="en-GB"/>
              </w:rPr>
              <w:t>$ million</w:t>
            </w:r>
          </w:p>
        </w:tc>
        <w:tc>
          <w:tcPr>
            <w:tcW w:w="1481" w:type="dxa"/>
            <w:tcBorders>
              <w:bottom w:val="single" w:sz="8" w:space="0" w:color="FFFFFF" w:themeColor="background1"/>
            </w:tcBorders>
            <w:shd w:val="clear" w:color="auto" w:fill="auto"/>
            <w:tcMar>
              <w:left w:w="57" w:type="dxa"/>
              <w:right w:w="57" w:type="dxa"/>
            </w:tcMar>
          </w:tcPr>
          <w:p w14:paraId="4EA072A8" w14:textId="77777777" w:rsidR="00ED0E85" w:rsidRDefault="00ED0E85" w:rsidP="00ED0E85">
            <w:pPr>
              <w:pStyle w:val="TableUnit"/>
              <w:rPr>
                <w:lang w:val="en-GB"/>
              </w:rPr>
            </w:pPr>
            <w:r>
              <w:rPr>
                <w:lang w:val="en-GB"/>
              </w:rPr>
              <w:t>$ million</w:t>
            </w:r>
          </w:p>
        </w:tc>
        <w:tc>
          <w:tcPr>
            <w:tcW w:w="1482" w:type="dxa"/>
            <w:tcBorders>
              <w:bottom w:val="single" w:sz="8" w:space="0" w:color="FFFFFF" w:themeColor="background1"/>
            </w:tcBorders>
            <w:shd w:val="clear" w:color="auto" w:fill="auto"/>
            <w:tcMar>
              <w:left w:w="57" w:type="dxa"/>
              <w:right w:w="57" w:type="dxa"/>
            </w:tcMar>
          </w:tcPr>
          <w:p w14:paraId="7C5B65ED" w14:textId="77777777" w:rsidR="00ED0E85" w:rsidRDefault="00ED0E85" w:rsidP="00ED0E85">
            <w:pPr>
              <w:pStyle w:val="TableUnit"/>
              <w:rPr>
                <w:lang w:val="en-GB"/>
              </w:rPr>
            </w:pPr>
            <w:r>
              <w:rPr>
                <w:lang w:val="en-GB"/>
              </w:rPr>
              <w:t>$ million</w:t>
            </w:r>
          </w:p>
        </w:tc>
      </w:tr>
      <w:tr w:rsidR="00ED0E85" w14:paraId="427BA779" w14:textId="77777777" w:rsidTr="00ED0E85">
        <w:trPr>
          <w:trHeight w:val="230"/>
        </w:trPr>
        <w:tc>
          <w:tcPr>
            <w:tcW w:w="349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92D6AEE" w14:textId="77777777" w:rsidR="00ED0E85" w:rsidRDefault="00ED0E85" w:rsidP="00ED0E85">
            <w:pPr>
              <w:pStyle w:val="TableHeading1"/>
              <w:rPr>
                <w:lang w:val="en-GB"/>
              </w:rPr>
            </w:pPr>
            <w:r>
              <w:rPr>
                <w:lang w:val="en-GB"/>
              </w:rPr>
              <w:t>Private benefits/costs</w:t>
            </w:r>
          </w:p>
        </w:tc>
        <w:tc>
          <w:tcPr>
            <w:tcW w:w="148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E6BEA5A" w14:textId="77777777" w:rsidR="00ED0E85" w:rsidRDefault="00ED0E85" w:rsidP="00ED0E85">
            <w:pPr>
              <w:pStyle w:val="TableHeading1"/>
              <w:rPr>
                <w:lang w:val="en-GB"/>
              </w:rPr>
            </w:pPr>
          </w:p>
        </w:tc>
        <w:tc>
          <w:tcPr>
            <w:tcW w:w="148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D0A59E3" w14:textId="77777777" w:rsidR="00ED0E85" w:rsidRDefault="00ED0E85" w:rsidP="00ED0E85">
            <w:pPr>
              <w:pStyle w:val="TableHeading1"/>
              <w:rPr>
                <w:lang w:val="en-GB"/>
              </w:rPr>
            </w:pPr>
          </w:p>
        </w:tc>
        <w:tc>
          <w:tcPr>
            <w:tcW w:w="148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1270F1D" w14:textId="77777777" w:rsidR="00ED0E85" w:rsidRDefault="00ED0E85" w:rsidP="00ED0E85">
            <w:pPr>
              <w:pStyle w:val="TableHeading1"/>
              <w:rPr>
                <w:lang w:val="en-GB"/>
              </w:rPr>
            </w:pPr>
          </w:p>
        </w:tc>
      </w:tr>
      <w:tr w:rsidR="00ED0E85" w14:paraId="69B5E042" w14:textId="77777777" w:rsidTr="00ED0E85">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D4A1EE" w14:textId="77777777" w:rsidR="00ED0E85" w:rsidRDefault="00ED0E85" w:rsidP="00ED0E85">
            <w:pPr>
              <w:pStyle w:val="TableDataEntries"/>
              <w:jc w:val="left"/>
              <w:rPr>
                <w:lang w:val="en-GB"/>
              </w:rPr>
            </w:pPr>
            <w:r>
              <w:rPr>
                <w:lang w:val="en-GB"/>
              </w:rPr>
              <w:t>Electricity savings</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454DA30" w14:textId="77777777" w:rsidR="00ED0E85" w:rsidRPr="009253DC" w:rsidRDefault="00ED0E85" w:rsidP="00ED0E85">
            <w:pPr>
              <w:pStyle w:val="TableDataEntries"/>
            </w:pPr>
            <w:r w:rsidRPr="009253DC">
              <w:t xml:space="preserve"> 187.85</w:t>
            </w:r>
          </w:p>
        </w:tc>
        <w:tc>
          <w:tcPr>
            <w:tcW w:w="148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6433C27" w14:textId="77777777" w:rsidR="00ED0E85" w:rsidRPr="009253DC" w:rsidRDefault="00ED0E85" w:rsidP="00ED0E85">
            <w:pPr>
              <w:pStyle w:val="TableDataEntries"/>
            </w:pPr>
            <w:r w:rsidRPr="009253DC">
              <w:t xml:space="preserve"> 1.94</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C678068" w14:textId="77777777" w:rsidR="00ED0E85" w:rsidRPr="009253DC" w:rsidRDefault="00ED0E85" w:rsidP="00ED0E85">
            <w:pPr>
              <w:pStyle w:val="TableDataEntries"/>
            </w:pPr>
            <w:r w:rsidRPr="009253DC">
              <w:t xml:space="preserve"> 189.79</w:t>
            </w:r>
          </w:p>
        </w:tc>
      </w:tr>
      <w:tr w:rsidR="00ED0E85" w14:paraId="1BA9C799" w14:textId="77777777" w:rsidTr="00ED0E85">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6932F3" w14:textId="77777777" w:rsidR="00ED0E85" w:rsidRDefault="00ED0E85" w:rsidP="00ED0E85">
            <w:pPr>
              <w:pStyle w:val="TableDataEntries"/>
              <w:jc w:val="left"/>
              <w:rPr>
                <w:lang w:val="en-GB"/>
              </w:rPr>
            </w:pPr>
            <w:r>
              <w:rPr>
                <w:lang w:val="en-GB"/>
              </w:rPr>
              <w:t>Gas savings</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BD44821" w14:textId="77777777" w:rsidR="00ED0E85" w:rsidRPr="009253DC" w:rsidRDefault="00ED0E85" w:rsidP="00ED0E85">
            <w:pPr>
              <w:pStyle w:val="TableDataEntries"/>
            </w:pPr>
            <w:r w:rsidRPr="009253DC">
              <w:t xml:space="preserve"> 112.02</w:t>
            </w:r>
          </w:p>
        </w:tc>
        <w:tc>
          <w:tcPr>
            <w:tcW w:w="148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9DFE823" w14:textId="77777777" w:rsidR="00ED0E85" w:rsidRPr="009253DC" w:rsidRDefault="00ED0E85" w:rsidP="00ED0E85">
            <w:pPr>
              <w:pStyle w:val="TableDataEntries"/>
            </w:pPr>
            <w:r w:rsidRPr="009253DC">
              <w:t xml:space="preserve"> 0.85</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DD97D53" w14:textId="77777777" w:rsidR="00ED0E85" w:rsidRPr="009253DC" w:rsidRDefault="00ED0E85" w:rsidP="00ED0E85">
            <w:pPr>
              <w:pStyle w:val="TableDataEntries"/>
            </w:pPr>
            <w:r w:rsidRPr="009253DC">
              <w:t xml:space="preserve"> 112.87</w:t>
            </w:r>
          </w:p>
        </w:tc>
      </w:tr>
      <w:tr w:rsidR="00ED0E85" w14:paraId="12A8C02A" w14:textId="77777777" w:rsidTr="00ED0E85">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5B0887" w14:textId="77777777" w:rsidR="00ED0E85" w:rsidRDefault="00ED0E85" w:rsidP="00ED0E85">
            <w:pPr>
              <w:pStyle w:val="TableDataEntries"/>
              <w:jc w:val="left"/>
              <w:rPr>
                <w:lang w:val="en-GB"/>
              </w:rPr>
            </w:pPr>
            <w:r>
              <w:rPr>
                <w:lang w:val="en-GB"/>
              </w:rPr>
              <w:t>Upgrade costs</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E631BFA" w14:textId="77777777" w:rsidR="00ED0E85" w:rsidRPr="009253DC" w:rsidRDefault="00ED0E85" w:rsidP="00ED0E85">
            <w:pPr>
              <w:pStyle w:val="TableDataEntries"/>
            </w:pPr>
            <w:r w:rsidRPr="009253DC">
              <w:t>- 164.39</w:t>
            </w:r>
          </w:p>
        </w:tc>
        <w:tc>
          <w:tcPr>
            <w:tcW w:w="148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B35261A" w14:textId="77777777" w:rsidR="00ED0E85" w:rsidRPr="009253DC" w:rsidRDefault="00ED0E85" w:rsidP="00ED0E85">
            <w:pPr>
              <w:pStyle w:val="TableDataEntries"/>
            </w:pPr>
            <w:r w:rsidRPr="009253DC">
              <w:t>- 1.37</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1039CF2" w14:textId="77777777" w:rsidR="00ED0E85" w:rsidRPr="009253DC" w:rsidRDefault="00ED0E85" w:rsidP="00ED0E85">
            <w:pPr>
              <w:pStyle w:val="TableDataEntries"/>
            </w:pPr>
            <w:r w:rsidRPr="009253DC">
              <w:t>- 165.76</w:t>
            </w:r>
          </w:p>
        </w:tc>
      </w:tr>
      <w:tr w:rsidR="00ED0E85" w14:paraId="751B6E8B" w14:textId="77777777" w:rsidTr="00ED0E85">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E0D356" w14:textId="77777777" w:rsidR="00ED0E85" w:rsidRDefault="00ED0E85" w:rsidP="00ED0E85">
            <w:pPr>
              <w:pStyle w:val="TableDataEntries"/>
              <w:jc w:val="left"/>
              <w:rPr>
                <w:lang w:val="en-GB"/>
              </w:rPr>
            </w:pPr>
            <w:r>
              <w:rPr>
                <w:lang w:val="en-GB"/>
              </w:rPr>
              <w:t>Compliance costs - NABERS ratings</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2188068" w14:textId="77777777" w:rsidR="00ED0E85" w:rsidRPr="009253DC" w:rsidRDefault="00ED0E85" w:rsidP="00ED0E85">
            <w:pPr>
              <w:pStyle w:val="TableDataEntries"/>
            </w:pPr>
            <w:r w:rsidRPr="009253DC">
              <w:t>- 47.15</w:t>
            </w:r>
          </w:p>
        </w:tc>
        <w:tc>
          <w:tcPr>
            <w:tcW w:w="148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102DA7E" w14:textId="77777777" w:rsidR="00ED0E85" w:rsidRPr="009253DC" w:rsidRDefault="00ED0E85" w:rsidP="00ED0E85">
            <w:pPr>
              <w:pStyle w:val="TableDataEntries"/>
            </w:pPr>
            <w:r w:rsidRPr="009253DC">
              <w:t>- 1.67</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584DCE8" w14:textId="77777777" w:rsidR="00ED0E85" w:rsidRPr="009253DC" w:rsidRDefault="00ED0E85" w:rsidP="00ED0E85">
            <w:pPr>
              <w:pStyle w:val="TableDataEntries"/>
            </w:pPr>
            <w:r w:rsidRPr="009253DC">
              <w:t>- 48.82</w:t>
            </w:r>
          </w:p>
        </w:tc>
      </w:tr>
      <w:tr w:rsidR="00ED0E85" w14:paraId="34F40A8A" w14:textId="77777777" w:rsidTr="00ED0E85">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6CC887" w14:textId="77777777" w:rsidR="00ED0E85" w:rsidRDefault="00ED0E85" w:rsidP="00ED0E85">
            <w:pPr>
              <w:pStyle w:val="TableDataEntries"/>
              <w:jc w:val="left"/>
              <w:rPr>
                <w:lang w:val="en-GB"/>
              </w:rPr>
            </w:pPr>
            <w:r>
              <w:rPr>
                <w:lang w:val="en-GB"/>
              </w:rPr>
              <w:t>Compliance costs - TLAs</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055AA9A" w14:textId="77777777" w:rsidR="00ED0E85" w:rsidRPr="009253DC" w:rsidRDefault="00ED0E85" w:rsidP="00ED0E85">
            <w:pPr>
              <w:pStyle w:val="TableDataEntries"/>
            </w:pPr>
            <w:r w:rsidRPr="009253DC">
              <w:t>- 8.19</w:t>
            </w:r>
          </w:p>
        </w:tc>
        <w:tc>
          <w:tcPr>
            <w:tcW w:w="148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17E9B55" w14:textId="77777777" w:rsidR="00ED0E85" w:rsidRPr="009253DC" w:rsidRDefault="00ED0E85" w:rsidP="00ED0E85">
            <w:pPr>
              <w:pStyle w:val="TableDataEntries"/>
            </w:pPr>
            <w:r w:rsidRPr="009253DC">
              <w:t xml:space="preserve"> 2.99</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19C6FF" w14:textId="77777777" w:rsidR="00ED0E85" w:rsidRPr="009253DC" w:rsidRDefault="00ED0E85" w:rsidP="00ED0E85">
            <w:pPr>
              <w:pStyle w:val="TableDataEntries"/>
            </w:pPr>
            <w:r w:rsidRPr="009253DC">
              <w:t>- 5.20</w:t>
            </w:r>
          </w:p>
        </w:tc>
      </w:tr>
      <w:tr w:rsidR="00ED0E85" w:rsidRPr="00EF7724" w14:paraId="0B5C37E4" w14:textId="77777777" w:rsidTr="00ED0E85">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452B2D" w14:textId="77777777" w:rsidR="00ED0E85" w:rsidRPr="00B004ED" w:rsidRDefault="00ED0E85" w:rsidP="00ED0E85">
            <w:pPr>
              <w:pStyle w:val="TableDataEntries"/>
              <w:jc w:val="left"/>
              <w:rPr>
                <w:rFonts w:ascii="Franklin Gothic Demi" w:hAnsi="Franklin Gothic Demi"/>
                <w:lang w:val="en-GB"/>
              </w:rPr>
            </w:pPr>
            <w:r w:rsidRPr="007B6E9A">
              <w:rPr>
                <w:rFonts w:ascii="Franklin Gothic Demi" w:hAnsi="Franklin Gothic Demi"/>
                <w:lang w:val="en-GB"/>
              </w:rPr>
              <w:t xml:space="preserve">Net </w:t>
            </w:r>
            <w:r w:rsidRPr="00B004ED">
              <w:rPr>
                <w:rFonts w:ascii="Franklin Gothic Demi" w:hAnsi="Franklin Gothic Demi"/>
                <w:lang w:val="en-GB"/>
              </w:rPr>
              <w:t>private benefits/costs</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5960510" w14:textId="77777777" w:rsidR="00ED0E85" w:rsidRPr="009253DC" w:rsidRDefault="00ED0E85" w:rsidP="00ED0E85">
            <w:pPr>
              <w:pStyle w:val="TableDataEntries"/>
              <w:rPr>
                <w:rFonts w:ascii="Franklin Gothic Demi" w:hAnsi="Franklin Gothic Demi"/>
              </w:rPr>
            </w:pPr>
            <w:r w:rsidRPr="009253DC">
              <w:rPr>
                <w:rFonts w:ascii="Franklin Gothic Demi" w:hAnsi="Franklin Gothic Demi"/>
              </w:rPr>
              <w:t xml:space="preserve"> 80.13</w:t>
            </w:r>
          </w:p>
        </w:tc>
        <w:tc>
          <w:tcPr>
            <w:tcW w:w="148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74CF4A2" w14:textId="77777777" w:rsidR="00ED0E85" w:rsidRPr="009253DC" w:rsidRDefault="00ED0E85" w:rsidP="00ED0E85">
            <w:pPr>
              <w:pStyle w:val="TableDataEntries"/>
              <w:rPr>
                <w:rFonts w:ascii="Franklin Gothic Demi" w:hAnsi="Franklin Gothic Demi"/>
              </w:rPr>
            </w:pPr>
            <w:r w:rsidRPr="009253DC">
              <w:rPr>
                <w:rFonts w:ascii="Franklin Gothic Demi" w:hAnsi="Franklin Gothic Demi"/>
              </w:rPr>
              <w:t xml:space="preserve"> 2.74</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E5198B6" w14:textId="77777777" w:rsidR="00ED0E85" w:rsidRPr="009253DC" w:rsidRDefault="00ED0E85" w:rsidP="00ED0E85">
            <w:pPr>
              <w:pStyle w:val="TableDataEntries"/>
              <w:rPr>
                <w:rFonts w:ascii="Franklin Gothic Demi" w:hAnsi="Franklin Gothic Demi"/>
              </w:rPr>
            </w:pPr>
            <w:r w:rsidRPr="009253DC">
              <w:rPr>
                <w:rFonts w:ascii="Franklin Gothic Demi" w:hAnsi="Franklin Gothic Demi"/>
              </w:rPr>
              <w:t xml:space="preserve"> 82.88</w:t>
            </w:r>
          </w:p>
        </w:tc>
      </w:tr>
      <w:tr w:rsidR="00ED0E85" w14:paraId="1348BCA1" w14:textId="77777777" w:rsidTr="00ED0E85">
        <w:trPr>
          <w:trHeight w:val="230"/>
        </w:trPr>
        <w:tc>
          <w:tcPr>
            <w:tcW w:w="349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BD8DB06" w14:textId="77777777" w:rsidR="00ED0E85" w:rsidRDefault="00ED0E85" w:rsidP="00ED0E85">
            <w:pPr>
              <w:pStyle w:val="TableHeading1"/>
              <w:rPr>
                <w:lang w:val="en-GB"/>
              </w:rPr>
            </w:pPr>
            <w:r>
              <w:rPr>
                <w:lang w:val="en-GB"/>
              </w:rPr>
              <w:t>Other benefits/costs</w:t>
            </w:r>
          </w:p>
        </w:tc>
        <w:tc>
          <w:tcPr>
            <w:tcW w:w="148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79577408" w14:textId="77777777" w:rsidR="00ED0E85" w:rsidRPr="009253DC" w:rsidRDefault="00ED0E85" w:rsidP="00ED0E85">
            <w:pPr>
              <w:pStyle w:val="TableDataEntries"/>
            </w:pPr>
          </w:p>
        </w:tc>
        <w:tc>
          <w:tcPr>
            <w:tcW w:w="148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2B0B44AE" w14:textId="77777777" w:rsidR="00ED0E85" w:rsidRPr="009253DC" w:rsidRDefault="00ED0E85" w:rsidP="00ED0E85">
            <w:pPr>
              <w:pStyle w:val="TableDataEntries"/>
            </w:pPr>
          </w:p>
        </w:tc>
        <w:tc>
          <w:tcPr>
            <w:tcW w:w="148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6A567EBB" w14:textId="77777777" w:rsidR="00ED0E85" w:rsidRPr="009253DC" w:rsidRDefault="00ED0E85" w:rsidP="00ED0E85">
            <w:pPr>
              <w:pStyle w:val="TableDataEntries"/>
            </w:pPr>
          </w:p>
        </w:tc>
      </w:tr>
      <w:tr w:rsidR="00ED0E85" w14:paraId="45C48BC6" w14:textId="77777777" w:rsidTr="00ED0E85">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792728" w14:textId="77777777" w:rsidR="00ED0E85" w:rsidRDefault="00ED0E85" w:rsidP="00ED0E85">
            <w:pPr>
              <w:pStyle w:val="TableDataEntries"/>
              <w:jc w:val="left"/>
              <w:rPr>
                <w:lang w:val="en-GB"/>
              </w:rPr>
            </w:pPr>
            <w:r>
              <w:rPr>
                <w:lang w:val="en-GB"/>
              </w:rPr>
              <w:t>GHG emissions</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AE00BFE" w14:textId="77777777" w:rsidR="00ED0E85" w:rsidRPr="009253DC" w:rsidRDefault="00ED0E85" w:rsidP="00ED0E85">
            <w:pPr>
              <w:pStyle w:val="TableDataEntries"/>
            </w:pPr>
            <w:r w:rsidRPr="009253DC">
              <w:t xml:space="preserve"> 153.88</w:t>
            </w:r>
          </w:p>
        </w:tc>
        <w:tc>
          <w:tcPr>
            <w:tcW w:w="148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038B64F" w14:textId="77777777" w:rsidR="00ED0E85" w:rsidRPr="009253DC" w:rsidRDefault="00ED0E85" w:rsidP="00ED0E85">
            <w:pPr>
              <w:pStyle w:val="TableDataEntries"/>
            </w:pPr>
            <w:r w:rsidRPr="009253DC">
              <w:t xml:space="preserve"> 1.43</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AB6E6E4" w14:textId="77777777" w:rsidR="00ED0E85" w:rsidRPr="009253DC" w:rsidRDefault="00ED0E85" w:rsidP="00ED0E85">
            <w:pPr>
              <w:pStyle w:val="TableDataEntries"/>
            </w:pPr>
            <w:r w:rsidRPr="009253DC">
              <w:t xml:space="preserve"> 155.30</w:t>
            </w:r>
          </w:p>
        </w:tc>
      </w:tr>
      <w:tr w:rsidR="00ED0E85" w14:paraId="668745FE" w14:textId="77777777" w:rsidTr="00ED0E85">
        <w:trPr>
          <w:trHeight w:val="230"/>
        </w:trPr>
        <w:tc>
          <w:tcPr>
            <w:tcW w:w="34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3307B1" w14:textId="77777777" w:rsidR="00ED0E85" w:rsidRDefault="00ED0E85" w:rsidP="00ED0E85">
            <w:pPr>
              <w:pStyle w:val="TableDataEntries"/>
              <w:jc w:val="left"/>
              <w:rPr>
                <w:lang w:val="en-GB"/>
              </w:rPr>
            </w:pPr>
            <w:r>
              <w:rPr>
                <w:lang w:val="en-GB"/>
              </w:rPr>
              <w:t>Government costs</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0BAE631" w14:textId="77777777" w:rsidR="00ED0E85" w:rsidRPr="009253DC" w:rsidRDefault="00ED0E85" w:rsidP="00ED0E85">
            <w:pPr>
              <w:pStyle w:val="TableDataEntries"/>
            </w:pPr>
            <w:r w:rsidRPr="009253DC">
              <w:t>- 20.98</w:t>
            </w:r>
          </w:p>
        </w:tc>
        <w:tc>
          <w:tcPr>
            <w:tcW w:w="148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D1DDE48" w14:textId="77777777" w:rsidR="00ED0E85" w:rsidRPr="009253DC" w:rsidRDefault="00ED0E85" w:rsidP="00ED0E85">
            <w:pPr>
              <w:pStyle w:val="TableDataEntries"/>
            </w:pPr>
            <w:r w:rsidRPr="009253DC">
              <w:t xml:space="preserve"> 0.00</w:t>
            </w:r>
          </w:p>
        </w:tc>
        <w:tc>
          <w:tcPr>
            <w:tcW w:w="148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DE5735A" w14:textId="77777777" w:rsidR="00ED0E85" w:rsidRPr="009253DC" w:rsidRDefault="00ED0E85" w:rsidP="00ED0E85">
            <w:pPr>
              <w:pStyle w:val="TableDataEntries"/>
            </w:pPr>
            <w:r w:rsidRPr="009253DC">
              <w:t>- 20.98</w:t>
            </w:r>
          </w:p>
        </w:tc>
      </w:tr>
      <w:tr w:rsidR="00ED0E85" w:rsidRPr="00EF7724" w14:paraId="7923B576" w14:textId="77777777" w:rsidTr="00ED0E85">
        <w:trPr>
          <w:trHeight w:val="230"/>
        </w:trPr>
        <w:tc>
          <w:tcPr>
            <w:tcW w:w="349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E951CAE" w14:textId="77777777" w:rsidR="00ED0E85" w:rsidRPr="00B004ED" w:rsidRDefault="00ED0E85" w:rsidP="00ED0E85">
            <w:pPr>
              <w:pStyle w:val="TableDataEntries"/>
              <w:jc w:val="left"/>
              <w:rPr>
                <w:rFonts w:ascii="Franklin Gothic Demi" w:hAnsi="Franklin Gothic Demi"/>
                <w:lang w:val="en-GB"/>
              </w:rPr>
            </w:pPr>
            <w:r w:rsidRPr="007B6E9A">
              <w:rPr>
                <w:rFonts w:ascii="Franklin Gothic Demi" w:hAnsi="Franklin Gothic Demi"/>
                <w:lang w:val="en-GB"/>
              </w:rPr>
              <w:t>Total net benefit/cost</w:t>
            </w:r>
          </w:p>
        </w:tc>
        <w:tc>
          <w:tcPr>
            <w:tcW w:w="1482"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697A1F44" w14:textId="77777777" w:rsidR="00ED0E85" w:rsidRPr="009253DC" w:rsidRDefault="00ED0E85" w:rsidP="00ED0E85">
            <w:pPr>
              <w:pStyle w:val="TableDataEntries"/>
              <w:rPr>
                <w:rFonts w:ascii="Franklin Gothic Demi" w:hAnsi="Franklin Gothic Demi"/>
              </w:rPr>
            </w:pPr>
            <w:r w:rsidRPr="009253DC">
              <w:rPr>
                <w:rFonts w:ascii="Franklin Gothic Demi" w:hAnsi="Franklin Gothic Demi"/>
              </w:rPr>
              <w:t xml:space="preserve"> 213.03</w:t>
            </w:r>
          </w:p>
        </w:tc>
        <w:tc>
          <w:tcPr>
            <w:tcW w:w="1481"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D0E6ED0" w14:textId="77777777" w:rsidR="00ED0E85" w:rsidRPr="009253DC" w:rsidRDefault="00ED0E85" w:rsidP="00ED0E85">
            <w:pPr>
              <w:pStyle w:val="TableDataEntries"/>
              <w:rPr>
                <w:rFonts w:ascii="Franklin Gothic Demi" w:hAnsi="Franklin Gothic Demi"/>
              </w:rPr>
            </w:pPr>
            <w:r w:rsidRPr="009253DC">
              <w:rPr>
                <w:rFonts w:ascii="Franklin Gothic Demi" w:hAnsi="Franklin Gothic Demi"/>
              </w:rPr>
              <w:t xml:space="preserve"> 4.17</w:t>
            </w:r>
          </w:p>
        </w:tc>
        <w:tc>
          <w:tcPr>
            <w:tcW w:w="1482"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7DBDE5BE" w14:textId="77777777" w:rsidR="00ED0E85" w:rsidRPr="009253DC" w:rsidRDefault="00ED0E85" w:rsidP="00ED0E85">
            <w:pPr>
              <w:pStyle w:val="TableDataEntries"/>
              <w:rPr>
                <w:rFonts w:ascii="Franklin Gothic Demi" w:hAnsi="Franklin Gothic Demi"/>
              </w:rPr>
            </w:pPr>
            <w:r w:rsidRPr="009253DC">
              <w:rPr>
                <w:rFonts w:ascii="Franklin Gothic Demi" w:hAnsi="Franklin Gothic Demi"/>
              </w:rPr>
              <w:t xml:space="preserve"> 217.20</w:t>
            </w:r>
          </w:p>
        </w:tc>
      </w:tr>
    </w:tbl>
    <w:p w14:paraId="69F5716A" w14:textId="77777777" w:rsidR="00ED0E85" w:rsidRDefault="00ED0E85" w:rsidP="00ED0E85">
      <w:pPr>
        <w:pStyle w:val="Note"/>
      </w:pPr>
      <w:r w:rsidRPr="007D1B4F">
        <w:rPr>
          <w:i/>
        </w:rPr>
        <w:t>Note:</w:t>
      </w:r>
      <w:r w:rsidRPr="00E879B8">
        <w:t xml:space="preserve"> </w:t>
      </w:r>
      <w:r>
        <w:t>Costs and benefits are presented in present value terms over the period from where the CBD Program commenced in 2010</w:t>
      </w:r>
      <w:r>
        <w:noBreakHyphen/>
        <w:t>11 to 2029</w:t>
      </w:r>
      <w:r>
        <w:noBreakHyphen/>
        <w:t>30. As the energy efficiency upgrades made over this period will continue to deliver benefits into the future, energy saving benefits have been extended for an additional ten years.</w:t>
      </w:r>
    </w:p>
    <w:p w14:paraId="080CF1F6" w14:textId="77777777" w:rsidR="00ED0E85" w:rsidRDefault="00ED0E85" w:rsidP="00ED0E85">
      <w:pPr>
        <w:pStyle w:val="Source"/>
      </w:pPr>
      <w:r>
        <w:rPr>
          <w:i/>
        </w:rPr>
        <w:t>Source</w:t>
      </w:r>
      <w:r w:rsidRPr="00E4232C">
        <w:rPr>
          <w:i/>
        </w:rPr>
        <w:t>:</w:t>
      </w:r>
      <w:r>
        <w:t xml:space="preserve"> CIE estimates.</w:t>
      </w:r>
    </w:p>
    <w:p w14:paraId="73AB26E8" w14:textId="77777777" w:rsidR="00ED0E85" w:rsidRDefault="00ED0E85" w:rsidP="00ED0E85">
      <w:pPr>
        <w:pStyle w:val="BodyText"/>
      </w:pPr>
      <w:r>
        <w:t>In general, the net benefits of the CBD Program are expected to increase substantially over time under the business as usual scenario. The changes made in 2017 are estimated to have a relatively modest impact relative to the estimated net benefits of the CBD Program in total.</w:t>
      </w:r>
    </w:p>
    <w:p w14:paraId="0800897F" w14:textId="77777777" w:rsidR="00ED0E85" w:rsidRDefault="00ED0E85" w:rsidP="00ED0E85">
      <w:pPr>
        <w:pStyle w:val="Heading2"/>
        <w:numPr>
          <w:ilvl w:val="1"/>
          <w:numId w:val="5"/>
        </w:numPr>
      </w:pPr>
      <w:bookmarkStart w:id="2844" w:name="_Toc19275509"/>
      <w:bookmarkStart w:id="2845" w:name="_Toc19276119"/>
      <w:bookmarkStart w:id="2846" w:name="_Toc19280118"/>
      <w:r>
        <w:t>The impacts of the CBD Program</w:t>
      </w:r>
      <w:bookmarkEnd w:id="2844"/>
      <w:bookmarkEnd w:id="2845"/>
      <w:bookmarkEnd w:id="2846"/>
    </w:p>
    <w:p w14:paraId="17A78051" w14:textId="77777777" w:rsidR="00ED0E85" w:rsidRDefault="00ED0E85" w:rsidP="00ED0E85">
      <w:pPr>
        <w:pStyle w:val="BodyText"/>
      </w:pPr>
      <w:r>
        <w:t>The key impacts of the CBD Program are:</w:t>
      </w:r>
    </w:p>
    <w:p w14:paraId="0FF2593A" w14:textId="77777777" w:rsidR="00ED0E85" w:rsidRDefault="00ED0E85" w:rsidP="00ED0E85">
      <w:pPr>
        <w:pStyle w:val="ListBullet"/>
      </w:pPr>
      <w:r>
        <w:t>the benefits of reduced energy consumption</w:t>
      </w:r>
    </w:p>
    <w:p w14:paraId="5F55C994" w14:textId="77777777" w:rsidR="00ED0E85" w:rsidRDefault="00ED0E85" w:rsidP="00ED0E85">
      <w:pPr>
        <w:pStyle w:val="ListBullet"/>
      </w:pPr>
      <w:r>
        <w:t>the costs of the associated energy efficiency upgrades</w:t>
      </w:r>
    </w:p>
    <w:p w14:paraId="792325DA" w14:textId="77777777" w:rsidR="00ED0E85" w:rsidRDefault="00ED0E85" w:rsidP="00ED0E85">
      <w:pPr>
        <w:pStyle w:val="ListBullet"/>
      </w:pPr>
      <w:r>
        <w:t>the cost of compliance (this is mainly the costs associated with obtaining a BEEC (including the cost of obtaining NABERS ratings and TLAs)</w:t>
      </w:r>
    </w:p>
    <w:p w14:paraId="54701C66" w14:textId="77777777" w:rsidR="00ED0E85" w:rsidRDefault="00ED0E85" w:rsidP="00ED0E85">
      <w:pPr>
        <w:pStyle w:val="ListBullet"/>
      </w:pPr>
      <w:r>
        <w:t>the costs incurred by the Australian Government in administering the CBD Program.</w:t>
      </w:r>
    </w:p>
    <w:p w14:paraId="6BFE46CD" w14:textId="77777777" w:rsidR="00ED0E85" w:rsidRDefault="00ED0E85" w:rsidP="00ED0E85">
      <w:pPr>
        <w:pStyle w:val="Heading2"/>
        <w:numPr>
          <w:ilvl w:val="1"/>
          <w:numId w:val="5"/>
        </w:numPr>
      </w:pPr>
      <w:bookmarkStart w:id="2847" w:name="_Toc19275510"/>
      <w:bookmarkStart w:id="2848" w:name="_Toc19276120"/>
      <w:bookmarkStart w:id="2849" w:name="_Toc19280119"/>
      <w:r>
        <w:t>Measuring the benefits of the CBD Program</w:t>
      </w:r>
      <w:bookmarkEnd w:id="2847"/>
      <w:bookmarkEnd w:id="2848"/>
      <w:bookmarkEnd w:id="2849"/>
    </w:p>
    <w:p w14:paraId="14EF06D5" w14:textId="77777777" w:rsidR="00ED0E85" w:rsidRPr="00783932" w:rsidRDefault="00ED0E85" w:rsidP="00ED0E85">
      <w:pPr>
        <w:pStyle w:val="BodyText"/>
      </w:pPr>
      <w:r>
        <w:t>The analysis in chapter 4 showed that buildings covered by the CBD Program have significantly reduced energy consumption and that this can partly (but not fully) be attributed to the CBD Program.</w:t>
      </w:r>
    </w:p>
    <w:p w14:paraId="30E5E3A2" w14:textId="77777777" w:rsidR="00ED0E85" w:rsidRDefault="00ED0E85" w:rsidP="00ED0E85">
      <w:pPr>
        <w:pStyle w:val="BodyText"/>
      </w:pPr>
      <w:r>
        <w:t>A discussion of the benefits of reducing energy consumption and the approach used to quantify them (where relevant) are outlined below.</w:t>
      </w:r>
    </w:p>
    <w:p w14:paraId="7E5A97E9" w14:textId="77777777" w:rsidR="00ED0E85" w:rsidRPr="00550F1A" w:rsidRDefault="00ED0E85" w:rsidP="00ED0E85">
      <w:pPr>
        <w:pStyle w:val="Heading3"/>
        <w:numPr>
          <w:ilvl w:val="2"/>
          <w:numId w:val="5"/>
        </w:numPr>
      </w:pPr>
      <w:r>
        <w:t>What are the benefits of improved energy efficiency?</w:t>
      </w:r>
    </w:p>
    <w:p w14:paraId="7482D295" w14:textId="77777777" w:rsidR="00ED0E85" w:rsidRDefault="00ED0E85" w:rsidP="00ED0E85">
      <w:pPr>
        <w:pStyle w:val="BodyText"/>
      </w:pPr>
      <w:r>
        <w:t>Various publications refer to the ‘multiple benefits’ of energy efficiency, including both energy benefits and non</w:t>
      </w:r>
      <w:r>
        <w:noBreakHyphen/>
        <w:t>energy benefits.</w:t>
      </w:r>
      <w:r>
        <w:rPr>
          <w:rStyle w:val="FootnoteReference"/>
        </w:rPr>
        <w:footnoteReference w:id="29"/>
      </w:r>
      <w:r>
        <w:t xml:space="preserve"> These benefits and our approach to valuing them (where relevant) are discussed below.</w:t>
      </w:r>
    </w:p>
    <w:p w14:paraId="59D59198" w14:textId="77777777" w:rsidR="00ED0E85" w:rsidRDefault="00ED0E85" w:rsidP="00ED0E85">
      <w:pPr>
        <w:pStyle w:val="Heading4"/>
        <w:numPr>
          <w:ilvl w:val="3"/>
          <w:numId w:val="5"/>
        </w:numPr>
      </w:pPr>
      <w:r>
        <w:t>Resource costs reductions</w:t>
      </w:r>
    </w:p>
    <w:p w14:paraId="713F4A9C" w14:textId="77777777" w:rsidR="00ED0E85" w:rsidRDefault="00ED0E85" w:rsidP="00ED0E85">
      <w:pPr>
        <w:pStyle w:val="BodyText"/>
      </w:pPr>
      <w:r>
        <w:t>A key benefit from improved energy efficiency is avoided resource costs associated with reduced energy consumption. There are broadly two approaches to measuring the avoided resource costs associated with reduced energy consumption through improved energy efficiency (see appendix A for further details).</w:t>
      </w:r>
      <w:r>
        <w:rPr>
          <w:rStyle w:val="FootnoteReference"/>
        </w:rPr>
        <w:footnoteReference w:id="30"/>
      </w:r>
    </w:p>
    <w:p w14:paraId="241E2D12" w14:textId="77777777" w:rsidR="00ED0E85" w:rsidRDefault="00ED0E85" w:rsidP="00ED0E85">
      <w:pPr>
        <w:pStyle w:val="ListBullet"/>
      </w:pPr>
      <w:r>
        <w:t>The capacity and energy approach — this approach breaks down energy costs into its components and estimates the impact on the broader energy system.</w:t>
      </w:r>
    </w:p>
    <w:p w14:paraId="34B3E2AF" w14:textId="77777777" w:rsidR="00ED0E85" w:rsidRDefault="00ED0E85" w:rsidP="00ED0E85">
      <w:pPr>
        <w:pStyle w:val="ListBullet2"/>
      </w:pPr>
      <w:r>
        <w:t>For electricity, this includes the avoided costs of generation (such as avoided fuel costs) and the avoided (or delayed) cost of augmenting the transmission and distribution networks (network capacity is driven by peak demand).</w:t>
      </w:r>
    </w:p>
    <w:p w14:paraId="740C1090" w14:textId="77777777" w:rsidR="00ED0E85" w:rsidRDefault="00ED0E85" w:rsidP="00ED0E85">
      <w:pPr>
        <w:pStyle w:val="ListBullet2"/>
      </w:pPr>
      <w:r>
        <w:t>For natural gas, this includes the avoided cost of extracting and processing natural gas, as well as the cost of transporting the gas.</w:t>
      </w:r>
    </w:p>
    <w:p w14:paraId="0DE45EF9" w14:textId="77777777" w:rsidR="00ED0E85" w:rsidRDefault="00ED0E85" w:rsidP="00ED0E85">
      <w:pPr>
        <w:pStyle w:val="ListBullet"/>
      </w:pPr>
      <w:r>
        <w:t>The retail price approach — under this approach, reduced energy consumption is valued based on retail prices.</w:t>
      </w:r>
    </w:p>
    <w:p w14:paraId="0D1C3746" w14:textId="77777777" w:rsidR="00ED0E85" w:rsidRDefault="00ED0E85" w:rsidP="00ED0E85">
      <w:pPr>
        <w:pStyle w:val="BodyText"/>
      </w:pPr>
      <w:r>
        <w:t>We value energy savings based on retail prices (see appendix B for further details). Discussions with the Australian Energy Market Operator suggest that network charges generally exceed the long</w:t>
      </w:r>
      <w:r>
        <w:noBreakHyphen/>
        <w:t>run marginal cost of supply. This implies that the retail price method would generally place a higher value on the resource cost savings than the so</w:t>
      </w:r>
      <w:r>
        <w:noBreakHyphen/>
        <w:t>called ‘capacity and energy’ approach.</w:t>
      </w:r>
    </w:p>
    <w:p w14:paraId="0E81307B" w14:textId="77777777" w:rsidR="00ED0E85" w:rsidRDefault="00ED0E85" w:rsidP="00ED0E85">
      <w:pPr>
        <w:pStyle w:val="Heading4"/>
        <w:numPr>
          <w:ilvl w:val="3"/>
          <w:numId w:val="5"/>
        </w:numPr>
      </w:pPr>
      <w:r>
        <w:t>Greenhouse gas emissions reductions</w:t>
      </w:r>
    </w:p>
    <w:p w14:paraId="0D2D8D11" w14:textId="77777777" w:rsidR="00ED0E85" w:rsidRDefault="00ED0E85" w:rsidP="00ED0E85">
      <w:pPr>
        <w:pStyle w:val="BodyText"/>
      </w:pPr>
      <w:r>
        <w:t>Reducing consumption of energy generated through burning fossil fuels through improved energy efficiency will reduce greenhouse gas (GHG) emissions that contribute to climate change. These benefits are valued using the social cost of carbon (SCC) approach. We used the ‘medium’ series published by th</w:t>
      </w:r>
      <w:r w:rsidRPr="00E611FB">
        <w:t>e United States (US) Government’s Interagency Working Group (IWG) on Social Cost of Greenhouse Gases</w:t>
      </w:r>
      <w:r>
        <w:t xml:space="preserve"> (see appendix B for further details).</w:t>
      </w:r>
    </w:p>
    <w:p w14:paraId="2789895D" w14:textId="77777777" w:rsidR="00ED0E85" w:rsidRDefault="00ED0E85" w:rsidP="00ED0E85">
      <w:pPr>
        <w:pStyle w:val="Heading4"/>
        <w:numPr>
          <w:ilvl w:val="3"/>
          <w:numId w:val="5"/>
        </w:numPr>
      </w:pPr>
      <w:r>
        <w:t>Health benefits from reduced air pollution</w:t>
      </w:r>
    </w:p>
    <w:p w14:paraId="62677380" w14:textId="77777777" w:rsidR="00ED0E85" w:rsidRDefault="00ED0E85" w:rsidP="00ED0E85">
      <w:pPr>
        <w:pStyle w:val="BodyText"/>
      </w:pPr>
      <w:r>
        <w:t>Energy generated from fossil fuels emit a range of pollutants, some of which can be damaging to human health. Reducing the consumption of energy that involves burning of fossil fuels (particularly coal</w:t>
      </w:r>
      <w:r>
        <w:noBreakHyphen/>
        <w:t>fired electricity generation) can therefore have some health benefits.</w:t>
      </w:r>
    </w:p>
    <w:p w14:paraId="35C6D09D" w14:textId="77777777" w:rsidR="00ED0E85" w:rsidRDefault="00ED0E85" w:rsidP="00ED0E85">
      <w:pPr>
        <w:pStyle w:val="BodyText"/>
      </w:pPr>
      <w:r>
        <w:t>These health benefits depend on a range of factors, including emissions of the relevant pollutants, how those pollutants are dispersed and population density in the relevant areas (see appendix B for further details).</w:t>
      </w:r>
    </w:p>
    <w:p w14:paraId="273DEC15" w14:textId="77777777" w:rsidR="00ED0E85" w:rsidRPr="005A5A8C" w:rsidRDefault="00ED0E85" w:rsidP="00ED0E85">
      <w:pPr>
        <w:pStyle w:val="BodyText"/>
      </w:pPr>
      <w:r>
        <w:t>Estimates of the health costs associated with a number of coal</w:t>
      </w:r>
      <w:r>
        <w:noBreakHyphen/>
        <w:t>fired generators are provided in appendix B. However, it is difficult to link the reduction in energy consumption from specific buildings to particular generators. These benefits have therefore not been valued. That said, these benefits are estimated to be relatively small compared to the other benefits that have been included in the CBA.</w:t>
      </w:r>
    </w:p>
    <w:p w14:paraId="0D969B54" w14:textId="77777777" w:rsidR="00ED0E85" w:rsidRDefault="00ED0E85" w:rsidP="00ED0E85">
      <w:pPr>
        <w:pStyle w:val="Heading4"/>
        <w:numPr>
          <w:ilvl w:val="3"/>
          <w:numId w:val="5"/>
        </w:numPr>
      </w:pPr>
      <w:r>
        <w:t>Increased rental income and building values</w:t>
      </w:r>
    </w:p>
    <w:p w14:paraId="65D193BF" w14:textId="77777777" w:rsidR="00ED0E85" w:rsidRDefault="00ED0E85" w:rsidP="00ED0E85">
      <w:pPr>
        <w:pStyle w:val="BodyText"/>
      </w:pPr>
      <w:r>
        <w:t>Numerous studies — including Australian studies — have shown that more energy efficient buildings achieve higher rental income (either through higher lease rates or occupancy rates) and sale prices.</w:t>
      </w:r>
      <w:r>
        <w:rPr>
          <w:rStyle w:val="FootnoteReference"/>
        </w:rPr>
        <w:footnoteReference w:id="31"/>
      </w:r>
      <w:r>
        <w:t xml:space="preserve"> This was also a key benefit raised by stakeholders during consultations.</w:t>
      </w:r>
    </w:p>
    <w:p w14:paraId="341DE300" w14:textId="77777777" w:rsidR="00ED0E85" w:rsidRDefault="00ED0E85" w:rsidP="00ED0E85">
      <w:pPr>
        <w:pStyle w:val="BodyText"/>
      </w:pPr>
      <w:r>
        <w:t>Higher rental income and building value would reflect higher demand for tenants for higher rated buildings (relative to lower rated buildings). Tenants would be willing to pay more for higher rated buildings due a combination of factors including:</w:t>
      </w:r>
    </w:p>
    <w:p w14:paraId="799A3DF4" w14:textId="77777777" w:rsidR="00ED0E85" w:rsidRDefault="00ED0E85" w:rsidP="00ED0E85">
      <w:pPr>
        <w:pStyle w:val="ListBullet"/>
      </w:pPr>
      <w:r>
        <w:t>lower energy bills (included in outgoings)</w:t>
      </w:r>
    </w:p>
    <w:p w14:paraId="2D47BA5E" w14:textId="77777777" w:rsidR="00ED0E85" w:rsidRDefault="00ED0E85" w:rsidP="00ED0E85">
      <w:pPr>
        <w:pStyle w:val="ListBullet"/>
      </w:pPr>
      <w:r>
        <w:t>a preference for ‘greener buildings’ to meet corporate social responsibility objectives</w:t>
      </w:r>
    </w:p>
    <w:p w14:paraId="33C58463" w14:textId="77777777" w:rsidR="00ED0E85" w:rsidRDefault="00ED0E85" w:rsidP="00ED0E85">
      <w:pPr>
        <w:pStyle w:val="ListBullet"/>
      </w:pPr>
      <w:r>
        <w:t>a perception that higher</w:t>
      </w:r>
      <w:r>
        <w:noBreakHyphen/>
        <w:t>rated buildings are of superior quality (in terms of building management or other characteristics).</w:t>
      </w:r>
    </w:p>
    <w:p w14:paraId="3B749472" w14:textId="77777777" w:rsidR="00ED0E85" w:rsidRDefault="00ED0E85" w:rsidP="00ED0E85">
      <w:pPr>
        <w:pStyle w:val="BodyText"/>
      </w:pPr>
      <w:r>
        <w:t>The benefits of lower energy bills are already included in the CBA, so to the extent that higher rental incomes reflects reduced energy bills, also including increased rental incomes and building values would involve double</w:t>
      </w:r>
      <w:r>
        <w:noBreakHyphen/>
        <w:t>counting these benefits. Similarly, the benefits of reducing GHG emissions have also been included above.</w:t>
      </w:r>
    </w:p>
    <w:p w14:paraId="026FA206" w14:textId="77777777" w:rsidR="00ED0E85" w:rsidRDefault="00ED0E85" w:rsidP="00ED0E85">
      <w:pPr>
        <w:pStyle w:val="Heading4"/>
        <w:numPr>
          <w:ilvl w:val="3"/>
          <w:numId w:val="5"/>
        </w:numPr>
      </w:pPr>
      <w:r>
        <w:t>Broader economic impacts</w:t>
      </w:r>
    </w:p>
    <w:p w14:paraId="0FA77409" w14:textId="77777777" w:rsidR="00ED0E85" w:rsidRDefault="00ED0E85" w:rsidP="00ED0E85">
      <w:pPr>
        <w:pStyle w:val="BodyText"/>
      </w:pPr>
      <w:r>
        <w:t>Some studies refer to a range of broader economic impacts, including industry productivity improvements and the flow</w:t>
      </w:r>
      <w:r>
        <w:noBreakHyphen/>
        <w:t>on economic impacts of increased investment in energy efficiency and reduced energy consumption.</w:t>
      </w:r>
    </w:p>
    <w:p w14:paraId="261B2510" w14:textId="77777777" w:rsidR="00ED0E85" w:rsidRDefault="00ED0E85" w:rsidP="00ED0E85">
      <w:pPr>
        <w:pStyle w:val="BodyText"/>
      </w:pPr>
      <w:r>
        <w:t>Many investments in energy efficiency (or energy productivity) would be reflected in ‘multi-factor productivity’ (a measure of output per unit of combined economic inputs), a measure closely associated with economic wellbeing (although this is not necessarily the case as most energy efficiency improvements also involve an increase in capital inputs). However, these productivity benefits are not additional to the energy saving benefits estimated above. As such, including productivity benefits in addition to reduced energy costs would involve double</w:t>
      </w:r>
      <w:r>
        <w:noBreakHyphen/>
        <w:t>counting these benefits.</w:t>
      </w:r>
    </w:p>
    <w:p w14:paraId="7A698C3C" w14:textId="77777777" w:rsidR="00ED0E85" w:rsidRDefault="00ED0E85" w:rsidP="00D84794">
      <w:pPr>
        <w:pStyle w:val="Heading4"/>
        <w:numPr>
          <w:ilvl w:val="3"/>
          <w:numId w:val="5"/>
        </w:numPr>
        <w:spacing w:before="360"/>
      </w:pPr>
      <w:r>
        <w:t>Health and productivity benefits</w:t>
      </w:r>
    </w:p>
    <w:p w14:paraId="3E35C731" w14:textId="77777777" w:rsidR="00ED0E85" w:rsidRDefault="00ED0E85" w:rsidP="00D84794">
      <w:pPr>
        <w:pStyle w:val="BodyText"/>
        <w:spacing w:before="100"/>
      </w:pPr>
      <w:r>
        <w:t>Several publications also refer to the health and productivity benefits associated with ‘green buildings’.</w:t>
      </w:r>
      <w:r>
        <w:rPr>
          <w:rStyle w:val="FootnoteReference"/>
        </w:rPr>
        <w:footnoteReference w:id="32"/>
      </w:r>
      <w:r>
        <w:t xml:space="preserve"> There is some evidence to suggests that indoor environmental quality (IEQ) in office building has a measurable impact on worker productivity through both fewer sick days, as well as improved performance.</w:t>
      </w:r>
    </w:p>
    <w:p w14:paraId="30278422" w14:textId="77777777" w:rsidR="00ED0E85" w:rsidRDefault="00ED0E85" w:rsidP="00D84794">
      <w:pPr>
        <w:pStyle w:val="BodyText"/>
        <w:spacing w:before="100"/>
      </w:pPr>
      <w:r>
        <w:t>The previous review of the CBD Program found that even under conservative assumptions, the productivity benefits of the CBD Program are expected to be significant and would be more than double the energy saving benefits. That said, these benefits were reported separately from the main CBA results, with ACIL</w:t>
      </w:r>
      <w:r>
        <w:noBreakHyphen/>
        <w:t>Allen Consulting noting a lack of sufficient and robust data estimating the productivity benefits of green buildings and the high degree of uncertainty in the estimates.</w:t>
      </w:r>
      <w:r>
        <w:rPr>
          <w:rStyle w:val="FootnoteReference"/>
        </w:rPr>
        <w:footnoteReference w:id="33"/>
      </w:r>
    </w:p>
    <w:p w14:paraId="7704E450" w14:textId="22934A4E" w:rsidR="00ED0E85" w:rsidRDefault="00ED0E85" w:rsidP="00D84794">
      <w:pPr>
        <w:pStyle w:val="BodyText"/>
        <w:spacing w:before="100"/>
      </w:pPr>
      <w:r>
        <w:t>Any health and productivity benefits would be in addition to the energy benefits estimated above. However, an analysis of buildings in the NABERS database with both a NABERS Energy rating and a NABERS Indoor Environment Quality (IEQ) rating (a relatively small sample of 61 observations) suggest that the relationship between the NABERS Energy rating and the thermal comfort score (the component of IEQ that is most likely to be associated with energy efficiency) is not statistically significant (chart </w:t>
      </w:r>
      <w:r w:rsidR="004550CB">
        <w:rPr>
          <w:noProof/>
        </w:rPr>
        <w:fldChar w:fldCharType="begin"/>
      </w:r>
      <w:r w:rsidR="004550CB">
        <w:rPr>
          <w:noProof/>
        </w:rPr>
        <w:instrText xml:space="preserve"> REF _Caption1047 </w:instrText>
      </w:r>
      <w:r w:rsidR="004550CB">
        <w:rPr>
          <w:noProof/>
        </w:rPr>
        <w:fldChar w:fldCharType="separate"/>
      </w:r>
      <w:r w:rsidR="00AD3561">
        <w:rPr>
          <w:noProof/>
        </w:rPr>
        <w:t>5</w:t>
      </w:r>
      <w:r w:rsidR="00AD3561" w:rsidRPr="00695C93">
        <w:rPr>
          <w:noProof/>
        </w:rPr>
        <w:t>.</w:t>
      </w:r>
      <w:r w:rsidR="00AD3561">
        <w:rPr>
          <w:noProof/>
        </w:rPr>
        <w:t>3</w:t>
      </w:r>
      <w:r w:rsidR="004550CB">
        <w:rPr>
          <w:noProof/>
        </w:rPr>
        <w:fldChar w:fldCharType="end"/>
      </w:r>
      <w:r>
        <w:t>).</w:t>
      </w:r>
    </w:p>
    <w:p w14:paraId="11B7DAB5" w14:textId="239DB916" w:rsidR="00ED0E85" w:rsidRPr="00695C93" w:rsidRDefault="00ED0E85" w:rsidP="00D84794">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w:instrText>
      </w:r>
      <w:r w:rsidRPr="00695C93">
        <w:fldChar w:fldCharType="separate"/>
      </w:r>
      <w:r w:rsidR="00AD3561">
        <w:rPr>
          <w:noProof/>
        </w:rPr>
        <w:instrText>5</w:instrText>
      </w:r>
      <w:r w:rsidR="00AD3561"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rsidRPr="00695C93">
        <w:instrText xml:space="preserve">." </w:instrText>
      </w:r>
      <w:r w:rsidRPr="00695C93">
        <w:fldChar w:fldCharType="separate"/>
      </w:r>
      <w:r w:rsidR="00C353B5">
        <w:rPr>
          <w:noProof/>
        </w:rPr>
        <w:instrText>5</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3</w:instrText>
      </w:r>
      <w:r w:rsidRPr="00695C93">
        <w:fldChar w:fldCharType="end"/>
      </w:r>
      <w:r w:rsidRPr="00695C93">
        <w:instrText xml:space="preserve">" "" </w:instrText>
      </w:r>
      <w:r w:rsidRPr="00695C93">
        <w:fldChar w:fldCharType="separate"/>
      </w:r>
      <w:bookmarkStart w:id="2850" w:name="_Caption9498"/>
      <w:bookmarkStart w:id="2851" w:name="_Caption7271"/>
      <w:bookmarkStart w:id="2852" w:name="_Caption8247"/>
      <w:bookmarkStart w:id="2853" w:name="_Caption5857"/>
      <w:bookmarkStart w:id="2854" w:name="_Caption1906"/>
      <w:bookmarkStart w:id="2855" w:name="_Caption2098"/>
      <w:bookmarkStart w:id="2856" w:name="_Caption1957"/>
      <w:bookmarkStart w:id="2857" w:name="_Caption9228"/>
      <w:bookmarkStart w:id="2858" w:name="_Caption0753"/>
      <w:bookmarkStart w:id="2859" w:name="_Caption6886"/>
      <w:bookmarkStart w:id="2860" w:name="_Caption8105"/>
      <w:bookmarkStart w:id="2861" w:name="_Caption2687"/>
      <w:bookmarkStart w:id="2862" w:name="_Caption5754"/>
      <w:bookmarkStart w:id="2863" w:name="_Caption7188"/>
      <w:bookmarkStart w:id="2864" w:name="_Caption2057"/>
      <w:bookmarkStart w:id="2865" w:name="_Caption2850"/>
      <w:bookmarkStart w:id="2866" w:name="_Caption8057"/>
      <w:bookmarkStart w:id="2867" w:name="_Caption0136"/>
      <w:bookmarkStart w:id="2868" w:name="_Caption1920"/>
      <w:bookmarkStart w:id="2869" w:name="_Caption1860"/>
      <w:bookmarkStart w:id="2870" w:name="_Caption9522"/>
      <w:bookmarkStart w:id="2871" w:name="_Caption4493"/>
      <w:bookmarkStart w:id="2872" w:name="_Caption0625"/>
      <w:bookmarkStart w:id="2873" w:name="_Caption3573"/>
      <w:bookmarkStart w:id="2874" w:name="_Caption4813"/>
      <w:bookmarkStart w:id="2875" w:name="_Caption4464"/>
      <w:bookmarkStart w:id="2876" w:name="_Caption1744"/>
      <w:bookmarkStart w:id="2877" w:name="_Caption7261"/>
      <w:bookmarkStart w:id="2878" w:name="_Caption3623"/>
      <w:bookmarkStart w:id="2879" w:name="_Caption0777"/>
      <w:bookmarkStart w:id="2880" w:name="_Caption3059"/>
      <w:bookmarkStart w:id="2881" w:name="_Caption7139"/>
      <w:bookmarkStart w:id="2882" w:name="_Caption8859"/>
      <w:bookmarkStart w:id="2883" w:name="_Caption5234"/>
      <w:bookmarkStart w:id="2884" w:name="_Caption8816"/>
      <w:bookmarkStart w:id="2885" w:name="_Caption1047"/>
      <w:bookmarkStart w:id="2886" w:name="_Caption9800"/>
      <w:bookmarkStart w:id="2887" w:name="_Caption8221"/>
      <w:bookmarkStart w:id="2888" w:name="_Caption0189"/>
      <w:bookmarkStart w:id="2889" w:name="_Caption2429"/>
      <w:bookmarkStart w:id="2890" w:name="_Caption7903"/>
      <w:bookmarkStart w:id="2891" w:name="_Caption6478"/>
      <w:bookmarkStart w:id="2892" w:name="_Caption7838"/>
      <w:bookmarkStart w:id="2893" w:name="_Caption5037"/>
      <w:bookmarkStart w:id="2894" w:name="_Caption7229"/>
      <w:bookmarkStart w:id="2895" w:name="_Caption1938"/>
      <w:bookmarkStart w:id="2896" w:name="_Caption1035"/>
      <w:bookmarkStart w:id="2897" w:name="_Caption7399"/>
      <w:bookmarkStart w:id="2898" w:name="_Caption9362"/>
      <w:bookmarkStart w:id="2899" w:name="_Caption4678"/>
      <w:bookmarkStart w:id="2900" w:name="_Caption0356"/>
      <w:bookmarkStart w:id="2901" w:name="_Caption1210"/>
      <w:bookmarkStart w:id="2902" w:name="_Caption9973"/>
      <w:bookmarkStart w:id="2903" w:name="_Caption4583"/>
      <w:bookmarkStart w:id="2904" w:name="_Caption4691"/>
      <w:bookmarkStart w:id="2905" w:name="_Caption0137"/>
      <w:bookmarkStart w:id="2906" w:name="_Caption2890"/>
      <w:bookmarkStart w:id="2907" w:name="_Caption3822"/>
      <w:bookmarkStart w:id="2908" w:name="_Caption7246"/>
      <w:bookmarkStart w:id="2909" w:name="_Caption2245"/>
      <w:bookmarkStart w:id="2910" w:name="_Caption9629"/>
      <w:bookmarkStart w:id="2911" w:name="_Caption4507"/>
      <w:bookmarkStart w:id="2912" w:name="_Caption4438"/>
      <w:bookmarkStart w:id="2913" w:name="_Caption5861"/>
      <w:bookmarkStart w:id="2914" w:name="_Caption4823"/>
      <w:bookmarkStart w:id="2915" w:name="_Caption3782"/>
      <w:bookmarkStart w:id="2916" w:name="_Caption2230"/>
      <w:bookmarkStart w:id="2917" w:name="_Caption4339"/>
      <w:bookmarkStart w:id="2918" w:name="_Caption4589"/>
      <w:bookmarkStart w:id="2919" w:name="_Caption1429"/>
      <w:bookmarkStart w:id="2920" w:name="_Caption6446"/>
      <w:bookmarkStart w:id="2921" w:name="_Caption1701"/>
      <w:bookmarkStart w:id="2922" w:name="_Caption0462"/>
      <w:bookmarkStart w:id="2923" w:name="_Caption4013"/>
      <w:bookmarkStart w:id="2924" w:name="_Caption7767"/>
      <w:bookmarkStart w:id="2925" w:name="_Toc19275594"/>
      <w:bookmarkStart w:id="2926" w:name="_Toc19276204"/>
      <w:bookmarkStart w:id="2927" w:name="_Toc19280203"/>
      <w:r w:rsidR="00C353B5">
        <w:rPr>
          <w:noProof/>
        </w:rPr>
        <w:t>5</w:t>
      </w:r>
      <w:r w:rsidR="00C353B5" w:rsidRPr="00695C93">
        <w:rPr>
          <w:noProof/>
        </w:rPr>
        <w:t>.</w:t>
      </w:r>
      <w:r w:rsidR="00C353B5">
        <w:rPr>
          <w:noProof/>
        </w:rPr>
        <w:t>3</w:t>
      </w:r>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r w:rsidRPr="00695C93">
        <w:fldChar w:fldCharType="end"/>
      </w:r>
      <w:r w:rsidRPr="00695C93">
        <w:tab/>
      </w:r>
      <w:r>
        <w:t>Relationship between NABERS energy rating and thermal comfort score</w:t>
      </w:r>
      <w:bookmarkEnd w:id="2925"/>
      <w:bookmarkEnd w:id="2926"/>
      <w:bookmarkEnd w:id="2927"/>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310E0D5C" w14:textId="77777777" w:rsidTr="00ED0E85">
        <w:trPr>
          <w:cantSplit/>
        </w:trPr>
        <w:tc>
          <w:tcPr>
            <w:tcW w:w="7938" w:type="dxa"/>
            <w:shd w:val="clear" w:color="auto" w:fill="E9E8E5" w:themeFill="background2"/>
          </w:tcPr>
          <w:p w14:paraId="554E1F27" w14:textId="77777777" w:rsidR="00ED0E85" w:rsidRDefault="00ED0E85" w:rsidP="00ED0E85">
            <w:pPr>
              <w:pStyle w:val="Chart"/>
              <w:spacing w:after="120"/>
              <w:jc w:val="center"/>
            </w:pPr>
            <w:r w:rsidRPr="00481F4F">
              <w:rPr>
                <w:noProof/>
                <w:lang w:eastAsia="en-AU"/>
              </w:rPr>
              <w:drawing>
                <wp:inline distT="0" distB="0" distL="0" distR="0" wp14:anchorId="6639EE91" wp14:editId="57820C89">
                  <wp:extent cx="4838700" cy="2320290"/>
                  <wp:effectExtent l="0" t="0" r="0" b="3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a:extLst>
                              <a:ext uri="{28A0092B-C50C-407E-A947-70E740481C1C}">
                                <a14:useLocalDpi xmlns:a14="http://schemas.microsoft.com/office/drawing/2010/main" val="0"/>
                              </a:ext>
                            </a:extLst>
                          </a:blip>
                          <a:srcRect t="6523"/>
                          <a:stretch/>
                        </pic:blipFill>
                        <pic:spPr bwMode="auto">
                          <a:xfrm>
                            <a:off x="0" y="0"/>
                            <a:ext cx="4838700" cy="23202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323555F" w14:textId="77777777" w:rsidR="00ED0E85" w:rsidRDefault="00ED0E85" w:rsidP="00ED0E85">
      <w:pPr>
        <w:pStyle w:val="Source"/>
      </w:pPr>
      <w:r>
        <w:rPr>
          <w:i/>
        </w:rPr>
        <w:t>Data source</w:t>
      </w:r>
      <w:r w:rsidRPr="00A67576">
        <w:rPr>
          <w:i/>
        </w:rPr>
        <w:t>:</w:t>
      </w:r>
      <w:r>
        <w:t xml:space="preserve"> CIE based on NABERS database.</w:t>
      </w:r>
    </w:p>
    <w:p w14:paraId="7D8ED3E8" w14:textId="77777777" w:rsidR="00ED0E85" w:rsidRDefault="00ED0E85" w:rsidP="00ED0E85">
      <w:pPr>
        <w:pStyle w:val="BodyText"/>
      </w:pPr>
      <w:r>
        <w:t>One caveat here is that there are no buildings with a NABERS Energy rating of less than 3 stars in the dataset. There is some evidence to suggest that for low</w:t>
      </w:r>
      <w:r>
        <w:noBreakHyphen/>
        <w:t>rated buildings, improvements in the NABERS Energy star rating is associated with increased thermal comfort.</w:t>
      </w:r>
    </w:p>
    <w:p w14:paraId="6B64668A" w14:textId="77777777" w:rsidR="00ED0E85" w:rsidRDefault="00ED0E85" w:rsidP="00ED0E85">
      <w:pPr>
        <w:pStyle w:val="BodyText"/>
      </w:pPr>
      <w:r>
        <w:t>Furthermore, the NABERS IEQ tool has two thermal comfort methodologies. One of these methodologies is only available to buildings with annual tracking and storing of temperature data. The thermal comfort score may be artificially low for buildings that do not store their annual temperature data. This may partly explain the weak relationship between the NABERS Energy rating and the thermal comfort score.</w:t>
      </w:r>
    </w:p>
    <w:p w14:paraId="05BEA543" w14:textId="77777777" w:rsidR="00ED0E85" w:rsidRDefault="00ED0E85" w:rsidP="00ED0E85">
      <w:pPr>
        <w:pStyle w:val="KeyPoint"/>
      </w:pPr>
      <w:r>
        <w:t>As there is no statistical evidence to show a link between energy efficiency and thermal comfort, we have not included the benefits any health and productivity improvements associated with IEQ in the CBA.</w:t>
      </w:r>
    </w:p>
    <w:p w14:paraId="7DD6A8D1" w14:textId="77777777" w:rsidR="00ED0E85" w:rsidRDefault="00ED0E85" w:rsidP="00ED0E85">
      <w:pPr>
        <w:pStyle w:val="Heading3"/>
        <w:numPr>
          <w:ilvl w:val="2"/>
          <w:numId w:val="5"/>
        </w:numPr>
      </w:pPr>
      <w:r>
        <w:t>Approach to modelling the benefits</w:t>
      </w:r>
    </w:p>
    <w:p w14:paraId="2F1763F2" w14:textId="77777777" w:rsidR="00ED0E85" w:rsidRDefault="00ED0E85" w:rsidP="00ED0E85">
      <w:pPr>
        <w:pStyle w:val="BodyText"/>
      </w:pPr>
      <w:r>
        <w:t>The impact of the CBD Program on energy performance are discussed in detail in chapter 4. Our modelling approach reflects the following key observations from our analysis of the data and stakeholder consultations.</w:t>
      </w:r>
    </w:p>
    <w:p w14:paraId="2F6204DF" w14:textId="77777777" w:rsidR="00ED0E85" w:rsidRDefault="00ED0E85" w:rsidP="00ED0E85">
      <w:pPr>
        <w:pStyle w:val="ListBullet"/>
      </w:pPr>
      <w:r>
        <w:t>Buildings in the NABERS system tend to reduce energy intensity (and improve the NABERS Energy star rating) consistently over time (rather than make larger periodic improvements).</w:t>
      </w:r>
    </w:p>
    <w:p w14:paraId="5E619D33" w14:textId="77777777" w:rsidR="00ED0E85" w:rsidRDefault="00ED0E85" w:rsidP="00ED0E85">
      <w:pPr>
        <w:pStyle w:val="ListBullet"/>
      </w:pPr>
      <w:r>
        <w:t>Buildings that enter the NABERS system with lower star ratings tend to make larger improvements than buildings that enter the NABERS system with higher star ratings.</w:t>
      </w:r>
    </w:p>
    <w:p w14:paraId="61D8A496" w14:textId="77777777" w:rsidR="00ED0E85" w:rsidRDefault="00ED0E85" w:rsidP="00ED0E85">
      <w:pPr>
        <w:pStyle w:val="ListBullet"/>
      </w:pPr>
      <w:r>
        <w:t>Although there are not significant differences in performance improvements across states, the benefits of reducing energy consumption will vary due to differences in energy prices, as well as the GHG</w:t>
      </w:r>
      <w:r>
        <w:noBreakHyphen/>
        <w:t>intensity of the energy consumed (particularly electricity).</w:t>
      </w:r>
    </w:p>
    <w:p w14:paraId="4F2F0062" w14:textId="77777777" w:rsidR="00ED0E85" w:rsidRDefault="00ED0E85" w:rsidP="00ED0E85">
      <w:pPr>
        <w:pStyle w:val="Heading4"/>
        <w:numPr>
          <w:ilvl w:val="3"/>
          <w:numId w:val="5"/>
        </w:numPr>
      </w:pPr>
      <w:r>
        <w:t>Attribution to the CBD Program</w:t>
      </w:r>
    </w:p>
    <w:p w14:paraId="592E8D09" w14:textId="77777777" w:rsidR="00ED0E85" w:rsidRDefault="00ED0E85" w:rsidP="00ED0E85">
      <w:pPr>
        <w:pStyle w:val="BodyText"/>
      </w:pPr>
      <w:r>
        <w:t>As some buildings were rating voluntarily prior to the implementations of the CBD Program, any improvements in these buildings cannot be attributed to the CBD Program. The CBD Program:</w:t>
      </w:r>
    </w:p>
    <w:p w14:paraId="69E57F83" w14:textId="77777777" w:rsidR="00ED0E85" w:rsidRDefault="00ED0E85" w:rsidP="00ED0E85">
      <w:pPr>
        <w:pStyle w:val="ListBullet"/>
      </w:pPr>
      <w:r>
        <w:t>was announced in November 2009</w:t>
      </w:r>
    </w:p>
    <w:p w14:paraId="2459BE5A" w14:textId="77777777" w:rsidR="00ED0E85" w:rsidRDefault="00ED0E85" w:rsidP="00ED0E85">
      <w:pPr>
        <w:pStyle w:val="ListBullet"/>
      </w:pPr>
      <w:r>
        <w:t>the legislation received assent in June 2010</w:t>
      </w:r>
    </w:p>
    <w:p w14:paraId="21E83C8B" w14:textId="77777777" w:rsidR="00ED0E85" w:rsidRDefault="00ED0E85" w:rsidP="00ED0E85">
      <w:pPr>
        <w:pStyle w:val="ListBullet"/>
      </w:pPr>
      <w:r>
        <w:t>the legislation commenced in November 2010, but was not implemented in full until November 2011.</w:t>
      </w:r>
    </w:p>
    <w:p w14:paraId="65675CA9" w14:textId="22CFE578" w:rsidR="00ED0E85" w:rsidRDefault="00ED0E85" w:rsidP="00ED0E85">
      <w:pPr>
        <w:pStyle w:val="BodyText"/>
      </w:pPr>
      <w:r>
        <w:t>Chart </w:t>
      </w:r>
      <w:r>
        <w:rPr>
          <w:noProof/>
        </w:rPr>
        <w:fldChar w:fldCharType="begin"/>
      </w:r>
      <w:r>
        <w:rPr>
          <w:noProof/>
        </w:rPr>
        <w:instrText xml:space="preserve"> REF _Caption1388 </w:instrText>
      </w:r>
      <w:r>
        <w:rPr>
          <w:noProof/>
        </w:rPr>
        <w:fldChar w:fldCharType="separate"/>
      </w:r>
      <w:r w:rsidR="00AD3561">
        <w:rPr>
          <w:noProof/>
        </w:rPr>
        <w:t>4</w:t>
      </w:r>
      <w:r w:rsidR="00AD3561" w:rsidRPr="00695C93">
        <w:rPr>
          <w:noProof/>
        </w:rPr>
        <w:t>.</w:t>
      </w:r>
      <w:r w:rsidR="00AD3561">
        <w:rPr>
          <w:noProof/>
        </w:rPr>
        <w:t>2</w:t>
      </w:r>
      <w:r>
        <w:rPr>
          <w:noProof/>
        </w:rPr>
        <w:fldChar w:fldCharType="end"/>
      </w:r>
      <w:r>
        <w:t xml:space="preserve"> (in the previous chapter) shows that the most significant increase in the number of new NABERS ratings occurred in 2010</w:t>
      </w:r>
      <w:r>
        <w:noBreakHyphen/>
        <w:t>11, although there was also a smaller increase in 2009</w:t>
      </w:r>
      <w:r>
        <w:noBreakHyphen/>
        <w:t>10, the year in which the CBD Program was announced.</w:t>
      </w:r>
    </w:p>
    <w:p w14:paraId="495ABA20" w14:textId="77777777" w:rsidR="00ED0E85" w:rsidRDefault="00ED0E85" w:rsidP="00ED0E85">
      <w:pPr>
        <w:pStyle w:val="KeyPoint"/>
      </w:pPr>
      <w:r>
        <w:t>We assume that all buildings that entered the NABERS system from 1 July 2010 is attributable to the CBD Program.</w:t>
      </w:r>
    </w:p>
    <w:p w14:paraId="38A34BB2" w14:textId="77777777" w:rsidR="00ED0E85" w:rsidRDefault="00ED0E85" w:rsidP="00ED0E85">
      <w:pPr>
        <w:pStyle w:val="BodyText"/>
      </w:pPr>
      <w:r>
        <w:t>The total floor space of buildings entering the NABERS system for the first time (including both base building and whole building ratings) since 2010</w:t>
      </w:r>
      <w:r>
        <w:noBreakHyphen/>
        <w:t>11 by state/territory and star rating is shown in appendix D.</w:t>
      </w:r>
    </w:p>
    <w:p w14:paraId="6B9BBEFB" w14:textId="77777777" w:rsidR="00ED0E85" w:rsidRDefault="00ED0E85" w:rsidP="00ED0E85">
      <w:pPr>
        <w:pStyle w:val="Heading4"/>
        <w:numPr>
          <w:ilvl w:val="3"/>
          <w:numId w:val="5"/>
        </w:numPr>
      </w:pPr>
      <w:r>
        <w:t>Estimated changes in energy intensity over time</w:t>
      </w:r>
    </w:p>
    <w:p w14:paraId="50FAA2C9" w14:textId="77777777" w:rsidR="00ED0E85" w:rsidRPr="006A46AB" w:rsidRDefault="00ED0E85" w:rsidP="00ED0E85">
      <w:pPr>
        <w:pStyle w:val="BodyText"/>
      </w:pPr>
      <w:r>
        <w:t>The average base building energy intensity of buildings entering the NABERS system for the first time by state/territory and star rating is shown in appendix D.</w:t>
      </w:r>
    </w:p>
    <w:p w14:paraId="3A43DFBF" w14:textId="6A336662" w:rsidR="00ED0E85" w:rsidRDefault="00ED0E85" w:rsidP="00ED0E85">
      <w:pPr>
        <w:pStyle w:val="BodyText"/>
      </w:pPr>
      <w:r>
        <w:t>Based on the statistical modelling, the assumptions on the incremental change in energy intensity for each building entering the NABERS system after 2010</w:t>
      </w:r>
      <w:r>
        <w:noBreakHyphen/>
        <w:t xml:space="preserve">11 are shown in </w:t>
      </w:r>
      <w:r w:rsidRPr="00D83163">
        <w:t>table </w:t>
      </w:r>
      <w:r>
        <w:rPr>
          <w:highlight w:val="yellow"/>
        </w:rPr>
        <w:fldChar w:fldCharType="begin"/>
      </w:r>
      <w:r>
        <w:rPr>
          <w:highlight w:val="yellow"/>
        </w:rPr>
        <w:instrText xml:space="preserve"> REF _Caption2433 </w:instrText>
      </w:r>
      <w:r>
        <w:rPr>
          <w:highlight w:val="yellow"/>
        </w:rPr>
        <w:fldChar w:fldCharType="separate"/>
      </w:r>
      <w:r w:rsidR="00AD3561">
        <w:rPr>
          <w:noProof/>
        </w:rPr>
        <w:t>5</w:t>
      </w:r>
      <w:r w:rsidR="00AD3561" w:rsidRPr="00695C93">
        <w:rPr>
          <w:noProof/>
        </w:rPr>
        <w:t>.</w:t>
      </w:r>
      <w:r w:rsidR="00AD3561">
        <w:rPr>
          <w:noProof/>
        </w:rPr>
        <w:t>4</w:t>
      </w:r>
      <w:r>
        <w:rPr>
          <w:highlight w:val="yellow"/>
        </w:rPr>
        <w:fldChar w:fldCharType="end"/>
      </w:r>
      <w:r>
        <w:t>.</w:t>
      </w:r>
      <w:r w:rsidRPr="00D83163">
        <w:t xml:space="preserve"> </w:t>
      </w:r>
      <w:r>
        <w:t>Note that these reductions in energy intensity are cumulative over time.</w:t>
      </w:r>
    </w:p>
    <w:p w14:paraId="58EB7D59" w14:textId="26C160AA" w:rsidR="00ED0E85" w:rsidRDefault="00ED0E85" w:rsidP="00ED0E85">
      <w:pPr>
        <w:pStyle w:val="BodyText"/>
      </w:pPr>
      <w:r>
        <w:t>Improvements in energy efficiency under the baseline scenario (i.e. without mandatory disclosure) are less clear as we have only limited data. On balance, the analysis in chapter 4 suggests that the average improvement made by those buildings outside the NABERS system may be around half that observed under the CBD Program. Under the baseline scenario, we therefore assume half the improvement shown in table </w:t>
      </w:r>
      <w:r w:rsidR="004550CB">
        <w:rPr>
          <w:noProof/>
        </w:rPr>
        <w:fldChar w:fldCharType="begin"/>
      </w:r>
      <w:r w:rsidR="004550CB">
        <w:rPr>
          <w:noProof/>
        </w:rPr>
        <w:instrText xml:space="preserve"> REF _Caption6759 </w:instrText>
      </w:r>
      <w:r w:rsidR="004550CB">
        <w:rPr>
          <w:noProof/>
        </w:rPr>
        <w:fldChar w:fldCharType="separate"/>
      </w:r>
      <w:r w:rsidR="00AD3561">
        <w:rPr>
          <w:noProof/>
        </w:rPr>
        <w:t>5</w:t>
      </w:r>
      <w:r w:rsidR="00AD3561" w:rsidRPr="00695C93">
        <w:rPr>
          <w:noProof/>
        </w:rPr>
        <w:t>.</w:t>
      </w:r>
      <w:r w:rsidR="00AD3561">
        <w:rPr>
          <w:noProof/>
        </w:rPr>
        <w:t>4</w:t>
      </w:r>
      <w:r w:rsidR="004550CB">
        <w:rPr>
          <w:noProof/>
        </w:rPr>
        <w:fldChar w:fldCharType="end"/>
      </w:r>
      <w:r>
        <w:t>.</w:t>
      </w:r>
    </w:p>
    <w:p w14:paraId="5D34ACCD" w14:textId="6E31A8F4"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w:instrText>
      </w:r>
      <w:r w:rsidRPr="00695C93">
        <w:fldChar w:fldCharType="separate"/>
      </w:r>
      <w:r w:rsidR="00AD3561">
        <w:rPr>
          <w:noProof/>
        </w:rPr>
        <w:instrText>5</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5</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4</w:instrText>
      </w:r>
      <w:r w:rsidRPr="00695C93">
        <w:fldChar w:fldCharType="end"/>
      </w:r>
      <w:r w:rsidRPr="00695C93">
        <w:instrText xml:space="preserve">" "" </w:instrText>
      </w:r>
      <w:r w:rsidRPr="00695C93">
        <w:fldChar w:fldCharType="separate"/>
      </w:r>
      <w:bookmarkStart w:id="2928" w:name="_Caption0993"/>
      <w:bookmarkStart w:id="2929" w:name="_Caption1090"/>
      <w:bookmarkStart w:id="2930" w:name="_Caption6324"/>
      <w:bookmarkStart w:id="2931" w:name="_Caption3068"/>
      <w:bookmarkStart w:id="2932" w:name="_Caption8930"/>
      <w:bookmarkStart w:id="2933" w:name="_Caption6345"/>
      <w:bookmarkStart w:id="2934" w:name="_Caption6458"/>
      <w:bookmarkStart w:id="2935" w:name="_Caption9817"/>
      <w:bookmarkStart w:id="2936" w:name="_Caption3088"/>
      <w:bookmarkStart w:id="2937" w:name="_Caption4948"/>
      <w:bookmarkStart w:id="2938" w:name="_Caption8893"/>
      <w:bookmarkStart w:id="2939" w:name="_Caption4503"/>
      <w:bookmarkStart w:id="2940" w:name="_Caption8557"/>
      <w:bookmarkStart w:id="2941" w:name="_Caption0285"/>
      <w:bookmarkStart w:id="2942" w:name="_Caption9159"/>
      <w:bookmarkStart w:id="2943" w:name="_Caption0994"/>
      <w:bookmarkStart w:id="2944" w:name="_Caption8591"/>
      <w:bookmarkStart w:id="2945" w:name="_Caption6759"/>
      <w:bookmarkStart w:id="2946" w:name="_Caption0745"/>
      <w:bookmarkStart w:id="2947" w:name="_Caption3155"/>
      <w:bookmarkStart w:id="2948" w:name="_Caption7204"/>
      <w:bookmarkStart w:id="2949" w:name="_Caption5882"/>
      <w:bookmarkStart w:id="2950" w:name="_Caption6993"/>
      <w:bookmarkStart w:id="2951" w:name="_Caption5415"/>
      <w:bookmarkStart w:id="2952" w:name="_Caption5716"/>
      <w:bookmarkStart w:id="2953" w:name="_Caption3577"/>
      <w:bookmarkStart w:id="2954" w:name="_Caption2223"/>
      <w:bookmarkStart w:id="2955" w:name="_Caption5232"/>
      <w:bookmarkStart w:id="2956" w:name="_Caption9284"/>
      <w:bookmarkStart w:id="2957" w:name="_Caption5677"/>
      <w:bookmarkStart w:id="2958" w:name="_Caption0349"/>
      <w:bookmarkStart w:id="2959" w:name="_Caption2084"/>
      <w:bookmarkStart w:id="2960" w:name="_Caption7430"/>
      <w:bookmarkStart w:id="2961" w:name="_Caption2133"/>
      <w:bookmarkStart w:id="2962" w:name="_Caption5276"/>
      <w:bookmarkStart w:id="2963" w:name="_Caption8804"/>
      <w:bookmarkStart w:id="2964" w:name="_Caption0080"/>
      <w:bookmarkStart w:id="2965" w:name="_Caption7808"/>
      <w:bookmarkStart w:id="2966" w:name="_Caption2433"/>
      <w:bookmarkStart w:id="2967" w:name="_Caption8772"/>
      <w:bookmarkStart w:id="2968" w:name="_Caption2013"/>
      <w:bookmarkStart w:id="2969" w:name="_Caption7194"/>
      <w:bookmarkStart w:id="2970" w:name="_Caption4661"/>
      <w:bookmarkStart w:id="2971" w:name="_Caption5560"/>
      <w:bookmarkStart w:id="2972" w:name="_Caption1404"/>
      <w:bookmarkStart w:id="2973" w:name="_Caption2169"/>
      <w:bookmarkStart w:id="2974" w:name="_Caption6305"/>
      <w:bookmarkStart w:id="2975" w:name="_Caption5487"/>
      <w:bookmarkStart w:id="2976" w:name="_Caption2557"/>
      <w:bookmarkStart w:id="2977" w:name="_Caption7778"/>
      <w:bookmarkStart w:id="2978" w:name="_Caption7575"/>
      <w:bookmarkStart w:id="2979" w:name="_Caption2831"/>
      <w:bookmarkStart w:id="2980" w:name="_Caption5215"/>
      <w:bookmarkStart w:id="2981" w:name="_Caption3019"/>
      <w:bookmarkStart w:id="2982" w:name="_Caption2634"/>
      <w:bookmarkStart w:id="2983" w:name="_Caption2165"/>
      <w:bookmarkStart w:id="2984" w:name="_Caption1365"/>
      <w:bookmarkStart w:id="2985" w:name="_Caption6818"/>
      <w:bookmarkStart w:id="2986" w:name="_Caption7491"/>
      <w:bookmarkStart w:id="2987" w:name="_Caption7010"/>
      <w:bookmarkStart w:id="2988" w:name="_Caption5494"/>
      <w:bookmarkStart w:id="2989" w:name="_Caption5156"/>
      <w:bookmarkStart w:id="2990" w:name="_Caption3179"/>
      <w:bookmarkStart w:id="2991" w:name="_Caption2554"/>
      <w:bookmarkStart w:id="2992" w:name="_Caption4359"/>
      <w:bookmarkStart w:id="2993" w:name="_Caption9707"/>
      <w:bookmarkStart w:id="2994" w:name="_Caption1654"/>
      <w:bookmarkStart w:id="2995" w:name="_Caption4534"/>
      <w:bookmarkStart w:id="2996" w:name="_Caption4192"/>
      <w:bookmarkStart w:id="2997" w:name="_Caption2880"/>
      <w:bookmarkStart w:id="2998" w:name="_Caption2504"/>
      <w:bookmarkStart w:id="2999" w:name="_Caption4428"/>
      <w:bookmarkStart w:id="3000" w:name="_Caption3269"/>
      <w:bookmarkStart w:id="3001" w:name="_Caption3093"/>
      <w:bookmarkStart w:id="3002" w:name="_Toc19275595"/>
      <w:bookmarkStart w:id="3003" w:name="_Toc19276205"/>
      <w:bookmarkStart w:id="3004" w:name="_Toc19280204"/>
      <w:r w:rsidR="00C353B5">
        <w:rPr>
          <w:noProof/>
        </w:rPr>
        <w:t>5</w:t>
      </w:r>
      <w:r w:rsidR="00C353B5" w:rsidRPr="00695C93">
        <w:rPr>
          <w:noProof/>
        </w:rPr>
        <w:t>.</w:t>
      </w:r>
      <w:r w:rsidR="00C353B5">
        <w:rPr>
          <w:noProof/>
        </w:rPr>
        <w:t>4</w:t>
      </w:r>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r w:rsidRPr="00695C93">
        <w:fldChar w:fldCharType="end"/>
      </w:r>
      <w:r w:rsidRPr="00695C93">
        <w:tab/>
      </w:r>
      <w:r>
        <w:t>Incremental change in energy intensity and NABERS star rating</w:t>
      </w:r>
      <w:bookmarkEnd w:id="3002"/>
      <w:bookmarkEnd w:id="3003"/>
      <w:bookmarkEnd w:id="3004"/>
    </w:p>
    <w:tbl>
      <w:tblPr>
        <w:tblW w:w="7938" w:type="dxa"/>
        <w:tblLayout w:type="fixed"/>
        <w:tblLook w:val="0000" w:firstRow="0" w:lastRow="0" w:firstColumn="0" w:lastColumn="0" w:noHBand="0" w:noVBand="0"/>
      </w:tblPr>
      <w:tblGrid>
        <w:gridCol w:w="1299"/>
        <w:gridCol w:w="1659"/>
        <w:gridCol w:w="1660"/>
        <w:gridCol w:w="1660"/>
        <w:gridCol w:w="1660"/>
      </w:tblGrid>
      <w:tr w:rsidR="00ED0E85" w14:paraId="06027A4D" w14:textId="77777777" w:rsidTr="00ED0E85">
        <w:trPr>
          <w:trHeight w:val="230"/>
          <w:tblHeader/>
        </w:trPr>
        <w:tc>
          <w:tcPr>
            <w:tcW w:w="1299" w:type="dxa"/>
            <w:shd w:val="clear" w:color="auto" w:fill="6F6652"/>
            <w:tcMar>
              <w:left w:w="57" w:type="dxa"/>
              <w:right w:w="57" w:type="dxa"/>
            </w:tcMar>
          </w:tcPr>
          <w:p w14:paraId="48D61CC6" w14:textId="77777777" w:rsidR="00ED0E85" w:rsidRDefault="00ED0E85" w:rsidP="00ED0E85">
            <w:pPr>
              <w:pStyle w:val="TableDataColumnHeading"/>
              <w:jc w:val="left"/>
              <w:rPr>
                <w:lang w:val="en-GB"/>
              </w:rPr>
            </w:pPr>
            <w:r>
              <w:rPr>
                <w:lang w:val="en-GB"/>
              </w:rPr>
              <w:t>Initial star rating</w:t>
            </w:r>
          </w:p>
        </w:tc>
        <w:tc>
          <w:tcPr>
            <w:tcW w:w="3319" w:type="dxa"/>
            <w:gridSpan w:val="2"/>
            <w:shd w:val="clear" w:color="auto" w:fill="6F6652"/>
            <w:tcMar>
              <w:left w:w="57" w:type="dxa"/>
              <w:right w:w="57" w:type="dxa"/>
            </w:tcMar>
          </w:tcPr>
          <w:p w14:paraId="591AABC6" w14:textId="77777777" w:rsidR="00ED0E85" w:rsidRDefault="00ED0E85" w:rsidP="00ED0E85">
            <w:pPr>
              <w:pStyle w:val="TableDataColumnHeading"/>
              <w:rPr>
                <w:lang w:val="en-GB"/>
              </w:rPr>
            </w:pPr>
            <w:r>
              <w:rPr>
                <w:lang w:val="en-GB"/>
              </w:rPr>
              <w:t>Incremental change in energy intensity</w:t>
            </w:r>
          </w:p>
        </w:tc>
        <w:tc>
          <w:tcPr>
            <w:tcW w:w="3320" w:type="dxa"/>
            <w:gridSpan w:val="2"/>
            <w:shd w:val="clear" w:color="auto" w:fill="6F6652"/>
          </w:tcPr>
          <w:p w14:paraId="6F3CAE95" w14:textId="77777777" w:rsidR="00ED0E85" w:rsidRDefault="00ED0E85" w:rsidP="00ED0E85">
            <w:pPr>
              <w:pStyle w:val="TableDataColumnHeading"/>
              <w:rPr>
                <w:lang w:val="en-GB"/>
              </w:rPr>
            </w:pPr>
            <w:r>
              <w:rPr>
                <w:lang w:val="en-GB"/>
              </w:rPr>
              <w:t>Incremental change in NABERS rating</w:t>
            </w:r>
          </w:p>
        </w:tc>
      </w:tr>
      <w:tr w:rsidR="00ED0E85" w14:paraId="51AE3C79" w14:textId="77777777" w:rsidTr="00ED0E85">
        <w:trPr>
          <w:trHeight w:val="230"/>
          <w:tblHeader/>
        </w:trPr>
        <w:tc>
          <w:tcPr>
            <w:tcW w:w="1299" w:type="dxa"/>
            <w:shd w:val="clear" w:color="auto" w:fill="6F6652"/>
            <w:tcMar>
              <w:left w:w="57" w:type="dxa"/>
              <w:right w:w="57" w:type="dxa"/>
            </w:tcMar>
          </w:tcPr>
          <w:p w14:paraId="281A8C4E" w14:textId="77777777" w:rsidR="00ED0E85" w:rsidRDefault="00ED0E85" w:rsidP="00ED0E85">
            <w:pPr>
              <w:pStyle w:val="TableDataColumnHeading"/>
              <w:jc w:val="left"/>
              <w:rPr>
                <w:lang w:val="en-GB"/>
              </w:rPr>
            </w:pPr>
          </w:p>
        </w:tc>
        <w:tc>
          <w:tcPr>
            <w:tcW w:w="1659" w:type="dxa"/>
            <w:shd w:val="clear" w:color="auto" w:fill="6F6652"/>
            <w:tcMar>
              <w:left w:w="57" w:type="dxa"/>
              <w:right w:w="57" w:type="dxa"/>
            </w:tcMar>
          </w:tcPr>
          <w:p w14:paraId="1D8545E2" w14:textId="77777777" w:rsidR="00ED0E85" w:rsidRDefault="00ED0E85" w:rsidP="00ED0E85">
            <w:pPr>
              <w:pStyle w:val="TableDataColumnHeading"/>
              <w:rPr>
                <w:lang w:val="en-GB"/>
              </w:rPr>
            </w:pPr>
            <w:r>
              <w:rPr>
                <w:lang w:val="en-GB"/>
              </w:rPr>
              <w:t>Under CBD Program</w:t>
            </w:r>
          </w:p>
        </w:tc>
        <w:tc>
          <w:tcPr>
            <w:tcW w:w="1660" w:type="dxa"/>
            <w:shd w:val="clear" w:color="auto" w:fill="6F6652"/>
          </w:tcPr>
          <w:p w14:paraId="1CD6B5C3" w14:textId="77777777" w:rsidR="00ED0E85" w:rsidRDefault="00ED0E85" w:rsidP="00ED0E85">
            <w:pPr>
              <w:pStyle w:val="TableDataColumnHeading"/>
              <w:rPr>
                <w:lang w:val="en-GB"/>
              </w:rPr>
            </w:pPr>
            <w:r>
              <w:rPr>
                <w:lang w:val="en-GB"/>
              </w:rPr>
              <w:t>Baseline</w:t>
            </w:r>
          </w:p>
        </w:tc>
        <w:tc>
          <w:tcPr>
            <w:tcW w:w="1660" w:type="dxa"/>
            <w:shd w:val="clear" w:color="auto" w:fill="6F6652"/>
          </w:tcPr>
          <w:p w14:paraId="7407B854" w14:textId="77777777" w:rsidR="00ED0E85" w:rsidRDefault="00ED0E85" w:rsidP="00ED0E85">
            <w:pPr>
              <w:pStyle w:val="TableDataColumnHeading"/>
              <w:rPr>
                <w:lang w:val="en-GB"/>
              </w:rPr>
            </w:pPr>
            <w:r>
              <w:rPr>
                <w:lang w:val="en-GB"/>
              </w:rPr>
              <w:t>Under CBD Program</w:t>
            </w:r>
          </w:p>
        </w:tc>
        <w:tc>
          <w:tcPr>
            <w:tcW w:w="1660" w:type="dxa"/>
            <w:shd w:val="clear" w:color="auto" w:fill="6F6652"/>
          </w:tcPr>
          <w:p w14:paraId="67375B16" w14:textId="77777777" w:rsidR="00ED0E85" w:rsidRDefault="00ED0E85" w:rsidP="00ED0E85">
            <w:pPr>
              <w:pStyle w:val="TableDataColumnHeading"/>
              <w:rPr>
                <w:lang w:val="en-GB"/>
              </w:rPr>
            </w:pPr>
            <w:r>
              <w:rPr>
                <w:lang w:val="en-GB"/>
              </w:rPr>
              <w:t>Baseline</w:t>
            </w:r>
          </w:p>
        </w:tc>
      </w:tr>
      <w:tr w:rsidR="00ED0E85" w14:paraId="69B0D0CC" w14:textId="77777777" w:rsidTr="00ED0E85">
        <w:trPr>
          <w:trHeight w:val="230"/>
          <w:tblHeader/>
        </w:trPr>
        <w:tc>
          <w:tcPr>
            <w:tcW w:w="1299" w:type="dxa"/>
            <w:tcBorders>
              <w:bottom w:val="single" w:sz="8" w:space="0" w:color="FFFFFF" w:themeColor="background1"/>
            </w:tcBorders>
            <w:shd w:val="clear" w:color="auto" w:fill="auto"/>
            <w:tcMar>
              <w:left w:w="57" w:type="dxa"/>
              <w:right w:w="57" w:type="dxa"/>
            </w:tcMar>
          </w:tcPr>
          <w:p w14:paraId="2452D3DD" w14:textId="77777777" w:rsidR="00ED0E85" w:rsidRDefault="00ED0E85" w:rsidP="00ED0E85">
            <w:pPr>
              <w:pStyle w:val="TableUnit"/>
              <w:jc w:val="left"/>
              <w:rPr>
                <w:lang w:val="en-GB"/>
              </w:rPr>
            </w:pPr>
          </w:p>
        </w:tc>
        <w:tc>
          <w:tcPr>
            <w:tcW w:w="1659" w:type="dxa"/>
            <w:tcBorders>
              <w:bottom w:val="single" w:sz="8" w:space="0" w:color="FFFFFF" w:themeColor="background1"/>
            </w:tcBorders>
            <w:shd w:val="clear" w:color="auto" w:fill="auto"/>
            <w:tcMar>
              <w:left w:w="57" w:type="dxa"/>
              <w:right w:w="57" w:type="dxa"/>
            </w:tcMar>
          </w:tcPr>
          <w:p w14:paraId="189679F6" w14:textId="77777777" w:rsidR="00ED0E85" w:rsidRDefault="00ED0E85" w:rsidP="00ED0E85">
            <w:pPr>
              <w:pStyle w:val="TableUnit"/>
              <w:rPr>
                <w:lang w:val="en-GB"/>
              </w:rPr>
            </w:pPr>
            <w:r>
              <w:rPr>
                <w:lang w:val="en-GB"/>
              </w:rPr>
              <w:t>MJ per m</w:t>
            </w:r>
            <w:r w:rsidRPr="002446B0">
              <w:rPr>
                <w:vertAlign w:val="superscript"/>
                <w:lang w:val="en-GB"/>
              </w:rPr>
              <w:t>2</w:t>
            </w:r>
          </w:p>
        </w:tc>
        <w:tc>
          <w:tcPr>
            <w:tcW w:w="1660" w:type="dxa"/>
            <w:tcBorders>
              <w:bottom w:val="single" w:sz="8" w:space="0" w:color="FFFFFF" w:themeColor="background1"/>
            </w:tcBorders>
          </w:tcPr>
          <w:p w14:paraId="5FD1A071" w14:textId="77777777" w:rsidR="00ED0E85" w:rsidRDefault="00ED0E85" w:rsidP="00ED0E85">
            <w:pPr>
              <w:pStyle w:val="TableUnit"/>
              <w:rPr>
                <w:lang w:val="en-GB"/>
              </w:rPr>
            </w:pPr>
            <w:r>
              <w:rPr>
                <w:lang w:val="en-GB"/>
              </w:rPr>
              <w:t>MJ per m</w:t>
            </w:r>
            <w:r w:rsidRPr="009253DC">
              <w:rPr>
                <w:vertAlign w:val="superscript"/>
                <w:lang w:val="en-GB"/>
              </w:rPr>
              <w:t>2</w:t>
            </w:r>
          </w:p>
        </w:tc>
        <w:tc>
          <w:tcPr>
            <w:tcW w:w="1660" w:type="dxa"/>
            <w:tcBorders>
              <w:bottom w:val="single" w:sz="8" w:space="0" w:color="FFFFFF" w:themeColor="background1"/>
            </w:tcBorders>
          </w:tcPr>
          <w:p w14:paraId="0804F33C" w14:textId="77777777" w:rsidR="00ED0E85" w:rsidRDefault="00ED0E85" w:rsidP="00ED0E85">
            <w:pPr>
              <w:pStyle w:val="TableUnit"/>
              <w:rPr>
                <w:lang w:val="en-GB"/>
              </w:rPr>
            </w:pPr>
            <w:r>
              <w:rPr>
                <w:lang w:val="en-GB"/>
              </w:rPr>
              <w:t>Stars</w:t>
            </w:r>
          </w:p>
        </w:tc>
        <w:tc>
          <w:tcPr>
            <w:tcW w:w="1660" w:type="dxa"/>
            <w:tcBorders>
              <w:bottom w:val="single" w:sz="8" w:space="0" w:color="FFFFFF" w:themeColor="background1"/>
            </w:tcBorders>
          </w:tcPr>
          <w:p w14:paraId="40F3F2A7" w14:textId="77777777" w:rsidR="00ED0E85" w:rsidRDefault="00ED0E85" w:rsidP="00ED0E85">
            <w:pPr>
              <w:pStyle w:val="TableUnit"/>
              <w:rPr>
                <w:lang w:val="en-GB"/>
              </w:rPr>
            </w:pPr>
            <w:r>
              <w:rPr>
                <w:lang w:val="en-GB"/>
              </w:rPr>
              <w:t>Stars</w:t>
            </w:r>
          </w:p>
        </w:tc>
      </w:tr>
      <w:tr w:rsidR="00ED0E85" w14:paraId="52F97C10" w14:textId="77777777" w:rsidTr="00ED0E85">
        <w:trPr>
          <w:trHeight w:val="230"/>
        </w:trPr>
        <w:tc>
          <w:tcPr>
            <w:tcW w:w="12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472409" w14:textId="77777777" w:rsidR="00ED0E85" w:rsidRDefault="00ED0E85" w:rsidP="00ED0E85">
            <w:pPr>
              <w:pStyle w:val="TableDataEntries"/>
              <w:jc w:val="left"/>
              <w:rPr>
                <w:lang w:val="en-GB"/>
              </w:rPr>
            </w:pPr>
            <w:r>
              <w:rPr>
                <w:lang w:val="en-GB"/>
              </w:rPr>
              <w:t>0.0</w:t>
            </w:r>
          </w:p>
        </w:tc>
        <w:tc>
          <w:tcPr>
            <w:tcW w:w="16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3E45C3" w14:textId="77777777" w:rsidR="00ED0E85" w:rsidRPr="009253DC" w:rsidRDefault="00ED0E85" w:rsidP="00ED0E85">
            <w:pPr>
              <w:pStyle w:val="TableDataEntries"/>
            </w:pPr>
            <w:r w:rsidRPr="009253DC">
              <w:t>-48.24</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1B07112D" w14:textId="77777777" w:rsidR="00ED0E85" w:rsidRPr="009253DC" w:rsidRDefault="00ED0E85" w:rsidP="00ED0E85">
            <w:pPr>
              <w:pStyle w:val="TableDataEntries"/>
            </w:pPr>
            <w:r w:rsidRPr="009253DC">
              <w:t>-24.12</w:t>
            </w:r>
          </w:p>
        </w:tc>
        <w:tc>
          <w:tcPr>
            <w:tcW w:w="1660" w:type="dxa"/>
            <w:tcBorders>
              <w:top w:val="single" w:sz="8" w:space="0" w:color="FFFFFF" w:themeColor="background1"/>
              <w:bottom w:val="single" w:sz="8" w:space="0" w:color="FFFFFF" w:themeColor="background1"/>
            </w:tcBorders>
            <w:shd w:val="clear" w:color="auto" w:fill="E9E8E5" w:themeFill="background2"/>
          </w:tcPr>
          <w:p w14:paraId="792A9BD3" w14:textId="77777777" w:rsidR="00ED0E85" w:rsidRPr="009253DC" w:rsidRDefault="00ED0E85" w:rsidP="00ED0E85">
            <w:pPr>
              <w:pStyle w:val="TableDataEntries"/>
            </w:pPr>
            <w:r w:rsidRPr="009253DC">
              <w:t>0.42</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72A8DB7F" w14:textId="77777777" w:rsidR="00ED0E85" w:rsidRPr="009253DC" w:rsidRDefault="00ED0E85" w:rsidP="00ED0E85">
            <w:pPr>
              <w:pStyle w:val="TableDataEntries"/>
            </w:pPr>
            <w:r w:rsidRPr="009253DC">
              <w:t>0.21</w:t>
            </w:r>
          </w:p>
        </w:tc>
      </w:tr>
      <w:tr w:rsidR="00ED0E85" w14:paraId="4C41A16E" w14:textId="77777777" w:rsidTr="00ED0E85">
        <w:trPr>
          <w:trHeight w:val="230"/>
        </w:trPr>
        <w:tc>
          <w:tcPr>
            <w:tcW w:w="12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19656D" w14:textId="77777777" w:rsidR="00ED0E85" w:rsidRDefault="00ED0E85" w:rsidP="00ED0E85">
            <w:pPr>
              <w:pStyle w:val="TableDataEntries"/>
              <w:jc w:val="left"/>
              <w:rPr>
                <w:lang w:val="en-GB"/>
              </w:rPr>
            </w:pPr>
            <w:r>
              <w:rPr>
                <w:lang w:val="en-GB"/>
              </w:rPr>
              <w:t>0.5</w:t>
            </w:r>
          </w:p>
        </w:tc>
        <w:tc>
          <w:tcPr>
            <w:tcW w:w="16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54EADB" w14:textId="77777777" w:rsidR="00ED0E85" w:rsidRPr="009253DC" w:rsidRDefault="00ED0E85" w:rsidP="00ED0E85">
            <w:pPr>
              <w:pStyle w:val="TableDataEntries"/>
            </w:pPr>
            <w:r w:rsidRPr="009253DC">
              <w:t>-48.24</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01C28863" w14:textId="77777777" w:rsidR="00ED0E85" w:rsidRPr="009253DC" w:rsidRDefault="00ED0E85" w:rsidP="00ED0E85">
            <w:pPr>
              <w:pStyle w:val="TableDataEntries"/>
            </w:pPr>
            <w:r w:rsidRPr="009253DC">
              <w:t>-24.12</w:t>
            </w:r>
          </w:p>
        </w:tc>
        <w:tc>
          <w:tcPr>
            <w:tcW w:w="1660" w:type="dxa"/>
            <w:tcBorders>
              <w:top w:val="single" w:sz="8" w:space="0" w:color="FFFFFF" w:themeColor="background1"/>
              <w:bottom w:val="single" w:sz="8" w:space="0" w:color="FFFFFF" w:themeColor="background1"/>
            </w:tcBorders>
            <w:shd w:val="clear" w:color="auto" w:fill="E9E8E5" w:themeFill="background2"/>
          </w:tcPr>
          <w:p w14:paraId="1EF6F39E" w14:textId="77777777" w:rsidR="00ED0E85" w:rsidRPr="009253DC" w:rsidRDefault="00ED0E85" w:rsidP="00ED0E85">
            <w:pPr>
              <w:pStyle w:val="TableDataEntries"/>
            </w:pPr>
            <w:r w:rsidRPr="009253DC">
              <w:t>0.42</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02ECA9FB" w14:textId="77777777" w:rsidR="00ED0E85" w:rsidRPr="009253DC" w:rsidRDefault="00ED0E85" w:rsidP="00ED0E85">
            <w:pPr>
              <w:pStyle w:val="TableDataEntries"/>
            </w:pPr>
            <w:r w:rsidRPr="009253DC">
              <w:t>0.21</w:t>
            </w:r>
          </w:p>
        </w:tc>
      </w:tr>
      <w:tr w:rsidR="00ED0E85" w14:paraId="31A3B267" w14:textId="77777777" w:rsidTr="00ED0E85">
        <w:trPr>
          <w:trHeight w:val="230"/>
        </w:trPr>
        <w:tc>
          <w:tcPr>
            <w:tcW w:w="12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DAC8FD" w14:textId="77777777" w:rsidR="00ED0E85" w:rsidRDefault="00ED0E85" w:rsidP="00ED0E85">
            <w:pPr>
              <w:pStyle w:val="TableDataEntries"/>
              <w:jc w:val="left"/>
              <w:rPr>
                <w:lang w:val="en-GB"/>
              </w:rPr>
            </w:pPr>
            <w:r>
              <w:rPr>
                <w:lang w:val="en-GB"/>
              </w:rPr>
              <w:t>1.0</w:t>
            </w:r>
          </w:p>
        </w:tc>
        <w:tc>
          <w:tcPr>
            <w:tcW w:w="16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5D5C17" w14:textId="77777777" w:rsidR="00ED0E85" w:rsidRPr="009253DC" w:rsidRDefault="00ED0E85" w:rsidP="00ED0E85">
            <w:pPr>
              <w:pStyle w:val="TableDataEntries"/>
            </w:pPr>
            <w:r w:rsidRPr="009253DC">
              <w:t>-47.95</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58A2B173" w14:textId="77777777" w:rsidR="00ED0E85" w:rsidRPr="009253DC" w:rsidRDefault="00ED0E85" w:rsidP="00ED0E85">
            <w:pPr>
              <w:pStyle w:val="TableDataEntries"/>
            </w:pPr>
            <w:r w:rsidRPr="009253DC">
              <w:t>-23.97</w:t>
            </w:r>
          </w:p>
        </w:tc>
        <w:tc>
          <w:tcPr>
            <w:tcW w:w="1660" w:type="dxa"/>
            <w:tcBorders>
              <w:top w:val="single" w:sz="8" w:space="0" w:color="FFFFFF" w:themeColor="background1"/>
              <w:bottom w:val="single" w:sz="8" w:space="0" w:color="FFFFFF" w:themeColor="background1"/>
            </w:tcBorders>
            <w:shd w:val="clear" w:color="auto" w:fill="E9E8E5" w:themeFill="background2"/>
          </w:tcPr>
          <w:p w14:paraId="747E7379" w14:textId="77777777" w:rsidR="00ED0E85" w:rsidRPr="009253DC" w:rsidRDefault="00ED0E85" w:rsidP="00ED0E85">
            <w:pPr>
              <w:pStyle w:val="TableDataEntries"/>
            </w:pPr>
            <w:r w:rsidRPr="009253DC">
              <w:t>0.40</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3220DBF9" w14:textId="77777777" w:rsidR="00ED0E85" w:rsidRPr="009253DC" w:rsidRDefault="00ED0E85" w:rsidP="00ED0E85">
            <w:pPr>
              <w:pStyle w:val="TableDataEntries"/>
            </w:pPr>
            <w:r w:rsidRPr="009253DC">
              <w:t>0.20</w:t>
            </w:r>
          </w:p>
        </w:tc>
      </w:tr>
      <w:tr w:rsidR="00ED0E85" w14:paraId="27B122A9" w14:textId="77777777" w:rsidTr="00ED0E85">
        <w:trPr>
          <w:trHeight w:val="230"/>
        </w:trPr>
        <w:tc>
          <w:tcPr>
            <w:tcW w:w="12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FFF62D" w14:textId="77777777" w:rsidR="00ED0E85" w:rsidRDefault="00ED0E85" w:rsidP="00ED0E85">
            <w:pPr>
              <w:pStyle w:val="TableDataEntries"/>
              <w:jc w:val="left"/>
              <w:rPr>
                <w:lang w:val="en-GB"/>
              </w:rPr>
            </w:pPr>
            <w:r>
              <w:rPr>
                <w:lang w:val="en-GB"/>
              </w:rPr>
              <w:t>1.5</w:t>
            </w:r>
          </w:p>
        </w:tc>
        <w:tc>
          <w:tcPr>
            <w:tcW w:w="16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94179B" w14:textId="77777777" w:rsidR="00ED0E85" w:rsidRPr="009253DC" w:rsidRDefault="00ED0E85" w:rsidP="00ED0E85">
            <w:pPr>
              <w:pStyle w:val="TableDataEntries"/>
            </w:pPr>
            <w:r w:rsidRPr="009253DC">
              <w:t>-47.95</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515A6781" w14:textId="77777777" w:rsidR="00ED0E85" w:rsidRPr="009253DC" w:rsidRDefault="00ED0E85" w:rsidP="00ED0E85">
            <w:pPr>
              <w:pStyle w:val="TableDataEntries"/>
            </w:pPr>
            <w:r w:rsidRPr="009253DC">
              <w:t>-23.97</w:t>
            </w:r>
          </w:p>
        </w:tc>
        <w:tc>
          <w:tcPr>
            <w:tcW w:w="1660" w:type="dxa"/>
            <w:tcBorders>
              <w:top w:val="single" w:sz="8" w:space="0" w:color="FFFFFF" w:themeColor="background1"/>
              <w:bottom w:val="single" w:sz="8" w:space="0" w:color="FFFFFF" w:themeColor="background1"/>
            </w:tcBorders>
            <w:shd w:val="clear" w:color="auto" w:fill="E9E8E5" w:themeFill="background2"/>
          </w:tcPr>
          <w:p w14:paraId="1441A3AC" w14:textId="77777777" w:rsidR="00ED0E85" w:rsidRPr="009253DC" w:rsidRDefault="00ED0E85" w:rsidP="00ED0E85">
            <w:pPr>
              <w:pStyle w:val="TableDataEntries"/>
            </w:pPr>
            <w:r w:rsidRPr="009253DC">
              <w:t>0.40</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3530AEDD" w14:textId="77777777" w:rsidR="00ED0E85" w:rsidRPr="009253DC" w:rsidRDefault="00ED0E85" w:rsidP="00ED0E85">
            <w:pPr>
              <w:pStyle w:val="TableDataEntries"/>
            </w:pPr>
            <w:r w:rsidRPr="009253DC">
              <w:t>0.20</w:t>
            </w:r>
          </w:p>
        </w:tc>
      </w:tr>
      <w:tr w:rsidR="00ED0E85" w14:paraId="571A1BA1" w14:textId="77777777" w:rsidTr="00ED0E85">
        <w:trPr>
          <w:trHeight w:val="230"/>
        </w:trPr>
        <w:tc>
          <w:tcPr>
            <w:tcW w:w="12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8B8715" w14:textId="77777777" w:rsidR="00ED0E85" w:rsidRDefault="00ED0E85" w:rsidP="00ED0E85">
            <w:pPr>
              <w:pStyle w:val="TableDataEntries"/>
              <w:jc w:val="left"/>
              <w:rPr>
                <w:lang w:val="en-GB"/>
              </w:rPr>
            </w:pPr>
            <w:r>
              <w:rPr>
                <w:lang w:val="en-GB"/>
              </w:rPr>
              <w:t>2.0</w:t>
            </w:r>
          </w:p>
        </w:tc>
        <w:tc>
          <w:tcPr>
            <w:tcW w:w="16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CA1ABA" w14:textId="77777777" w:rsidR="00ED0E85" w:rsidRPr="009253DC" w:rsidRDefault="00ED0E85" w:rsidP="00ED0E85">
            <w:pPr>
              <w:pStyle w:val="TableDataEntries"/>
            </w:pPr>
            <w:r w:rsidRPr="009253DC">
              <w:t>-42.51</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14703334" w14:textId="77777777" w:rsidR="00ED0E85" w:rsidRPr="009253DC" w:rsidRDefault="00ED0E85" w:rsidP="00ED0E85">
            <w:pPr>
              <w:pStyle w:val="TableDataEntries"/>
            </w:pPr>
            <w:r w:rsidRPr="009253DC">
              <w:t>-21.25</w:t>
            </w:r>
          </w:p>
        </w:tc>
        <w:tc>
          <w:tcPr>
            <w:tcW w:w="1660" w:type="dxa"/>
            <w:tcBorders>
              <w:top w:val="single" w:sz="8" w:space="0" w:color="FFFFFF" w:themeColor="background1"/>
              <w:bottom w:val="single" w:sz="8" w:space="0" w:color="FFFFFF" w:themeColor="background1"/>
            </w:tcBorders>
            <w:shd w:val="clear" w:color="auto" w:fill="E9E8E5" w:themeFill="background2"/>
          </w:tcPr>
          <w:p w14:paraId="2F691F71" w14:textId="77777777" w:rsidR="00ED0E85" w:rsidRPr="009253DC" w:rsidRDefault="00ED0E85" w:rsidP="00ED0E85">
            <w:pPr>
              <w:pStyle w:val="TableDataEntries"/>
            </w:pPr>
            <w:r w:rsidRPr="009253DC">
              <w:t>0.23</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6EE80BD0" w14:textId="77777777" w:rsidR="00ED0E85" w:rsidRPr="009253DC" w:rsidRDefault="00ED0E85" w:rsidP="00ED0E85">
            <w:pPr>
              <w:pStyle w:val="TableDataEntries"/>
            </w:pPr>
            <w:r w:rsidRPr="009253DC">
              <w:t>0.11</w:t>
            </w:r>
          </w:p>
        </w:tc>
      </w:tr>
      <w:tr w:rsidR="00ED0E85" w14:paraId="01FB1919" w14:textId="77777777" w:rsidTr="00ED0E85">
        <w:trPr>
          <w:trHeight w:val="230"/>
        </w:trPr>
        <w:tc>
          <w:tcPr>
            <w:tcW w:w="12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A2CD13" w14:textId="77777777" w:rsidR="00ED0E85" w:rsidRDefault="00ED0E85" w:rsidP="00ED0E85">
            <w:pPr>
              <w:pStyle w:val="TableDataEntries"/>
              <w:jc w:val="left"/>
              <w:rPr>
                <w:lang w:val="en-GB"/>
              </w:rPr>
            </w:pPr>
            <w:r>
              <w:rPr>
                <w:lang w:val="en-GB"/>
              </w:rPr>
              <w:t>2.5</w:t>
            </w:r>
          </w:p>
        </w:tc>
        <w:tc>
          <w:tcPr>
            <w:tcW w:w="16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A226B9" w14:textId="77777777" w:rsidR="00ED0E85" w:rsidRPr="009253DC" w:rsidRDefault="00ED0E85" w:rsidP="00ED0E85">
            <w:pPr>
              <w:pStyle w:val="TableDataEntries"/>
            </w:pPr>
            <w:r w:rsidRPr="009253DC">
              <w:t>-42.51</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3EB4525C" w14:textId="77777777" w:rsidR="00ED0E85" w:rsidRPr="009253DC" w:rsidRDefault="00ED0E85" w:rsidP="00ED0E85">
            <w:pPr>
              <w:pStyle w:val="TableDataEntries"/>
            </w:pPr>
            <w:r w:rsidRPr="009253DC">
              <w:t>-21.25</w:t>
            </w:r>
          </w:p>
        </w:tc>
        <w:tc>
          <w:tcPr>
            <w:tcW w:w="1660" w:type="dxa"/>
            <w:tcBorders>
              <w:top w:val="single" w:sz="8" w:space="0" w:color="FFFFFF" w:themeColor="background1"/>
              <w:bottom w:val="single" w:sz="8" w:space="0" w:color="FFFFFF" w:themeColor="background1"/>
            </w:tcBorders>
            <w:shd w:val="clear" w:color="auto" w:fill="E9E8E5" w:themeFill="background2"/>
          </w:tcPr>
          <w:p w14:paraId="26C87462" w14:textId="77777777" w:rsidR="00ED0E85" w:rsidRPr="009253DC" w:rsidRDefault="00ED0E85" w:rsidP="00ED0E85">
            <w:pPr>
              <w:pStyle w:val="TableDataEntries"/>
            </w:pPr>
            <w:r w:rsidRPr="009253DC">
              <w:t>0.23</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732588B9" w14:textId="77777777" w:rsidR="00ED0E85" w:rsidRPr="009253DC" w:rsidRDefault="00ED0E85" w:rsidP="00ED0E85">
            <w:pPr>
              <w:pStyle w:val="TableDataEntries"/>
            </w:pPr>
            <w:r w:rsidRPr="009253DC">
              <w:t>0.11</w:t>
            </w:r>
          </w:p>
        </w:tc>
      </w:tr>
      <w:tr w:rsidR="00ED0E85" w14:paraId="0690789C" w14:textId="77777777" w:rsidTr="00ED0E85">
        <w:trPr>
          <w:trHeight w:val="230"/>
        </w:trPr>
        <w:tc>
          <w:tcPr>
            <w:tcW w:w="12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FE792D" w14:textId="77777777" w:rsidR="00ED0E85" w:rsidRDefault="00ED0E85" w:rsidP="00ED0E85">
            <w:pPr>
              <w:pStyle w:val="TableDataEntries"/>
              <w:jc w:val="left"/>
              <w:rPr>
                <w:lang w:val="en-GB"/>
              </w:rPr>
            </w:pPr>
            <w:r>
              <w:rPr>
                <w:lang w:val="en-GB"/>
              </w:rPr>
              <w:t>3.0</w:t>
            </w:r>
          </w:p>
        </w:tc>
        <w:tc>
          <w:tcPr>
            <w:tcW w:w="16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7B6373" w14:textId="77777777" w:rsidR="00ED0E85" w:rsidRPr="009253DC" w:rsidRDefault="00ED0E85" w:rsidP="00ED0E85">
            <w:pPr>
              <w:pStyle w:val="TableDataEntries"/>
            </w:pPr>
            <w:r w:rsidRPr="009253DC">
              <w:t>-17.86</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19A33B26" w14:textId="77777777" w:rsidR="00ED0E85" w:rsidRPr="009253DC" w:rsidRDefault="00ED0E85" w:rsidP="00ED0E85">
            <w:pPr>
              <w:pStyle w:val="TableDataEntries"/>
            </w:pPr>
            <w:r w:rsidRPr="009253DC">
              <w:t>-8.93</w:t>
            </w:r>
          </w:p>
        </w:tc>
        <w:tc>
          <w:tcPr>
            <w:tcW w:w="1660" w:type="dxa"/>
            <w:tcBorders>
              <w:top w:val="single" w:sz="8" w:space="0" w:color="FFFFFF" w:themeColor="background1"/>
              <w:bottom w:val="single" w:sz="8" w:space="0" w:color="FFFFFF" w:themeColor="background1"/>
            </w:tcBorders>
            <w:shd w:val="clear" w:color="auto" w:fill="E9E8E5" w:themeFill="background2"/>
          </w:tcPr>
          <w:p w14:paraId="2620EAC3" w14:textId="77777777" w:rsidR="00ED0E85" w:rsidRPr="009253DC" w:rsidRDefault="00ED0E85" w:rsidP="00ED0E85">
            <w:pPr>
              <w:pStyle w:val="TableDataEntries"/>
            </w:pPr>
            <w:r w:rsidRPr="009253DC">
              <w:t>0.18</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57DAF907" w14:textId="77777777" w:rsidR="00ED0E85" w:rsidRPr="009253DC" w:rsidRDefault="00ED0E85" w:rsidP="00ED0E85">
            <w:pPr>
              <w:pStyle w:val="TableDataEntries"/>
            </w:pPr>
            <w:r w:rsidRPr="009253DC">
              <w:t>0.09</w:t>
            </w:r>
          </w:p>
        </w:tc>
      </w:tr>
      <w:tr w:rsidR="00ED0E85" w14:paraId="30FEA155" w14:textId="77777777" w:rsidTr="00ED0E85">
        <w:trPr>
          <w:trHeight w:val="230"/>
        </w:trPr>
        <w:tc>
          <w:tcPr>
            <w:tcW w:w="12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6F9DD5" w14:textId="77777777" w:rsidR="00ED0E85" w:rsidRDefault="00ED0E85" w:rsidP="00ED0E85">
            <w:pPr>
              <w:pStyle w:val="TableDataEntries"/>
              <w:jc w:val="left"/>
              <w:rPr>
                <w:lang w:val="en-GB"/>
              </w:rPr>
            </w:pPr>
            <w:r>
              <w:rPr>
                <w:lang w:val="en-GB"/>
              </w:rPr>
              <w:t>3.5</w:t>
            </w:r>
          </w:p>
        </w:tc>
        <w:tc>
          <w:tcPr>
            <w:tcW w:w="16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06F82E" w14:textId="77777777" w:rsidR="00ED0E85" w:rsidRPr="009253DC" w:rsidRDefault="00ED0E85" w:rsidP="00ED0E85">
            <w:pPr>
              <w:pStyle w:val="TableDataEntries"/>
            </w:pPr>
            <w:r w:rsidRPr="009253DC">
              <w:t>-17.86</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2E6BC3AB" w14:textId="77777777" w:rsidR="00ED0E85" w:rsidRPr="009253DC" w:rsidRDefault="00ED0E85" w:rsidP="00ED0E85">
            <w:pPr>
              <w:pStyle w:val="TableDataEntries"/>
            </w:pPr>
            <w:r w:rsidRPr="009253DC">
              <w:t>-8.93</w:t>
            </w:r>
          </w:p>
        </w:tc>
        <w:tc>
          <w:tcPr>
            <w:tcW w:w="1660" w:type="dxa"/>
            <w:tcBorders>
              <w:top w:val="single" w:sz="8" w:space="0" w:color="FFFFFF" w:themeColor="background1"/>
              <w:bottom w:val="single" w:sz="8" w:space="0" w:color="FFFFFF" w:themeColor="background1"/>
            </w:tcBorders>
            <w:shd w:val="clear" w:color="auto" w:fill="E9E8E5" w:themeFill="background2"/>
          </w:tcPr>
          <w:p w14:paraId="773E517B" w14:textId="77777777" w:rsidR="00ED0E85" w:rsidRPr="009253DC" w:rsidRDefault="00ED0E85" w:rsidP="00ED0E85">
            <w:pPr>
              <w:pStyle w:val="TableDataEntries"/>
            </w:pPr>
            <w:r w:rsidRPr="009253DC">
              <w:t>0.18</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2CC8DE23" w14:textId="77777777" w:rsidR="00ED0E85" w:rsidRPr="009253DC" w:rsidRDefault="00ED0E85" w:rsidP="00ED0E85">
            <w:pPr>
              <w:pStyle w:val="TableDataEntries"/>
            </w:pPr>
            <w:r w:rsidRPr="009253DC">
              <w:t>0.09</w:t>
            </w:r>
          </w:p>
        </w:tc>
      </w:tr>
      <w:tr w:rsidR="00ED0E85" w14:paraId="15B0536B" w14:textId="77777777" w:rsidTr="00ED0E85">
        <w:trPr>
          <w:trHeight w:val="230"/>
        </w:trPr>
        <w:tc>
          <w:tcPr>
            <w:tcW w:w="12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8011B2" w14:textId="77777777" w:rsidR="00ED0E85" w:rsidRDefault="00ED0E85" w:rsidP="00ED0E85">
            <w:pPr>
              <w:pStyle w:val="TableDataEntries"/>
              <w:jc w:val="left"/>
              <w:rPr>
                <w:lang w:val="en-GB"/>
              </w:rPr>
            </w:pPr>
            <w:r>
              <w:rPr>
                <w:lang w:val="en-GB"/>
              </w:rPr>
              <w:t>4.0</w:t>
            </w:r>
          </w:p>
        </w:tc>
        <w:tc>
          <w:tcPr>
            <w:tcW w:w="16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33AF02" w14:textId="77777777" w:rsidR="00ED0E85" w:rsidRPr="009253DC" w:rsidRDefault="00ED0E85" w:rsidP="00ED0E85">
            <w:pPr>
              <w:pStyle w:val="TableDataEntries"/>
            </w:pPr>
            <w:r w:rsidRPr="009253DC">
              <w:t>-11.14</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00CDB54D" w14:textId="77777777" w:rsidR="00ED0E85" w:rsidRPr="009253DC" w:rsidRDefault="00ED0E85" w:rsidP="00ED0E85">
            <w:pPr>
              <w:pStyle w:val="TableDataEntries"/>
            </w:pPr>
            <w:r w:rsidRPr="009253DC">
              <w:t>-5.57</w:t>
            </w:r>
          </w:p>
        </w:tc>
        <w:tc>
          <w:tcPr>
            <w:tcW w:w="1660" w:type="dxa"/>
            <w:tcBorders>
              <w:top w:val="single" w:sz="8" w:space="0" w:color="FFFFFF" w:themeColor="background1"/>
              <w:bottom w:val="single" w:sz="8" w:space="0" w:color="FFFFFF" w:themeColor="background1"/>
            </w:tcBorders>
            <w:shd w:val="clear" w:color="auto" w:fill="E9E8E5" w:themeFill="background2"/>
          </w:tcPr>
          <w:p w14:paraId="6EB0E8B7" w14:textId="77777777" w:rsidR="00ED0E85" w:rsidRPr="009253DC" w:rsidRDefault="00ED0E85" w:rsidP="00ED0E85">
            <w:pPr>
              <w:pStyle w:val="TableDataEntries"/>
            </w:pPr>
            <w:r w:rsidRPr="009253DC">
              <w:t>0.13</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13DCB8F5" w14:textId="77777777" w:rsidR="00ED0E85" w:rsidRPr="009253DC" w:rsidRDefault="00ED0E85" w:rsidP="00ED0E85">
            <w:pPr>
              <w:pStyle w:val="TableDataEntries"/>
            </w:pPr>
            <w:r w:rsidRPr="009253DC">
              <w:t>0.07</w:t>
            </w:r>
          </w:p>
        </w:tc>
      </w:tr>
      <w:tr w:rsidR="00ED0E85" w14:paraId="3648F909" w14:textId="77777777" w:rsidTr="00ED0E85">
        <w:trPr>
          <w:trHeight w:val="230"/>
        </w:trPr>
        <w:tc>
          <w:tcPr>
            <w:tcW w:w="12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7CDD21" w14:textId="77777777" w:rsidR="00ED0E85" w:rsidRDefault="00ED0E85" w:rsidP="00ED0E85">
            <w:pPr>
              <w:pStyle w:val="TableDataEntries"/>
              <w:jc w:val="left"/>
              <w:rPr>
                <w:lang w:val="en-GB"/>
              </w:rPr>
            </w:pPr>
            <w:r>
              <w:rPr>
                <w:lang w:val="en-GB"/>
              </w:rPr>
              <w:t>4.5</w:t>
            </w:r>
          </w:p>
        </w:tc>
        <w:tc>
          <w:tcPr>
            <w:tcW w:w="16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3C09BD" w14:textId="77777777" w:rsidR="00ED0E85" w:rsidRPr="009253DC" w:rsidRDefault="00ED0E85" w:rsidP="00ED0E85">
            <w:pPr>
              <w:pStyle w:val="TableDataEntries"/>
            </w:pPr>
            <w:r w:rsidRPr="009253DC">
              <w:t>-11.14</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6F4E6DD3" w14:textId="77777777" w:rsidR="00ED0E85" w:rsidRPr="009253DC" w:rsidRDefault="00ED0E85" w:rsidP="00ED0E85">
            <w:pPr>
              <w:pStyle w:val="TableDataEntries"/>
            </w:pPr>
            <w:r w:rsidRPr="009253DC">
              <w:t>-5.57</w:t>
            </w:r>
          </w:p>
        </w:tc>
        <w:tc>
          <w:tcPr>
            <w:tcW w:w="1660" w:type="dxa"/>
            <w:tcBorders>
              <w:top w:val="single" w:sz="8" w:space="0" w:color="FFFFFF" w:themeColor="background1"/>
              <w:bottom w:val="single" w:sz="8" w:space="0" w:color="FFFFFF" w:themeColor="background1"/>
            </w:tcBorders>
            <w:shd w:val="clear" w:color="auto" w:fill="E9E8E5" w:themeFill="background2"/>
          </w:tcPr>
          <w:p w14:paraId="2ED83383" w14:textId="77777777" w:rsidR="00ED0E85" w:rsidRPr="009253DC" w:rsidRDefault="00ED0E85" w:rsidP="00ED0E85">
            <w:pPr>
              <w:pStyle w:val="TableDataEntries"/>
            </w:pPr>
            <w:r w:rsidRPr="009253DC">
              <w:t>0.13</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373CE5CF" w14:textId="77777777" w:rsidR="00ED0E85" w:rsidRPr="009253DC" w:rsidRDefault="00ED0E85" w:rsidP="00ED0E85">
            <w:pPr>
              <w:pStyle w:val="TableDataEntries"/>
            </w:pPr>
            <w:r w:rsidRPr="009253DC">
              <w:t>0.07</w:t>
            </w:r>
          </w:p>
        </w:tc>
      </w:tr>
      <w:tr w:rsidR="00ED0E85" w14:paraId="094D49CF" w14:textId="77777777" w:rsidTr="00ED0E85">
        <w:trPr>
          <w:trHeight w:val="230"/>
        </w:trPr>
        <w:tc>
          <w:tcPr>
            <w:tcW w:w="12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86A902" w14:textId="77777777" w:rsidR="00ED0E85" w:rsidRDefault="00ED0E85" w:rsidP="00ED0E85">
            <w:pPr>
              <w:pStyle w:val="TableDataEntries"/>
              <w:jc w:val="left"/>
              <w:rPr>
                <w:lang w:val="en-GB"/>
              </w:rPr>
            </w:pPr>
            <w:r>
              <w:rPr>
                <w:lang w:val="en-GB"/>
              </w:rPr>
              <w:t>5.0</w:t>
            </w:r>
          </w:p>
        </w:tc>
        <w:tc>
          <w:tcPr>
            <w:tcW w:w="16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0E8A4B" w14:textId="77777777" w:rsidR="00ED0E85" w:rsidRPr="009253DC" w:rsidRDefault="00ED0E85" w:rsidP="00ED0E85">
            <w:pPr>
              <w:pStyle w:val="TableDataEntries"/>
            </w:pPr>
            <w:r w:rsidRPr="009253DC">
              <w:t>-17.50</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35DC2D8C" w14:textId="77777777" w:rsidR="00ED0E85" w:rsidRPr="009253DC" w:rsidRDefault="00ED0E85" w:rsidP="00ED0E85">
            <w:pPr>
              <w:pStyle w:val="TableDataEntries"/>
            </w:pPr>
            <w:r w:rsidRPr="009253DC">
              <w:t>-8.75</w:t>
            </w:r>
          </w:p>
        </w:tc>
        <w:tc>
          <w:tcPr>
            <w:tcW w:w="1660" w:type="dxa"/>
            <w:tcBorders>
              <w:top w:val="single" w:sz="8" w:space="0" w:color="FFFFFF" w:themeColor="background1"/>
              <w:bottom w:val="single" w:sz="8" w:space="0" w:color="FFFFFF" w:themeColor="background1"/>
            </w:tcBorders>
            <w:shd w:val="clear" w:color="auto" w:fill="E9E8E5" w:themeFill="background2"/>
          </w:tcPr>
          <w:p w14:paraId="5ACC2694" w14:textId="77777777" w:rsidR="00ED0E85" w:rsidRPr="009253DC" w:rsidRDefault="00ED0E85" w:rsidP="00ED0E85">
            <w:pPr>
              <w:pStyle w:val="TableDataEntries"/>
            </w:pPr>
            <w:r w:rsidRPr="009253DC">
              <w:t>0.16</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64F0E9FC" w14:textId="77777777" w:rsidR="00ED0E85" w:rsidRPr="009253DC" w:rsidRDefault="00ED0E85" w:rsidP="00ED0E85">
            <w:pPr>
              <w:pStyle w:val="TableDataEntries"/>
            </w:pPr>
            <w:r w:rsidRPr="009253DC">
              <w:t>0.08</w:t>
            </w:r>
          </w:p>
        </w:tc>
      </w:tr>
      <w:tr w:rsidR="00ED0E85" w14:paraId="54C45A35" w14:textId="77777777" w:rsidTr="00ED0E85">
        <w:trPr>
          <w:trHeight w:val="230"/>
        </w:trPr>
        <w:tc>
          <w:tcPr>
            <w:tcW w:w="129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1534D5" w14:textId="77777777" w:rsidR="00ED0E85" w:rsidRDefault="00ED0E85" w:rsidP="00ED0E85">
            <w:pPr>
              <w:pStyle w:val="TableDataEntries"/>
              <w:jc w:val="left"/>
              <w:rPr>
                <w:lang w:val="en-GB"/>
              </w:rPr>
            </w:pPr>
            <w:r>
              <w:rPr>
                <w:lang w:val="en-GB"/>
              </w:rPr>
              <w:t>5.5</w:t>
            </w:r>
          </w:p>
        </w:tc>
        <w:tc>
          <w:tcPr>
            <w:tcW w:w="165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98B6C8" w14:textId="77777777" w:rsidR="00ED0E85" w:rsidRPr="009253DC" w:rsidRDefault="00ED0E85" w:rsidP="00ED0E85">
            <w:pPr>
              <w:pStyle w:val="TableDataEntries"/>
            </w:pPr>
            <w:r w:rsidRPr="009253DC">
              <w:t>-17.50</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02A8E39D" w14:textId="77777777" w:rsidR="00ED0E85" w:rsidRPr="009253DC" w:rsidRDefault="00ED0E85" w:rsidP="00ED0E85">
            <w:pPr>
              <w:pStyle w:val="TableDataEntries"/>
            </w:pPr>
            <w:r w:rsidRPr="009253DC">
              <w:t>-8.75</w:t>
            </w:r>
          </w:p>
        </w:tc>
        <w:tc>
          <w:tcPr>
            <w:tcW w:w="1660" w:type="dxa"/>
            <w:tcBorders>
              <w:top w:val="single" w:sz="8" w:space="0" w:color="FFFFFF" w:themeColor="background1"/>
              <w:bottom w:val="single" w:sz="8" w:space="0" w:color="FFFFFF" w:themeColor="background1"/>
            </w:tcBorders>
            <w:shd w:val="clear" w:color="auto" w:fill="E9E8E5" w:themeFill="background2"/>
          </w:tcPr>
          <w:p w14:paraId="2430A00E" w14:textId="77777777" w:rsidR="00ED0E85" w:rsidRPr="009253DC" w:rsidRDefault="00ED0E85" w:rsidP="00ED0E85">
            <w:pPr>
              <w:pStyle w:val="TableDataEntries"/>
            </w:pPr>
            <w:r w:rsidRPr="009253DC">
              <w:t>0.16</w:t>
            </w:r>
          </w:p>
        </w:tc>
        <w:tc>
          <w:tcPr>
            <w:tcW w:w="1660" w:type="dxa"/>
            <w:tcBorders>
              <w:top w:val="single" w:sz="8" w:space="0" w:color="FFFFFF" w:themeColor="background1"/>
              <w:bottom w:val="single" w:sz="8" w:space="0" w:color="FFFFFF" w:themeColor="background1"/>
            </w:tcBorders>
            <w:shd w:val="clear" w:color="auto" w:fill="E9E8E5" w:themeFill="background2"/>
            <w:vAlign w:val="bottom"/>
          </w:tcPr>
          <w:p w14:paraId="7878FE65" w14:textId="77777777" w:rsidR="00ED0E85" w:rsidRPr="009253DC" w:rsidRDefault="00ED0E85" w:rsidP="00ED0E85">
            <w:pPr>
              <w:pStyle w:val="TableDataEntries"/>
            </w:pPr>
            <w:r w:rsidRPr="009253DC">
              <w:t>0.08</w:t>
            </w:r>
          </w:p>
        </w:tc>
      </w:tr>
      <w:tr w:rsidR="00ED0E85" w14:paraId="0FB77B3F" w14:textId="77777777" w:rsidTr="00ED0E85">
        <w:trPr>
          <w:trHeight w:val="230"/>
        </w:trPr>
        <w:tc>
          <w:tcPr>
            <w:tcW w:w="1299" w:type="dxa"/>
            <w:tcBorders>
              <w:top w:val="single" w:sz="8" w:space="0" w:color="FFFFFF" w:themeColor="background1"/>
              <w:bottom w:val="single" w:sz="6" w:space="0" w:color="6F6652"/>
            </w:tcBorders>
            <w:shd w:val="clear" w:color="auto" w:fill="E9E8E5" w:themeFill="background2"/>
            <w:tcMar>
              <w:left w:w="57" w:type="dxa"/>
              <w:right w:w="57" w:type="dxa"/>
            </w:tcMar>
          </w:tcPr>
          <w:p w14:paraId="0BC5844A" w14:textId="77777777" w:rsidR="00ED0E85" w:rsidRDefault="00ED0E85" w:rsidP="00ED0E85">
            <w:pPr>
              <w:pStyle w:val="TableDataEntries"/>
              <w:jc w:val="left"/>
              <w:rPr>
                <w:lang w:val="en-GB"/>
              </w:rPr>
            </w:pPr>
            <w:r>
              <w:rPr>
                <w:lang w:val="en-GB"/>
              </w:rPr>
              <w:t>6.0</w:t>
            </w:r>
          </w:p>
        </w:tc>
        <w:tc>
          <w:tcPr>
            <w:tcW w:w="1659" w:type="dxa"/>
            <w:tcBorders>
              <w:top w:val="single" w:sz="8" w:space="0" w:color="FFFFFF" w:themeColor="background1"/>
              <w:bottom w:val="single" w:sz="6" w:space="0" w:color="6F6652"/>
            </w:tcBorders>
            <w:shd w:val="clear" w:color="auto" w:fill="E9E8E5" w:themeFill="background2"/>
            <w:tcMar>
              <w:left w:w="57" w:type="dxa"/>
              <w:right w:w="57" w:type="dxa"/>
            </w:tcMar>
          </w:tcPr>
          <w:p w14:paraId="3370C6FA" w14:textId="77777777" w:rsidR="00ED0E85" w:rsidRPr="009253DC" w:rsidRDefault="00ED0E85" w:rsidP="00ED0E85">
            <w:pPr>
              <w:pStyle w:val="TableDataEntries"/>
            </w:pPr>
            <w:r w:rsidRPr="009253DC">
              <w:t>0.00</w:t>
            </w:r>
          </w:p>
        </w:tc>
        <w:tc>
          <w:tcPr>
            <w:tcW w:w="1660" w:type="dxa"/>
            <w:tcBorders>
              <w:top w:val="single" w:sz="8" w:space="0" w:color="FFFFFF" w:themeColor="background1"/>
              <w:bottom w:val="single" w:sz="6" w:space="0" w:color="6F6652"/>
            </w:tcBorders>
            <w:shd w:val="clear" w:color="auto" w:fill="E9E8E5" w:themeFill="background2"/>
            <w:vAlign w:val="bottom"/>
          </w:tcPr>
          <w:p w14:paraId="088E323A" w14:textId="77777777" w:rsidR="00ED0E85" w:rsidRPr="009253DC" w:rsidRDefault="00ED0E85" w:rsidP="00ED0E85">
            <w:pPr>
              <w:pStyle w:val="TableDataEntries"/>
            </w:pPr>
            <w:r w:rsidRPr="009253DC">
              <w:t>0.00</w:t>
            </w:r>
          </w:p>
        </w:tc>
        <w:tc>
          <w:tcPr>
            <w:tcW w:w="1660" w:type="dxa"/>
            <w:tcBorders>
              <w:top w:val="single" w:sz="8" w:space="0" w:color="FFFFFF" w:themeColor="background1"/>
              <w:bottom w:val="single" w:sz="6" w:space="0" w:color="6F6652"/>
            </w:tcBorders>
            <w:shd w:val="clear" w:color="auto" w:fill="E9E8E5" w:themeFill="background2"/>
          </w:tcPr>
          <w:p w14:paraId="52298089" w14:textId="77777777" w:rsidR="00ED0E85" w:rsidRPr="009253DC" w:rsidRDefault="00ED0E85" w:rsidP="00ED0E85">
            <w:pPr>
              <w:pStyle w:val="TableDataEntries"/>
            </w:pPr>
            <w:r w:rsidRPr="009253DC">
              <w:t>0.00</w:t>
            </w:r>
          </w:p>
        </w:tc>
        <w:tc>
          <w:tcPr>
            <w:tcW w:w="1660" w:type="dxa"/>
            <w:tcBorders>
              <w:top w:val="single" w:sz="8" w:space="0" w:color="FFFFFF" w:themeColor="background1"/>
              <w:bottom w:val="single" w:sz="6" w:space="0" w:color="6F6652"/>
            </w:tcBorders>
            <w:shd w:val="clear" w:color="auto" w:fill="E9E8E5" w:themeFill="background2"/>
            <w:vAlign w:val="bottom"/>
          </w:tcPr>
          <w:p w14:paraId="1D34DAB8" w14:textId="77777777" w:rsidR="00ED0E85" w:rsidRPr="009253DC" w:rsidRDefault="00ED0E85" w:rsidP="00ED0E85">
            <w:pPr>
              <w:pStyle w:val="TableDataEntries"/>
            </w:pPr>
            <w:r w:rsidRPr="009253DC">
              <w:t>0.00</w:t>
            </w:r>
          </w:p>
        </w:tc>
      </w:tr>
    </w:tbl>
    <w:p w14:paraId="0CFFCE6C" w14:textId="77777777" w:rsidR="00ED0E85" w:rsidRDefault="00ED0E85" w:rsidP="00ED0E85">
      <w:pPr>
        <w:pStyle w:val="Source"/>
      </w:pPr>
      <w:r>
        <w:rPr>
          <w:i/>
        </w:rPr>
        <w:t>Source</w:t>
      </w:r>
      <w:r w:rsidRPr="00E4232C">
        <w:rPr>
          <w:i/>
        </w:rPr>
        <w:t>:</w:t>
      </w:r>
      <w:r>
        <w:t xml:space="preserve"> CIE estimates.</w:t>
      </w:r>
    </w:p>
    <w:p w14:paraId="4C9EB0FE" w14:textId="77777777" w:rsidR="00ED0E85" w:rsidRDefault="00ED0E85" w:rsidP="00ED0E85">
      <w:pPr>
        <w:pStyle w:val="BodyText"/>
      </w:pPr>
      <w:r>
        <w:t>As these results are based on each NABERS rating (rather than years since the first NABERS rating) and not every building obtains a rating every year, we scale the annual improvement by the average number of ratings each year for the relevant buildings. In particular, weighted by floor space, the average number of ratings per year is 0.78.</w:t>
      </w:r>
    </w:p>
    <w:p w14:paraId="7EF8DD1B" w14:textId="77777777" w:rsidR="00ED0E85" w:rsidRDefault="00ED0E85" w:rsidP="00ED0E85">
      <w:pPr>
        <w:pStyle w:val="Heading4"/>
        <w:numPr>
          <w:ilvl w:val="3"/>
          <w:numId w:val="5"/>
        </w:numPr>
      </w:pPr>
      <w:r>
        <w:t>Estimating energy savings</w:t>
      </w:r>
    </w:p>
    <w:p w14:paraId="2C475709" w14:textId="77777777" w:rsidR="00ED0E85" w:rsidRDefault="00ED0E85" w:rsidP="00ED0E85">
      <w:pPr>
        <w:pStyle w:val="BodyText"/>
      </w:pPr>
      <w:r>
        <w:t>Energy savings in each year are estimated by multiplying the change in energy intensity (relative to baseline) (in MJ per m</w:t>
      </w:r>
      <w:r w:rsidRPr="00B27F5B">
        <w:rPr>
          <w:vertAlign w:val="superscript"/>
        </w:rPr>
        <w:t>2</w:t>
      </w:r>
      <w:r>
        <w:t>) by the floor area of the buildings that entered the NABERS system in the relevant year (see above).</w:t>
      </w:r>
    </w:p>
    <w:p w14:paraId="47E2C26B" w14:textId="5F0B2288" w:rsidR="00ED0E85" w:rsidRDefault="00ED0E85" w:rsidP="00ED0E85">
      <w:pPr>
        <w:pStyle w:val="BodyText"/>
      </w:pPr>
      <w:r>
        <w:t>Total energy savings are then allocated between electricity and gas, based on the average share of savings in each state (comparing first and last NABERS ratings) (table </w:t>
      </w:r>
      <w:r w:rsidR="004550CB">
        <w:rPr>
          <w:noProof/>
        </w:rPr>
        <w:fldChar w:fldCharType="begin"/>
      </w:r>
      <w:r w:rsidR="004550CB">
        <w:rPr>
          <w:noProof/>
        </w:rPr>
        <w:instrText xml:space="preserve"> REF _Caption1678 </w:instrText>
      </w:r>
      <w:r w:rsidR="004550CB">
        <w:rPr>
          <w:noProof/>
        </w:rPr>
        <w:fldChar w:fldCharType="separate"/>
      </w:r>
      <w:r w:rsidR="00AD3561">
        <w:rPr>
          <w:noProof/>
        </w:rPr>
        <w:t>5</w:t>
      </w:r>
      <w:r w:rsidR="00AD3561" w:rsidRPr="00695C93">
        <w:rPr>
          <w:noProof/>
        </w:rPr>
        <w:t>.</w:t>
      </w:r>
      <w:r w:rsidR="00AD3561">
        <w:rPr>
          <w:noProof/>
        </w:rPr>
        <w:t>5</w:t>
      </w:r>
      <w:r w:rsidR="004550CB">
        <w:rPr>
          <w:noProof/>
        </w:rPr>
        <w:fldChar w:fldCharType="end"/>
      </w:r>
      <w:r>
        <w:t>).</w:t>
      </w:r>
    </w:p>
    <w:p w14:paraId="61496E04" w14:textId="4AD17F50"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w:instrText>
      </w:r>
      <w:r w:rsidRPr="00695C93">
        <w:fldChar w:fldCharType="separate"/>
      </w:r>
      <w:r w:rsidR="00AD3561">
        <w:rPr>
          <w:noProof/>
        </w:rPr>
        <w:instrText>5</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5</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5</w:instrText>
      </w:r>
      <w:r w:rsidRPr="00695C93">
        <w:fldChar w:fldCharType="end"/>
      </w:r>
      <w:r w:rsidRPr="00695C93">
        <w:instrText xml:space="preserve">" "" </w:instrText>
      </w:r>
      <w:r w:rsidRPr="00695C93">
        <w:fldChar w:fldCharType="separate"/>
      </w:r>
      <w:bookmarkStart w:id="3005" w:name="_Caption3641"/>
      <w:bookmarkStart w:id="3006" w:name="_Caption9214"/>
      <w:bookmarkStart w:id="3007" w:name="_Caption0926"/>
      <w:bookmarkStart w:id="3008" w:name="_Caption5669"/>
      <w:bookmarkStart w:id="3009" w:name="_Caption1924"/>
      <w:bookmarkStart w:id="3010" w:name="_Caption9547"/>
      <w:bookmarkStart w:id="3011" w:name="_Caption5576"/>
      <w:bookmarkStart w:id="3012" w:name="_Caption0513"/>
      <w:bookmarkStart w:id="3013" w:name="_Caption6705"/>
      <w:bookmarkStart w:id="3014" w:name="_Caption6951"/>
      <w:bookmarkStart w:id="3015" w:name="_Caption1054"/>
      <w:bookmarkStart w:id="3016" w:name="_Caption9463"/>
      <w:bookmarkStart w:id="3017" w:name="_Caption5511"/>
      <w:bookmarkStart w:id="3018" w:name="_Caption8960"/>
      <w:bookmarkStart w:id="3019" w:name="_Caption3925"/>
      <w:bookmarkStart w:id="3020" w:name="_Caption5747"/>
      <w:bookmarkStart w:id="3021" w:name="_Caption1796"/>
      <w:bookmarkStart w:id="3022" w:name="_Caption7974"/>
      <w:bookmarkStart w:id="3023" w:name="_Caption2237"/>
      <w:bookmarkStart w:id="3024" w:name="_Caption7535"/>
      <w:bookmarkStart w:id="3025" w:name="_Caption4320"/>
      <w:bookmarkStart w:id="3026" w:name="_Caption1093"/>
      <w:bookmarkStart w:id="3027" w:name="_Caption1533"/>
      <w:bookmarkStart w:id="3028" w:name="_Caption5718"/>
      <w:bookmarkStart w:id="3029" w:name="_Caption8427"/>
      <w:bookmarkStart w:id="3030" w:name="_Caption8582"/>
      <w:bookmarkStart w:id="3031" w:name="_Caption4665"/>
      <w:bookmarkStart w:id="3032" w:name="_Caption3976"/>
      <w:bookmarkStart w:id="3033" w:name="_Caption1678"/>
      <w:bookmarkStart w:id="3034" w:name="_Caption7605"/>
      <w:bookmarkStart w:id="3035" w:name="_Caption2079"/>
      <w:bookmarkStart w:id="3036" w:name="_Caption5104"/>
      <w:bookmarkStart w:id="3037" w:name="_Caption5413"/>
      <w:bookmarkStart w:id="3038" w:name="_Caption5183"/>
      <w:bookmarkStart w:id="3039" w:name="_Caption1421"/>
      <w:bookmarkStart w:id="3040" w:name="_Caption1620"/>
      <w:bookmarkStart w:id="3041" w:name="_Caption9797"/>
      <w:bookmarkStart w:id="3042" w:name="_Caption5643"/>
      <w:bookmarkStart w:id="3043" w:name="_Caption2654"/>
      <w:bookmarkStart w:id="3044" w:name="_Caption4885"/>
      <w:bookmarkStart w:id="3045" w:name="_Caption5111"/>
      <w:bookmarkStart w:id="3046" w:name="_Caption6512"/>
      <w:bookmarkStart w:id="3047" w:name="_Caption4593"/>
      <w:bookmarkStart w:id="3048" w:name="_Caption2487"/>
      <w:bookmarkStart w:id="3049" w:name="_Caption2043"/>
      <w:bookmarkStart w:id="3050" w:name="_Caption5724"/>
      <w:bookmarkStart w:id="3051" w:name="_Caption6244"/>
      <w:bookmarkStart w:id="3052" w:name="_Caption7690"/>
      <w:bookmarkStart w:id="3053" w:name="_Caption3456"/>
      <w:bookmarkStart w:id="3054" w:name="_Caption3756"/>
      <w:bookmarkStart w:id="3055" w:name="_Caption8385"/>
      <w:bookmarkStart w:id="3056" w:name="_Caption2572"/>
      <w:bookmarkStart w:id="3057" w:name="_Caption8691"/>
      <w:bookmarkStart w:id="3058" w:name="_Caption3799"/>
      <w:bookmarkStart w:id="3059" w:name="_Caption7232"/>
      <w:bookmarkStart w:id="3060" w:name="_Caption2638"/>
      <w:bookmarkStart w:id="3061" w:name="_Caption3290"/>
      <w:bookmarkStart w:id="3062" w:name="_Caption0797"/>
      <w:bookmarkStart w:id="3063" w:name="_Caption6855"/>
      <w:bookmarkStart w:id="3064" w:name="_Caption7773"/>
      <w:bookmarkStart w:id="3065" w:name="_Caption5860"/>
      <w:bookmarkStart w:id="3066" w:name="_Caption7160"/>
      <w:bookmarkStart w:id="3067" w:name="_Caption5995"/>
      <w:bookmarkStart w:id="3068" w:name="_Toc19275596"/>
      <w:bookmarkStart w:id="3069" w:name="_Toc19276206"/>
      <w:bookmarkStart w:id="3070" w:name="_Toc19280205"/>
      <w:r w:rsidR="00C353B5">
        <w:rPr>
          <w:noProof/>
        </w:rPr>
        <w:t>5</w:t>
      </w:r>
      <w:r w:rsidR="00C353B5" w:rsidRPr="00695C93">
        <w:rPr>
          <w:noProof/>
        </w:rPr>
        <w:t>.</w:t>
      </w:r>
      <w:r w:rsidR="00C353B5">
        <w:rPr>
          <w:noProof/>
        </w:rPr>
        <w:t>5</w:t>
      </w:r>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r w:rsidRPr="00695C93">
        <w:fldChar w:fldCharType="end"/>
      </w:r>
      <w:r w:rsidRPr="00695C93">
        <w:tab/>
      </w:r>
      <w:r>
        <w:t>Share of total energy saved</w:t>
      </w:r>
      <w:bookmarkEnd w:id="3068"/>
      <w:bookmarkEnd w:id="3069"/>
      <w:bookmarkEnd w:id="3070"/>
    </w:p>
    <w:tbl>
      <w:tblPr>
        <w:tblW w:w="7937" w:type="dxa"/>
        <w:tblLayout w:type="fixed"/>
        <w:tblLook w:val="0000" w:firstRow="0" w:lastRow="0" w:firstColumn="0" w:lastColumn="0" w:noHBand="0" w:noVBand="0"/>
      </w:tblPr>
      <w:tblGrid>
        <w:gridCol w:w="2945"/>
        <w:gridCol w:w="2496"/>
        <w:gridCol w:w="2496"/>
      </w:tblGrid>
      <w:tr w:rsidR="00ED0E85" w:rsidRPr="001644F0" w14:paraId="0E688F86" w14:textId="77777777" w:rsidTr="00ED0E85">
        <w:trPr>
          <w:trHeight w:val="70"/>
          <w:tblHeader/>
        </w:trPr>
        <w:tc>
          <w:tcPr>
            <w:tcW w:w="2945" w:type="dxa"/>
            <w:shd w:val="clear" w:color="auto" w:fill="6F6652"/>
            <w:tcMar>
              <w:left w:w="57" w:type="dxa"/>
              <w:right w:w="57" w:type="dxa"/>
            </w:tcMar>
          </w:tcPr>
          <w:p w14:paraId="590E85EA" w14:textId="77777777" w:rsidR="00ED0E85" w:rsidRPr="001644F0" w:rsidRDefault="00ED0E85" w:rsidP="00ED0E85">
            <w:pPr>
              <w:pStyle w:val="TableDataColumnHeading"/>
              <w:jc w:val="left"/>
              <w:rPr>
                <w:lang w:val="en-GB"/>
              </w:rPr>
            </w:pPr>
          </w:p>
        </w:tc>
        <w:tc>
          <w:tcPr>
            <w:tcW w:w="2496" w:type="dxa"/>
            <w:shd w:val="clear" w:color="auto" w:fill="6F6652"/>
            <w:tcMar>
              <w:left w:w="57" w:type="dxa"/>
              <w:right w:w="57" w:type="dxa"/>
            </w:tcMar>
          </w:tcPr>
          <w:p w14:paraId="1D344285" w14:textId="77777777" w:rsidR="00ED0E85" w:rsidRPr="001644F0" w:rsidRDefault="00ED0E85" w:rsidP="00ED0E85">
            <w:pPr>
              <w:pStyle w:val="TableDataColumnHeading"/>
              <w:rPr>
                <w:bCs/>
                <w:lang w:val="en-GB"/>
              </w:rPr>
            </w:pPr>
            <w:r w:rsidRPr="001644F0">
              <w:rPr>
                <w:bCs/>
                <w:lang w:val="en-GB"/>
              </w:rPr>
              <w:t>Electricity share</w:t>
            </w:r>
          </w:p>
        </w:tc>
        <w:tc>
          <w:tcPr>
            <w:tcW w:w="2496" w:type="dxa"/>
            <w:shd w:val="clear" w:color="auto" w:fill="6F6652"/>
            <w:tcMar>
              <w:left w:w="57" w:type="dxa"/>
              <w:right w:w="57" w:type="dxa"/>
            </w:tcMar>
          </w:tcPr>
          <w:p w14:paraId="78E899FE" w14:textId="77777777" w:rsidR="00ED0E85" w:rsidRPr="001644F0" w:rsidRDefault="00ED0E85" w:rsidP="00ED0E85">
            <w:pPr>
              <w:pStyle w:val="TableDataColumnHeading"/>
              <w:rPr>
                <w:bCs/>
                <w:lang w:val="en-GB"/>
              </w:rPr>
            </w:pPr>
            <w:r w:rsidRPr="001644F0">
              <w:rPr>
                <w:bCs/>
                <w:lang w:val="en-GB"/>
              </w:rPr>
              <w:t>Gas share</w:t>
            </w:r>
          </w:p>
        </w:tc>
      </w:tr>
      <w:tr w:rsidR="00ED0E85" w:rsidRPr="00D8609F" w14:paraId="4B199E97" w14:textId="77777777" w:rsidTr="00ED0E85">
        <w:trPr>
          <w:trHeight w:val="230"/>
          <w:tblHeader/>
        </w:trPr>
        <w:tc>
          <w:tcPr>
            <w:tcW w:w="2945" w:type="dxa"/>
            <w:tcBorders>
              <w:bottom w:val="single" w:sz="8" w:space="0" w:color="FFFFFF" w:themeColor="background1"/>
            </w:tcBorders>
            <w:shd w:val="clear" w:color="auto" w:fill="auto"/>
            <w:tcMar>
              <w:left w:w="57" w:type="dxa"/>
              <w:right w:w="57" w:type="dxa"/>
            </w:tcMar>
          </w:tcPr>
          <w:p w14:paraId="5C56D108" w14:textId="77777777" w:rsidR="00ED0E85" w:rsidRPr="00D8609F" w:rsidRDefault="00ED0E85" w:rsidP="00ED0E85">
            <w:pPr>
              <w:pStyle w:val="TableUnit"/>
              <w:jc w:val="left"/>
              <w:rPr>
                <w:lang w:val="en-GB"/>
              </w:rPr>
            </w:pPr>
          </w:p>
        </w:tc>
        <w:tc>
          <w:tcPr>
            <w:tcW w:w="2496" w:type="dxa"/>
            <w:tcBorders>
              <w:bottom w:val="single" w:sz="8" w:space="0" w:color="FFFFFF" w:themeColor="background1"/>
            </w:tcBorders>
            <w:shd w:val="clear" w:color="auto" w:fill="auto"/>
            <w:tcMar>
              <w:left w:w="57" w:type="dxa"/>
              <w:right w:w="57" w:type="dxa"/>
            </w:tcMar>
          </w:tcPr>
          <w:p w14:paraId="099E1972" w14:textId="77777777" w:rsidR="00ED0E85" w:rsidRPr="00D8609F" w:rsidRDefault="00ED0E85" w:rsidP="00ED0E85">
            <w:pPr>
              <w:pStyle w:val="TableUnit"/>
              <w:rPr>
                <w:lang w:val="en-GB"/>
              </w:rPr>
            </w:pPr>
            <w:r>
              <w:rPr>
                <w:lang w:val="en-GB"/>
              </w:rPr>
              <w:t>Per cent</w:t>
            </w:r>
          </w:p>
        </w:tc>
        <w:tc>
          <w:tcPr>
            <w:tcW w:w="2496" w:type="dxa"/>
            <w:tcBorders>
              <w:bottom w:val="single" w:sz="8" w:space="0" w:color="FFFFFF" w:themeColor="background1"/>
            </w:tcBorders>
            <w:shd w:val="clear" w:color="auto" w:fill="auto"/>
            <w:tcMar>
              <w:left w:w="57" w:type="dxa"/>
              <w:right w:w="57" w:type="dxa"/>
            </w:tcMar>
          </w:tcPr>
          <w:p w14:paraId="1142CF5B" w14:textId="77777777" w:rsidR="00ED0E85" w:rsidRPr="00D8609F" w:rsidRDefault="00ED0E85" w:rsidP="00ED0E85">
            <w:pPr>
              <w:pStyle w:val="TableUnit"/>
              <w:rPr>
                <w:lang w:val="en-GB"/>
              </w:rPr>
            </w:pPr>
            <w:r>
              <w:rPr>
                <w:lang w:val="en-GB"/>
              </w:rPr>
              <w:t>Per cent</w:t>
            </w:r>
          </w:p>
        </w:tc>
      </w:tr>
      <w:tr w:rsidR="00ED0E85" w:rsidRPr="00D8609F" w14:paraId="4AB01D4F" w14:textId="77777777" w:rsidTr="00ED0E85">
        <w:trPr>
          <w:trHeight w:val="230"/>
        </w:trPr>
        <w:tc>
          <w:tcPr>
            <w:tcW w:w="29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E5DA1A" w14:textId="77777777" w:rsidR="00ED0E85" w:rsidRPr="00D8609F" w:rsidRDefault="00ED0E85" w:rsidP="00ED0E85">
            <w:pPr>
              <w:pStyle w:val="TableDataEntries"/>
              <w:jc w:val="left"/>
              <w:rPr>
                <w:lang w:val="en-GB"/>
              </w:rPr>
            </w:pPr>
            <w:r w:rsidRPr="00D8609F">
              <w:rPr>
                <w:lang w:val="en-GB"/>
              </w:rPr>
              <w:t>NSW</w:t>
            </w:r>
          </w:p>
        </w:tc>
        <w:tc>
          <w:tcPr>
            <w:tcW w:w="2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ECE9B7" w14:textId="77777777" w:rsidR="00ED0E85" w:rsidRPr="00D8609F" w:rsidRDefault="00ED0E85" w:rsidP="00ED0E85">
            <w:pPr>
              <w:pStyle w:val="TableDataEntries"/>
              <w:rPr>
                <w:lang w:val="en-GB"/>
              </w:rPr>
            </w:pPr>
            <w:r w:rsidRPr="00D8609F">
              <w:rPr>
                <w:lang w:val="en-GB"/>
              </w:rPr>
              <w:t>59</w:t>
            </w:r>
          </w:p>
        </w:tc>
        <w:tc>
          <w:tcPr>
            <w:tcW w:w="2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CEFC41" w14:textId="77777777" w:rsidR="00ED0E85" w:rsidRPr="00D8609F" w:rsidRDefault="00ED0E85" w:rsidP="00ED0E85">
            <w:pPr>
              <w:pStyle w:val="TableDataEntries"/>
              <w:rPr>
                <w:lang w:val="en-GB"/>
              </w:rPr>
            </w:pPr>
            <w:r w:rsidRPr="00D8609F">
              <w:rPr>
                <w:lang w:val="en-GB"/>
              </w:rPr>
              <w:t>41</w:t>
            </w:r>
          </w:p>
        </w:tc>
      </w:tr>
      <w:tr w:rsidR="00ED0E85" w:rsidRPr="00D8609F" w14:paraId="615FF024" w14:textId="77777777" w:rsidTr="00ED0E85">
        <w:trPr>
          <w:trHeight w:val="230"/>
        </w:trPr>
        <w:tc>
          <w:tcPr>
            <w:tcW w:w="29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61356A" w14:textId="77777777" w:rsidR="00ED0E85" w:rsidRPr="00D8609F" w:rsidRDefault="00ED0E85" w:rsidP="00ED0E85">
            <w:pPr>
              <w:pStyle w:val="TableDataEntries"/>
              <w:jc w:val="left"/>
              <w:rPr>
                <w:lang w:val="en-GB"/>
              </w:rPr>
            </w:pPr>
            <w:r w:rsidRPr="00D8609F">
              <w:rPr>
                <w:lang w:val="en-GB"/>
              </w:rPr>
              <w:t>Victoria</w:t>
            </w:r>
          </w:p>
        </w:tc>
        <w:tc>
          <w:tcPr>
            <w:tcW w:w="2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4B1BEA" w14:textId="77777777" w:rsidR="00ED0E85" w:rsidRPr="00D8609F" w:rsidRDefault="00ED0E85" w:rsidP="00ED0E85">
            <w:pPr>
              <w:pStyle w:val="TableDataEntries"/>
              <w:rPr>
                <w:lang w:val="en-GB"/>
              </w:rPr>
            </w:pPr>
            <w:r w:rsidRPr="00D8609F">
              <w:rPr>
                <w:lang w:val="en-GB"/>
              </w:rPr>
              <w:t>67</w:t>
            </w:r>
          </w:p>
        </w:tc>
        <w:tc>
          <w:tcPr>
            <w:tcW w:w="2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7ADC3E" w14:textId="77777777" w:rsidR="00ED0E85" w:rsidRPr="00D8609F" w:rsidRDefault="00ED0E85" w:rsidP="00ED0E85">
            <w:pPr>
              <w:pStyle w:val="TableDataEntries"/>
              <w:rPr>
                <w:lang w:val="en-GB"/>
              </w:rPr>
            </w:pPr>
            <w:r w:rsidRPr="00D8609F">
              <w:rPr>
                <w:lang w:val="en-GB"/>
              </w:rPr>
              <w:t>33</w:t>
            </w:r>
          </w:p>
        </w:tc>
      </w:tr>
      <w:tr w:rsidR="00ED0E85" w:rsidRPr="00D8609F" w14:paraId="7E629E3A" w14:textId="77777777" w:rsidTr="00ED0E85">
        <w:trPr>
          <w:trHeight w:val="230"/>
        </w:trPr>
        <w:tc>
          <w:tcPr>
            <w:tcW w:w="29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8C8912" w14:textId="77777777" w:rsidR="00ED0E85" w:rsidRPr="00D8609F" w:rsidRDefault="00ED0E85" w:rsidP="00ED0E85">
            <w:pPr>
              <w:pStyle w:val="TableDataEntries"/>
              <w:jc w:val="left"/>
              <w:rPr>
                <w:lang w:val="en-GB"/>
              </w:rPr>
            </w:pPr>
            <w:r w:rsidRPr="00D8609F">
              <w:rPr>
                <w:lang w:val="en-GB"/>
              </w:rPr>
              <w:t>Queensland</w:t>
            </w:r>
          </w:p>
        </w:tc>
        <w:tc>
          <w:tcPr>
            <w:tcW w:w="2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733D60" w14:textId="77777777" w:rsidR="00ED0E85" w:rsidRPr="00D8609F" w:rsidRDefault="00ED0E85" w:rsidP="00ED0E85">
            <w:pPr>
              <w:pStyle w:val="TableDataEntries"/>
              <w:rPr>
                <w:lang w:val="en-GB"/>
              </w:rPr>
            </w:pPr>
            <w:r w:rsidRPr="00D8609F">
              <w:rPr>
                <w:lang w:val="en-GB"/>
              </w:rPr>
              <w:t>68</w:t>
            </w:r>
          </w:p>
        </w:tc>
        <w:tc>
          <w:tcPr>
            <w:tcW w:w="2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064A71" w14:textId="77777777" w:rsidR="00ED0E85" w:rsidRPr="00D8609F" w:rsidRDefault="00ED0E85" w:rsidP="00ED0E85">
            <w:pPr>
              <w:pStyle w:val="TableDataEntries"/>
              <w:rPr>
                <w:lang w:val="en-GB"/>
              </w:rPr>
            </w:pPr>
            <w:r w:rsidRPr="00D8609F">
              <w:rPr>
                <w:lang w:val="en-GB"/>
              </w:rPr>
              <w:t>32</w:t>
            </w:r>
          </w:p>
        </w:tc>
      </w:tr>
      <w:tr w:rsidR="00ED0E85" w:rsidRPr="00D8609F" w14:paraId="44798FBA" w14:textId="77777777" w:rsidTr="00ED0E85">
        <w:trPr>
          <w:trHeight w:val="230"/>
        </w:trPr>
        <w:tc>
          <w:tcPr>
            <w:tcW w:w="29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5D0B5C" w14:textId="77777777" w:rsidR="00ED0E85" w:rsidRPr="00D8609F" w:rsidRDefault="00ED0E85" w:rsidP="00ED0E85">
            <w:pPr>
              <w:pStyle w:val="TableDataEntries"/>
              <w:jc w:val="left"/>
              <w:rPr>
                <w:lang w:val="en-GB"/>
              </w:rPr>
            </w:pPr>
            <w:r w:rsidRPr="00D8609F">
              <w:rPr>
                <w:lang w:val="en-GB"/>
              </w:rPr>
              <w:t>Western Australia</w:t>
            </w:r>
          </w:p>
        </w:tc>
        <w:tc>
          <w:tcPr>
            <w:tcW w:w="2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899EAB" w14:textId="77777777" w:rsidR="00ED0E85" w:rsidRPr="00D8609F" w:rsidRDefault="00ED0E85" w:rsidP="00ED0E85">
            <w:pPr>
              <w:pStyle w:val="TableDataEntries"/>
              <w:rPr>
                <w:lang w:val="en-GB"/>
              </w:rPr>
            </w:pPr>
            <w:r w:rsidRPr="00D8609F">
              <w:rPr>
                <w:lang w:val="en-GB"/>
              </w:rPr>
              <w:t>81</w:t>
            </w:r>
          </w:p>
        </w:tc>
        <w:tc>
          <w:tcPr>
            <w:tcW w:w="2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98BC37" w14:textId="77777777" w:rsidR="00ED0E85" w:rsidRPr="00D8609F" w:rsidRDefault="00ED0E85" w:rsidP="00ED0E85">
            <w:pPr>
              <w:pStyle w:val="TableDataEntries"/>
              <w:rPr>
                <w:lang w:val="en-GB"/>
              </w:rPr>
            </w:pPr>
            <w:r w:rsidRPr="00D8609F">
              <w:rPr>
                <w:lang w:val="en-GB"/>
              </w:rPr>
              <w:t>19</w:t>
            </w:r>
          </w:p>
        </w:tc>
      </w:tr>
      <w:tr w:rsidR="00ED0E85" w:rsidRPr="00D8609F" w14:paraId="21519994" w14:textId="77777777" w:rsidTr="00ED0E85">
        <w:trPr>
          <w:trHeight w:val="230"/>
        </w:trPr>
        <w:tc>
          <w:tcPr>
            <w:tcW w:w="29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8BB541" w14:textId="77777777" w:rsidR="00ED0E85" w:rsidRPr="00D8609F" w:rsidRDefault="00ED0E85" w:rsidP="00ED0E85">
            <w:pPr>
              <w:pStyle w:val="TableDataEntries"/>
              <w:jc w:val="left"/>
              <w:rPr>
                <w:lang w:val="en-GB"/>
              </w:rPr>
            </w:pPr>
            <w:r w:rsidRPr="00D8609F">
              <w:rPr>
                <w:lang w:val="en-GB"/>
              </w:rPr>
              <w:t>South Australia</w:t>
            </w:r>
          </w:p>
        </w:tc>
        <w:tc>
          <w:tcPr>
            <w:tcW w:w="2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B53A8F" w14:textId="77777777" w:rsidR="00ED0E85" w:rsidRPr="00D8609F" w:rsidRDefault="00ED0E85" w:rsidP="00ED0E85">
            <w:pPr>
              <w:pStyle w:val="TableDataEntries"/>
              <w:rPr>
                <w:lang w:val="en-GB"/>
              </w:rPr>
            </w:pPr>
            <w:r w:rsidRPr="00D8609F">
              <w:rPr>
                <w:lang w:val="en-GB"/>
              </w:rPr>
              <w:t>58</w:t>
            </w:r>
          </w:p>
        </w:tc>
        <w:tc>
          <w:tcPr>
            <w:tcW w:w="2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943F6B" w14:textId="77777777" w:rsidR="00ED0E85" w:rsidRPr="00D8609F" w:rsidRDefault="00ED0E85" w:rsidP="00ED0E85">
            <w:pPr>
              <w:pStyle w:val="TableDataEntries"/>
              <w:rPr>
                <w:lang w:val="en-GB"/>
              </w:rPr>
            </w:pPr>
            <w:r w:rsidRPr="00D8609F">
              <w:rPr>
                <w:lang w:val="en-GB"/>
              </w:rPr>
              <w:t>42</w:t>
            </w:r>
          </w:p>
        </w:tc>
      </w:tr>
      <w:tr w:rsidR="00ED0E85" w:rsidRPr="00D8609F" w14:paraId="1C536DF3" w14:textId="77777777" w:rsidTr="00ED0E85">
        <w:trPr>
          <w:trHeight w:val="230"/>
        </w:trPr>
        <w:tc>
          <w:tcPr>
            <w:tcW w:w="29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7D94F6" w14:textId="77777777" w:rsidR="00ED0E85" w:rsidRPr="00D8609F" w:rsidRDefault="00ED0E85" w:rsidP="00ED0E85">
            <w:pPr>
              <w:pStyle w:val="TableDataEntries"/>
              <w:jc w:val="left"/>
              <w:rPr>
                <w:lang w:val="en-GB"/>
              </w:rPr>
            </w:pPr>
            <w:r w:rsidRPr="00D8609F">
              <w:rPr>
                <w:lang w:val="en-GB"/>
              </w:rPr>
              <w:t>Tasmania</w:t>
            </w:r>
          </w:p>
        </w:tc>
        <w:tc>
          <w:tcPr>
            <w:tcW w:w="2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C8852C" w14:textId="77777777" w:rsidR="00ED0E85" w:rsidRPr="00D8609F" w:rsidRDefault="00ED0E85" w:rsidP="00ED0E85">
            <w:pPr>
              <w:pStyle w:val="TableDataEntries"/>
              <w:rPr>
                <w:lang w:val="en-GB"/>
              </w:rPr>
            </w:pPr>
            <w:r>
              <w:rPr>
                <w:lang w:val="en-GB"/>
              </w:rPr>
              <w:t>n.a.</w:t>
            </w:r>
          </w:p>
        </w:tc>
        <w:tc>
          <w:tcPr>
            <w:tcW w:w="2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A9C0BA" w14:textId="77777777" w:rsidR="00ED0E85" w:rsidRPr="00D8609F" w:rsidRDefault="00ED0E85" w:rsidP="00ED0E85">
            <w:pPr>
              <w:pStyle w:val="TableDataEntries"/>
              <w:rPr>
                <w:lang w:val="en-GB"/>
              </w:rPr>
            </w:pPr>
            <w:r>
              <w:rPr>
                <w:lang w:val="en-GB"/>
              </w:rPr>
              <w:t>n.a.</w:t>
            </w:r>
          </w:p>
        </w:tc>
      </w:tr>
      <w:tr w:rsidR="00ED0E85" w:rsidRPr="00D8609F" w14:paraId="19D2F50B" w14:textId="77777777" w:rsidTr="00ED0E85">
        <w:trPr>
          <w:trHeight w:val="230"/>
        </w:trPr>
        <w:tc>
          <w:tcPr>
            <w:tcW w:w="29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ADB69A" w14:textId="77777777" w:rsidR="00ED0E85" w:rsidRPr="00D8609F" w:rsidRDefault="00ED0E85" w:rsidP="00ED0E85">
            <w:pPr>
              <w:pStyle w:val="TableDataEntries"/>
              <w:jc w:val="left"/>
              <w:rPr>
                <w:lang w:val="en-GB"/>
              </w:rPr>
            </w:pPr>
            <w:r w:rsidRPr="00D8609F">
              <w:rPr>
                <w:lang w:val="en-GB"/>
              </w:rPr>
              <w:t>ACT</w:t>
            </w:r>
          </w:p>
        </w:tc>
        <w:tc>
          <w:tcPr>
            <w:tcW w:w="2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431C0B" w14:textId="77777777" w:rsidR="00ED0E85" w:rsidRPr="00D8609F" w:rsidRDefault="00ED0E85" w:rsidP="00ED0E85">
            <w:pPr>
              <w:pStyle w:val="TableDataEntries"/>
              <w:rPr>
                <w:lang w:val="en-GB"/>
              </w:rPr>
            </w:pPr>
            <w:r w:rsidRPr="00D8609F">
              <w:rPr>
                <w:lang w:val="en-GB"/>
              </w:rPr>
              <w:t>41</w:t>
            </w:r>
          </w:p>
        </w:tc>
        <w:tc>
          <w:tcPr>
            <w:tcW w:w="24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97B3A1" w14:textId="77777777" w:rsidR="00ED0E85" w:rsidRPr="00D8609F" w:rsidRDefault="00ED0E85" w:rsidP="00ED0E85">
            <w:pPr>
              <w:pStyle w:val="TableDataEntries"/>
              <w:rPr>
                <w:lang w:val="en-GB"/>
              </w:rPr>
            </w:pPr>
            <w:r w:rsidRPr="00D8609F">
              <w:rPr>
                <w:lang w:val="en-GB"/>
              </w:rPr>
              <w:t>59</w:t>
            </w:r>
          </w:p>
        </w:tc>
      </w:tr>
      <w:tr w:rsidR="00ED0E85" w:rsidRPr="00D8609F" w14:paraId="109737C4" w14:textId="77777777" w:rsidTr="00ED0E85">
        <w:trPr>
          <w:trHeight w:val="230"/>
        </w:trPr>
        <w:tc>
          <w:tcPr>
            <w:tcW w:w="2945" w:type="dxa"/>
            <w:tcBorders>
              <w:top w:val="single" w:sz="8" w:space="0" w:color="FFFFFF" w:themeColor="background1"/>
              <w:bottom w:val="single" w:sz="6" w:space="0" w:color="6F6652"/>
            </w:tcBorders>
            <w:shd w:val="clear" w:color="auto" w:fill="E9E8E5" w:themeFill="background2"/>
            <w:tcMar>
              <w:left w:w="57" w:type="dxa"/>
              <w:right w:w="57" w:type="dxa"/>
            </w:tcMar>
          </w:tcPr>
          <w:p w14:paraId="4D0F5A65" w14:textId="77777777" w:rsidR="00ED0E85" w:rsidRPr="00D8609F" w:rsidRDefault="00ED0E85" w:rsidP="00ED0E85">
            <w:pPr>
              <w:pStyle w:val="TableDataEntries"/>
              <w:jc w:val="left"/>
              <w:rPr>
                <w:lang w:val="en-GB"/>
              </w:rPr>
            </w:pPr>
            <w:r w:rsidRPr="00D8609F">
              <w:rPr>
                <w:lang w:val="en-GB"/>
              </w:rPr>
              <w:t>Northern Territory</w:t>
            </w:r>
          </w:p>
        </w:tc>
        <w:tc>
          <w:tcPr>
            <w:tcW w:w="2496" w:type="dxa"/>
            <w:tcBorders>
              <w:top w:val="single" w:sz="8" w:space="0" w:color="FFFFFF" w:themeColor="background1"/>
              <w:bottom w:val="single" w:sz="6" w:space="0" w:color="6F6652"/>
            </w:tcBorders>
            <w:shd w:val="clear" w:color="auto" w:fill="E9E8E5" w:themeFill="background2"/>
            <w:tcMar>
              <w:left w:w="57" w:type="dxa"/>
              <w:right w:w="57" w:type="dxa"/>
            </w:tcMar>
          </w:tcPr>
          <w:p w14:paraId="610BC5C2" w14:textId="77777777" w:rsidR="00ED0E85" w:rsidRPr="00D8609F" w:rsidRDefault="00ED0E85" w:rsidP="00ED0E85">
            <w:pPr>
              <w:pStyle w:val="TableDataEntries"/>
              <w:rPr>
                <w:lang w:val="en-GB"/>
              </w:rPr>
            </w:pPr>
            <w:r w:rsidRPr="00D8609F">
              <w:rPr>
                <w:lang w:val="en-GB"/>
              </w:rPr>
              <w:t>63</w:t>
            </w:r>
          </w:p>
        </w:tc>
        <w:tc>
          <w:tcPr>
            <w:tcW w:w="2496" w:type="dxa"/>
            <w:tcBorders>
              <w:top w:val="single" w:sz="8" w:space="0" w:color="FFFFFF" w:themeColor="background1"/>
              <w:bottom w:val="single" w:sz="6" w:space="0" w:color="6F6652"/>
            </w:tcBorders>
            <w:shd w:val="clear" w:color="auto" w:fill="E9E8E5" w:themeFill="background2"/>
            <w:tcMar>
              <w:left w:w="57" w:type="dxa"/>
              <w:right w:w="57" w:type="dxa"/>
            </w:tcMar>
          </w:tcPr>
          <w:p w14:paraId="1BAE80FD" w14:textId="77777777" w:rsidR="00ED0E85" w:rsidRPr="00D8609F" w:rsidRDefault="00ED0E85" w:rsidP="00ED0E85">
            <w:pPr>
              <w:pStyle w:val="TableDataEntries"/>
              <w:rPr>
                <w:lang w:val="en-GB"/>
              </w:rPr>
            </w:pPr>
            <w:r w:rsidRPr="00D8609F">
              <w:rPr>
                <w:lang w:val="en-GB"/>
              </w:rPr>
              <w:t>37</w:t>
            </w:r>
          </w:p>
        </w:tc>
      </w:tr>
    </w:tbl>
    <w:p w14:paraId="1443031E" w14:textId="77777777" w:rsidR="00ED0E85" w:rsidRDefault="00ED0E85" w:rsidP="00ED0E85">
      <w:pPr>
        <w:pStyle w:val="Source"/>
      </w:pPr>
      <w:r>
        <w:rPr>
          <w:i/>
        </w:rPr>
        <w:t>Source</w:t>
      </w:r>
      <w:r w:rsidRPr="00E4232C">
        <w:rPr>
          <w:i/>
        </w:rPr>
        <w:t>:</w:t>
      </w:r>
      <w:r>
        <w:t xml:space="preserve"> NABERS database.</w:t>
      </w:r>
    </w:p>
    <w:p w14:paraId="69DB501E" w14:textId="77777777" w:rsidR="00ED0E85" w:rsidRDefault="00ED0E85" w:rsidP="00ED0E85">
      <w:pPr>
        <w:pStyle w:val="BodyText"/>
        <w:rPr>
          <w:lang w:eastAsia="en-US"/>
        </w:rPr>
      </w:pPr>
      <w:r>
        <w:rPr>
          <w:lang w:eastAsia="en-US"/>
        </w:rPr>
        <w:t>As noted above:</w:t>
      </w:r>
    </w:p>
    <w:p w14:paraId="1D9D6DE9" w14:textId="77777777" w:rsidR="00ED0E85" w:rsidRDefault="00ED0E85" w:rsidP="00ED0E85">
      <w:pPr>
        <w:pStyle w:val="ListBullet"/>
        <w:rPr>
          <w:lang w:eastAsia="en-US"/>
        </w:rPr>
      </w:pPr>
      <w:r>
        <w:rPr>
          <w:lang w:eastAsia="en-US"/>
        </w:rPr>
        <w:t>the avoided resource costs associated with these energy savings are valued using the retail price in the relevant state (see appendix B)</w:t>
      </w:r>
    </w:p>
    <w:p w14:paraId="3B8E4369" w14:textId="77777777" w:rsidR="00ED0E85" w:rsidRDefault="00ED0E85" w:rsidP="00ED0E85">
      <w:pPr>
        <w:pStyle w:val="ListBullet"/>
        <w:rPr>
          <w:lang w:eastAsia="en-US"/>
        </w:rPr>
      </w:pPr>
      <w:r>
        <w:rPr>
          <w:lang w:eastAsia="en-US"/>
        </w:rPr>
        <w:t>the avoided GHG emissions are:</w:t>
      </w:r>
    </w:p>
    <w:p w14:paraId="5BBCDCB9" w14:textId="77777777" w:rsidR="00ED0E85" w:rsidRDefault="00ED0E85" w:rsidP="00ED0E85">
      <w:pPr>
        <w:pStyle w:val="ListBullet2"/>
        <w:rPr>
          <w:lang w:eastAsia="en-US"/>
        </w:rPr>
      </w:pPr>
      <w:r>
        <w:rPr>
          <w:lang w:eastAsia="en-US"/>
        </w:rPr>
        <w:t>estimated by applying the estimated GHG</w:t>
      </w:r>
      <w:r>
        <w:rPr>
          <w:lang w:eastAsia="en-US"/>
        </w:rPr>
        <w:noBreakHyphen/>
        <w:t>intensity of each energy source (electricity or gas) in the relevant state</w:t>
      </w:r>
    </w:p>
    <w:p w14:paraId="776C8D48" w14:textId="77777777" w:rsidR="00ED0E85" w:rsidRPr="00B3251A" w:rsidRDefault="00ED0E85" w:rsidP="00ED0E85">
      <w:pPr>
        <w:pStyle w:val="ListBullet2"/>
      </w:pPr>
      <w:r>
        <w:rPr>
          <w:lang w:eastAsia="en-US"/>
        </w:rPr>
        <w:t>valued using the SCC approach (see appendix B for further details).</w:t>
      </w:r>
    </w:p>
    <w:p w14:paraId="1A74E876" w14:textId="77777777" w:rsidR="00ED0E85" w:rsidRDefault="00ED0E85" w:rsidP="00ED0E85">
      <w:pPr>
        <w:pStyle w:val="Heading2"/>
        <w:numPr>
          <w:ilvl w:val="1"/>
          <w:numId w:val="5"/>
        </w:numPr>
      </w:pPr>
      <w:bookmarkStart w:id="3071" w:name="_Toc19275511"/>
      <w:bookmarkStart w:id="3072" w:name="_Toc19276121"/>
      <w:bookmarkStart w:id="3073" w:name="_Toc19280120"/>
      <w:r>
        <w:t>Measuring the costs of the CBD Program</w:t>
      </w:r>
      <w:bookmarkEnd w:id="3071"/>
      <w:bookmarkEnd w:id="3072"/>
      <w:bookmarkEnd w:id="3073"/>
    </w:p>
    <w:p w14:paraId="1206C086" w14:textId="77777777" w:rsidR="00ED0E85" w:rsidRDefault="00ED0E85" w:rsidP="00ED0E85">
      <w:pPr>
        <w:pStyle w:val="BodyText"/>
      </w:pPr>
      <w:r>
        <w:t>The costs associated with the CBD Program include:</w:t>
      </w:r>
    </w:p>
    <w:p w14:paraId="28149D5D" w14:textId="77777777" w:rsidR="00ED0E85" w:rsidRDefault="00ED0E85" w:rsidP="00ED0E85">
      <w:pPr>
        <w:pStyle w:val="ListBullet"/>
      </w:pPr>
      <w:r>
        <w:t>the (mandatory) cost of complying with the CBD Program requirements</w:t>
      </w:r>
    </w:p>
    <w:p w14:paraId="39E5B39B" w14:textId="77777777" w:rsidR="00ED0E85" w:rsidRDefault="00ED0E85" w:rsidP="00ED0E85">
      <w:pPr>
        <w:pStyle w:val="ListBullet"/>
      </w:pPr>
      <w:r>
        <w:t>the cost of (voluntary) energy efficiency upgrades</w:t>
      </w:r>
    </w:p>
    <w:p w14:paraId="3C280B57" w14:textId="77777777" w:rsidR="00ED0E85" w:rsidRDefault="00ED0E85" w:rsidP="00ED0E85">
      <w:pPr>
        <w:pStyle w:val="ListBullet"/>
      </w:pPr>
      <w:r>
        <w:t>government administration costs.</w:t>
      </w:r>
    </w:p>
    <w:p w14:paraId="6747CDC3" w14:textId="77777777" w:rsidR="00ED0E85" w:rsidRDefault="00ED0E85" w:rsidP="00ED0E85">
      <w:pPr>
        <w:pStyle w:val="Heading3"/>
        <w:numPr>
          <w:ilvl w:val="2"/>
          <w:numId w:val="5"/>
        </w:numPr>
      </w:pPr>
      <w:r>
        <w:t>Compliance costs</w:t>
      </w:r>
    </w:p>
    <w:p w14:paraId="48ADA4C8" w14:textId="003E1D5E" w:rsidR="00ED0E85" w:rsidRDefault="00ED0E85" w:rsidP="00ED0E85">
      <w:pPr>
        <w:pStyle w:val="BodyText"/>
      </w:pPr>
      <w:r>
        <w:t>The estimated cost of complying with the requirements of the CBD Program are shown in table </w:t>
      </w:r>
      <w:r w:rsidR="004550CB">
        <w:rPr>
          <w:noProof/>
        </w:rPr>
        <w:fldChar w:fldCharType="begin"/>
      </w:r>
      <w:r w:rsidR="004550CB">
        <w:rPr>
          <w:noProof/>
        </w:rPr>
        <w:instrText xml:space="preserve"> REF _Caption2520 </w:instrText>
      </w:r>
      <w:r w:rsidR="004550CB">
        <w:rPr>
          <w:noProof/>
        </w:rPr>
        <w:fldChar w:fldCharType="separate"/>
      </w:r>
      <w:r w:rsidR="00AD3561">
        <w:rPr>
          <w:noProof/>
        </w:rPr>
        <w:t>5</w:t>
      </w:r>
      <w:r w:rsidR="00AD3561" w:rsidRPr="00695C93">
        <w:rPr>
          <w:noProof/>
        </w:rPr>
        <w:t>.</w:t>
      </w:r>
      <w:r w:rsidR="00AD3561">
        <w:rPr>
          <w:noProof/>
        </w:rPr>
        <w:t>6</w:t>
      </w:r>
      <w:r w:rsidR="004550CB">
        <w:rPr>
          <w:noProof/>
        </w:rPr>
        <w:fldChar w:fldCharType="end"/>
      </w:r>
      <w:r>
        <w:t>. These costs include the following.</w:t>
      </w:r>
    </w:p>
    <w:p w14:paraId="4897588F" w14:textId="77777777" w:rsidR="00ED0E85" w:rsidRDefault="00ED0E85" w:rsidP="00ED0E85">
      <w:pPr>
        <w:pStyle w:val="ListBullet"/>
      </w:pPr>
      <w:r>
        <w:t>Based on our survey of assessors, the average cost of obtaining a NABERS rating is estimated at around $3300.</w:t>
      </w:r>
    </w:p>
    <w:p w14:paraId="712D3FDC" w14:textId="77777777" w:rsidR="00ED0E85" w:rsidRDefault="00ED0E85" w:rsidP="00ED0E85">
      <w:pPr>
        <w:pStyle w:val="ListBullet"/>
      </w:pPr>
      <w:r>
        <w:t>NABERS administration fees are around $1100 per rating.</w:t>
      </w:r>
    </w:p>
    <w:p w14:paraId="6FF7D9EC" w14:textId="77777777" w:rsidR="00ED0E85" w:rsidRDefault="00ED0E85" w:rsidP="00ED0E85">
      <w:pPr>
        <w:pStyle w:val="ListBullet"/>
      </w:pPr>
      <w:r>
        <w:t>Internal costs include the cost of gathering the relevant information, as well as costs associated with arranging assessors to complete the assessment. These costs were estimated at around $1000 per assessment based on a small number of responses to our survey of building owners/managers.</w:t>
      </w:r>
    </w:p>
    <w:p w14:paraId="12702E72" w14:textId="77777777" w:rsidR="00ED0E85" w:rsidRDefault="00ED0E85" w:rsidP="00ED0E85">
      <w:pPr>
        <w:pStyle w:val="ListBullet"/>
      </w:pPr>
      <w:r>
        <w:t>The cost of completing a TLA and applying for a BEEC is also based on our survey of assessors.</w:t>
      </w:r>
    </w:p>
    <w:p w14:paraId="74B27AB1" w14:textId="3D1A99A9"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w:instrText>
      </w:r>
      <w:r w:rsidRPr="00695C93">
        <w:fldChar w:fldCharType="separate"/>
      </w:r>
      <w:r w:rsidR="00AD3561">
        <w:rPr>
          <w:noProof/>
        </w:rPr>
        <w:instrText>5</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w:instrText>
      </w:r>
      <w:r w:rsidR="00C353B5">
        <w:instrText xml:space="preserve">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5</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6</w:instrText>
      </w:r>
      <w:r w:rsidRPr="00695C93">
        <w:fldChar w:fldCharType="end"/>
      </w:r>
      <w:r w:rsidRPr="00695C93">
        <w:instrText xml:space="preserve">" "" </w:instrText>
      </w:r>
      <w:r w:rsidRPr="00695C93">
        <w:fldChar w:fldCharType="separate"/>
      </w:r>
      <w:bookmarkStart w:id="3074" w:name="_Caption1173"/>
      <w:bookmarkStart w:id="3075" w:name="_Caption3906"/>
      <w:bookmarkStart w:id="3076" w:name="_Caption5074"/>
      <w:bookmarkStart w:id="3077" w:name="_Caption6078"/>
      <w:bookmarkStart w:id="3078" w:name="_Caption8621"/>
      <w:bookmarkStart w:id="3079" w:name="_Caption0619"/>
      <w:bookmarkStart w:id="3080" w:name="_Caption4066"/>
      <w:bookmarkStart w:id="3081" w:name="_Caption5094"/>
      <w:bookmarkStart w:id="3082" w:name="_Caption9204"/>
      <w:bookmarkStart w:id="3083" w:name="_Caption4310"/>
      <w:bookmarkStart w:id="3084" w:name="_Caption5396"/>
      <w:bookmarkStart w:id="3085" w:name="_Caption3533"/>
      <w:bookmarkStart w:id="3086" w:name="_Caption1875"/>
      <w:bookmarkStart w:id="3087" w:name="_Caption0547"/>
      <w:bookmarkStart w:id="3088" w:name="_Caption4602"/>
      <w:bookmarkStart w:id="3089" w:name="_Caption2370"/>
      <w:bookmarkStart w:id="3090" w:name="_Caption5161"/>
      <w:bookmarkStart w:id="3091" w:name="_Caption9016"/>
      <w:bookmarkStart w:id="3092" w:name="_Caption3386"/>
      <w:bookmarkStart w:id="3093" w:name="_Caption1118"/>
      <w:bookmarkStart w:id="3094" w:name="_Caption7497"/>
      <w:bookmarkStart w:id="3095" w:name="_Caption6179"/>
      <w:bookmarkStart w:id="3096" w:name="_Caption3522"/>
      <w:bookmarkStart w:id="3097" w:name="_Caption6679"/>
      <w:bookmarkStart w:id="3098" w:name="_Caption3989"/>
      <w:bookmarkStart w:id="3099" w:name="_Caption2387"/>
      <w:bookmarkStart w:id="3100" w:name="_Caption1954"/>
      <w:bookmarkStart w:id="3101" w:name="_Caption8367"/>
      <w:bookmarkStart w:id="3102" w:name="_Caption7939"/>
      <w:bookmarkStart w:id="3103" w:name="_Caption0057"/>
      <w:bookmarkStart w:id="3104" w:name="_Caption6740"/>
      <w:bookmarkStart w:id="3105" w:name="_Caption3432"/>
      <w:bookmarkStart w:id="3106" w:name="_Caption6363"/>
      <w:bookmarkStart w:id="3107" w:name="_Caption2520"/>
      <w:bookmarkStart w:id="3108" w:name="_Caption3486"/>
      <w:bookmarkStart w:id="3109" w:name="_Caption1921"/>
      <w:bookmarkStart w:id="3110" w:name="_Caption2232"/>
      <w:bookmarkStart w:id="3111" w:name="_Caption4119"/>
      <w:bookmarkStart w:id="3112" w:name="_Caption6447"/>
      <w:bookmarkStart w:id="3113" w:name="_Caption3656"/>
      <w:bookmarkStart w:id="3114" w:name="_Caption6165"/>
      <w:bookmarkStart w:id="3115" w:name="_Caption2802"/>
      <w:bookmarkStart w:id="3116" w:name="_Caption8062"/>
      <w:bookmarkStart w:id="3117" w:name="_Caption1468"/>
      <w:bookmarkStart w:id="3118" w:name="_Caption6712"/>
      <w:bookmarkStart w:id="3119" w:name="_Caption9486"/>
      <w:bookmarkStart w:id="3120" w:name="_Caption9967"/>
      <w:bookmarkStart w:id="3121" w:name="_Caption8412"/>
      <w:bookmarkStart w:id="3122" w:name="_Caption6207"/>
      <w:bookmarkStart w:id="3123" w:name="_Caption4971"/>
      <w:bookmarkStart w:id="3124" w:name="_Caption2600"/>
      <w:bookmarkStart w:id="3125" w:name="_Caption0000"/>
      <w:bookmarkStart w:id="3126" w:name="_Caption3027"/>
      <w:bookmarkStart w:id="3127" w:name="_Caption0263"/>
      <w:bookmarkStart w:id="3128" w:name="_Caption5873"/>
      <w:bookmarkStart w:id="3129" w:name="_Caption3047"/>
      <w:bookmarkStart w:id="3130" w:name="_Caption4627"/>
      <w:bookmarkStart w:id="3131" w:name="_Caption6471"/>
      <w:bookmarkStart w:id="3132" w:name="_Caption2526"/>
      <w:bookmarkStart w:id="3133" w:name="_Caption7932"/>
      <w:bookmarkStart w:id="3134" w:name="_Caption5372"/>
      <w:bookmarkStart w:id="3135" w:name="_Caption5475"/>
      <w:bookmarkStart w:id="3136" w:name="_Caption1154"/>
      <w:bookmarkStart w:id="3137" w:name="_Caption6278"/>
      <w:bookmarkStart w:id="3138" w:name="_Caption6922"/>
      <w:bookmarkStart w:id="3139" w:name="_Caption1575"/>
      <w:bookmarkStart w:id="3140" w:name="_Caption3944"/>
      <w:bookmarkStart w:id="3141" w:name="_Caption7786"/>
      <w:bookmarkStart w:id="3142" w:name="_Toc19275597"/>
      <w:bookmarkStart w:id="3143" w:name="_Toc19276207"/>
      <w:bookmarkStart w:id="3144" w:name="_Toc19280206"/>
      <w:r w:rsidR="00C353B5">
        <w:rPr>
          <w:noProof/>
        </w:rPr>
        <w:t>5</w:t>
      </w:r>
      <w:r w:rsidR="00C353B5" w:rsidRPr="00695C93">
        <w:rPr>
          <w:noProof/>
        </w:rPr>
        <w:t>.</w:t>
      </w:r>
      <w:r w:rsidR="00C353B5">
        <w:rPr>
          <w:noProof/>
        </w:rPr>
        <w:t>6</w:t>
      </w:r>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r w:rsidRPr="00695C93">
        <w:fldChar w:fldCharType="end"/>
      </w:r>
      <w:r w:rsidRPr="00695C93">
        <w:tab/>
      </w:r>
      <w:r>
        <w:t>Estimated compliance costs</w:t>
      </w:r>
      <w:bookmarkEnd w:id="3142"/>
      <w:bookmarkEnd w:id="3143"/>
      <w:bookmarkEnd w:id="3144"/>
    </w:p>
    <w:tbl>
      <w:tblPr>
        <w:tblW w:w="0" w:type="auto"/>
        <w:tblLayout w:type="fixed"/>
        <w:tblLook w:val="0000" w:firstRow="0" w:lastRow="0" w:firstColumn="0" w:lastColumn="0" w:noHBand="0" w:noVBand="0"/>
      </w:tblPr>
      <w:tblGrid>
        <w:gridCol w:w="3846"/>
        <w:gridCol w:w="4091"/>
      </w:tblGrid>
      <w:tr w:rsidR="00ED0E85" w:rsidRPr="001644F0" w14:paraId="1E0C0A84" w14:textId="77777777" w:rsidTr="00ED0E85">
        <w:trPr>
          <w:trHeight w:val="230"/>
          <w:tblHeader/>
        </w:trPr>
        <w:tc>
          <w:tcPr>
            <w:tcW w:w="3846" w:type="dxa"/>
            <w:shd w:val="clear" w:color="auto" w:fill="6F6652"/>
            <w:tcMar>
              <w:left w:w="57" w:type="dxa"/>
              <w:right w:w="57" w:type="dxa"/>
            </w:tcMar>
          </w:tcPr>
          <w:p w14:paraId="7E19C9BD" w14:textId="77777777" w:rsidR="00ED0E85" w:rsidRPr="001644F0" w:rsidRDefault="00ED0E85" w:rsidP="00ED0E85">
            <w:pPr>
              <w:pStyle w:val="TableDataColumnHeading"/>
              <w:jc w:val="left"/>
              <w:rPr>
                <w:lang w:val="en-GB"/>
              </w:rPr>
            </w:pPr>
          </w:p>
        </w:tc>
        <w:tc>
          <w:tcPr>
            <w:tcW w:w="4091" w:type="dxa"/>
            <w:shd w:val="clear" w:color="auto" w:fill="6F6652"/>
            <w:tcMar>
              <w:left w:w="57" w:type="dxa"/>
              <w:right w:w="57" w:type="dxa"/>
            </w:tcMar>
          </w:tcPr>
          <w:p w14:paraId="3E5D582A" w14:textId="77777777" w:rsidR="00ED0E85" w:rsidRPr="001644F0" w:rsidRDefault="00ED0E85" w:rsidP="00ED0E85">
            <w:pPr>
              <w:pStyle w:val="TableDataColumnHeading"/>
              <w:rPr>
                <w:bCs/>
                <w:lang w:val="en-GB"/>
              </w:rPr>
            </w:pPr>
            <w:r w:rsidRPr="001644F0">
              <w:rPr>
                <w:bCs/>
                <w:lang w:val="en-GB"/>
              </w:rPr>
              <w:t>Cost per rating</w:t>
            </w:r>
          </w:p>
        </w:tc>
      </w:tr>
      <w:tr w:rsidR="00ED0E85" w:rsidRPr="007D77FF" w14:paraId="58D2A2CD" w14:textId="77777777" w:rsidTr="00ED0E85">
        <w:trPr>
          <w:trHeight w:val="230"/>
          <w:tblHeader/>
        </w:trPr>
        <w:tc>
          <w:tcPr>
            <w:tcW w:w="3846" w:type="dxa"/>
            <w:tcBorders>
              <w:bottom w:val="single" w:sz="8" w:space="0" w:color="FFFFFF" w:themeColor="background1"/>
            </w:tcBorders>
            <w:shd w:val="clear" w:color="auto" w:fill="auto"/>
            <w:tcMar>
              <w:left w:w="57" w:type="dxa"/>
              <w:right w:w="57" w:type="dxa"/>
            </w:tcMar>
          </w:tcPr>
          <w:p w14:paraId="4EFC39D3" w14:textId="77777777" w:rsidR="00ED0E85" w:rsidRPr="007D77FF" w:rsidRDefault="00ED0E85" w:rsidP="00ED0E85">
            <w:pPr>
              <w:pStyle w:val="TableUnit"/>
              <w:jc w:val="left"/>
              <w:rPr>
                <w:lang w:val="en-GB"/>
              </w:rPr>
            </w:pPr>
          </w:p>
        </w:tc>
        <w:tc>
          <w:tcPr>
            <w:tcW w:w="4091" w:type="dxa"/>
            <w:tcBorders>
              <w:bottom w:val="single" w:sz="8" w:space="0" w:color="FFFFFF" w:themeColor="background1"/>
            </w:tcBorders>
            <w:shd w:val="clear" w:color="auto" w:fill="auto"/>
            <w:tcMar>
              <w:left w:w="57" w:type="dxa"/>
              <w:right w:w="57" w:type="dxa"/>
            </w:tcMar>
          </w:tcPr>
          <w:p w14:paraId="3D43459E" w14:textId="77777777" w:rsidR="00ED0E85" w:rsidRPr="007D77FF" w:rsidRDefault="00ED0E85" w:rsidP="00ED0E85">
            <w:pPr>
              <w:pStyle w:val="TableUnit"/>
              <w:rPr>
                <w:lang w:val="en-GB"/>
              </w:rPr>
            </w:pPr>
            <w:r w:rsidRPr="007D77FF">
              <w:rPr>
                <w:lang w:val="en-GB"/>
              </w:rPr>
              <w:t>$</w:t>
            </w:r>
          </w:p>
        </w:tc>
      </w:tr>
      <w:tr w:rsidR="00ED0E85" w:rsidRPr="007D77FF" w14:paraId="40890962" w14:textId="77777777" w:rsidTr="00ED0E85">
        <w:trPr>
          <w:trHeight w:val="230"/>
        </w:trPr>
        <w:tc>
          <w:tcPr>
            <w:tcW w:w="384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3BC7B99" w14:textId="77777777" w:rsidR="00ED0E85" w:rsidRPr="007D77FF" w:rsidRDefault="00ED0E85" w:rsidP="00ED0E85">
            <w:pPr>
              <w:pStyle w:val="TableHeading1"/>
              <w:rPr>
                <w:lang w:val="en-GB"/>
              </w:rPr>
            </w:pPr>
            <w:r w:rsidRPr="007D77FF">
              <w:rPr>
                <w:lang w:val="en-GB"/>
              </w:rPr>
              <w:t>Cost of NABERS rating</w:t>
            </w:r>
          </w:p>
        </w:tc>
        <w:tc>
          <w:tcPr>
            <w:tcW w:w="409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0DE705B" w14:textId="77777777" w:rsidR="00ED0E85" w:rsidRPr="007D77FF" w:rsidRDefault="00ED0E85" w:rsidP="00ED0E85">
            <w:pPr>
              <w:pStyle w:val="TableHeading1"/>
              <w:rPr>
                <w:lang w:val="en-GB"/>
              </w:rPr>
            </w:pPr>
          </w:p>
        </w:tc>
      </w:tr>
      <w:tr w:rsidR="00ED0E85" w:rsidRPr="007D77FF" w14:paraId="72344BFA" w14:textId="77777777" w:rsidTr="00ED0E85">
        <w:trPr>
          <w:trHeight w:val="230"/>
        </w:trPr>
        <w:tc>
          <w:tcPr>
            <w:tcW w:w="38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39C286" w14:textId="77777777" w:rsidR="00ED0E85" w:rsidRPr="007D77FF" w:rsidRDefault="00ED0E85" w:rsidP="00ED0E85">
            <w:pPr>
              <w:pStyle w:val="TableDataEntries"/>
              <w:jc w:val="left"/>
              <w:rPr>
                <w:lang w:val="en-GB"/>
              </w:rPr>
            </w:pPr>
            <w:r w:rsidRPr="007D77FF">
              <w:rPr>
                <w:lang w:val="en-GB"/>
              </w:rPr>
              <w:t>Consulting fees</w:t>
            </w:r>
            <w:r>
              <w:rPr>
                <w:lang w:val="en-GB"/>
              </w:rPr>
              <w:t xml:space="preserve"> – NABERS rating</w:t>
            </w:r>
          </w:p>
        </w:tc>
        <w:tc>
          <w:tcPr>
            <w:tcW w:w="409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E88B4A" w14:textId="77777777" w:rsidR="00ED0E85" w:rsidRPr="007D77FF" w:rsidRDefault="00ED0E85" w:rsidP="00ED0E85">
            <w:pPr>
              <w:pStyle w:val="TableDataEntries"/>
              <w:rPr>
                <w:lang w:val="en-GB"/>
              </w:rPr>
            </w:pPr>
            <w:r w:rsidRPr="007D77FF">
              <w:rPr>
                <w:lang w:val="en-GB"/>
              </w:rPr>
              <w:t>3 300</w:t>
            </w:r>
          </w:p>
        </w:tc>
      </w:tr>
      <w:tr w:rsidR="00ED0E85" w:rsidRPr="007D77FF" w14:paraId="24C8615E" w14:textId="77777777" w:rsidTr="00ED0E85">
        <w:trPr>
          <w:trHeight w:val="230"/>
        </w:trPr>
        <w:tc>
          <w:tcPr>
            <w:tcW w:w="38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53BB91" w14:textId="77777777" w:rsidR="00ED0E85" w:rsidRPr="007D77FF" w:rsidRDefault="00ED0E85" w:rsidP="00ED0E85">
            <w:pPr>
              <w:pStyle w:val="TableDataEntries"/>
              <w:jc w:val="left"/>
              <w:rPr>
                <w:lang w:val="en-GB"/>
              </w:rPr>
            </w:pPr>
            <w:r w:rsidRPr="007D77FF">
              <w:rPr>
                <w:lang w:val="en-GB"/>
              </w:rPr>
              <w:t xml:space="preserve">NABERS </w:t>
            </w:r>
            <w:r>
              <w:rPr>
                <w:lang w:val="en-GB"/>
              </w:rPr>
              <w:t xml:space="preserve">certification </w:t>
            </w:r>
            <w:r w:rsidRPr="007D77FF">
              <w:rPr>
                <w:lang w:val="en-GB"/>
              </w:rPr>
              <w:t>fees</w:t>
            </w:r>
          </w:p>
        </w:tc>
        <w:tc>
          <w:tcPr>
            <w:tcW w:w="409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4F8C5B" w14:textId="77777777" w:rsidR="00ED0E85" w:rsidRPr="007D77FF" w:rsidRDefault="00ED0E85" w:rsidP="00ED0E85">
            <w:pPr>
              <w:pStyle w:val="TableDataEntries"/>
              <w:rPr>
                <w:lang w:val="en-GB"/>
              </w:rPr>
            </w:pPr>
            <w:r w:rsidRPr="007D77FF">
              <w:rPr>
                <w:lang w:val="en-GB"/>
              </w:rPr>
              <w:t>1 100</w:t>
            </w:r>
          </w:p>
        </w:tc>
      </w:tr>
      <w:tr w:rsidR="00ED0E85" w:rsidRPr="007D77FF" w14:paraId="15CC0F02" w14:textId="77777777" w:rsidTr="00ED0E85">
        <w:trPr>
          <w:trHeight w:val="230"/>
        </w:trPr>
        <w:tc>
          <w:tcPr>
            <w:tcW w:w="38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4C129D" w14:textId="77777777" w:rsidR="00ED0E85" w:rsidRPr="007D77FF" w:rsidRDefault="00ED0E85" w:rsidP="00ED0E85">
            <w:pPr>
              <w:pStyle w:val="TableDataEntries"/>
              <w:jc w:val="left"/>
              <w:rPr>
                <w:lang w:val="en-GB"/>
              </w:rPr>
            </w:pPr>
            <w:r w:rsidRPr="007D77FF">
              <w:rPr>
                <w:lang w:val="en-GB"/>
              </w:rPr>
              <w:t>Internal costs</w:t>
            </w:r>
          </w:p>
        </w:tc>
        <w:tc>
          <w:tcPr>
            <w:tcW w:w="409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72E51B" w14:textId="77777777" w:rsidR="00ED0E85" w:rsidRPr="007D77FF" w:rsidRDefault="00ED0E85" w:rsidP="00ED0E85">
            <w:pPr>
              <w:pStyle w:val="TableDataEntries"/>
              <w:rPr>
                <w:lang w:val="en-GB"/>
              </w:rPr>
            </w:pPr>
            <w:r w:rsidRPr="007D77FF">
              <w:rPr>
                <w:lang w:val="en-GB"/>
              </w:rPr>
              <w:t>1 000</w:t>
            </w:r>
          </w:p>
        </w:tc>
      </w:tr>
      <w:tr w:rsidR="00ED0E85" w:rsidRPr="001644F0" w14:paraId="57456829" w14:textId="77777777" w:rsidTr="00ED0E85">
        <w:trPr>
          <w:trHeight w:val="230"/>
        </w:trPr>
        <w:tc>
          <w:tcPr>
            <w:tcW w:w="384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50687D2B" w14:textId="77777777" w:rsidR="00ED0E85" w:rsidRPr="001644F0" w:rsidRDefault="00ED0E85" w:rsidP="00ED0E85">
            <w:pPr>
              <w:pStyle w:val="TableDataEntries"/>
              <w:spacing w:after="60"/>
              <w:jc w:val="left"/>
              <w:rPr>
                <w:rFonts w:ascii="Franklin Gothic Demi" w:hAnsi="Franklin Gothic Demi"/>
                <w:lang w:val="en-GB"/>
              </w:rPr>
            </w:pPr>
            <w:r w:rsidRPr="001644F0">
              <w:rPr>
                <w:rFonts w:ascii="Franklin Gothic Demi" w:hAnsi="Franklin Gothic Demi"/>
                <w:lang w:val="en-GB"/>
              </w:rPr>
              <w:t>Total</w:t>
            </w:r>
          </w:p>
        </w:tc>
        <w:tc>
          <w:tcPr>
            <w:tcW w:w="4091"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5396B25C" w14:textId="77777777" w:rsidR="00ED0E85" w:rsidRPr="001644F0" w:rsidRDefault="00ED0E85" w:rsidP="00ED0E85">
            <w:pPr>
              <w:pStyle w:val="TableDataEntries"/>
              <w:spacing w:after="60"/>
              <w:rPr>
                <w:rFonts w:ascii="Franklin Gothic Demi" w:hAnsi="Franklin Gothic Demi"/>
                <w:lang w:val="en-GB"/>
              </w:rPr>
            </w:pPr>
            <w:r w:rsidRPr="001644F0">
              <w:rPr>
                <w:rFonts w:ascii="Franklin Gothic Demi" w:hAnsi="Franklin Gothic Demi"/>
                <w:lang w:val="en-GB"/>
              </w:rPr>
              <w:t>5 400</w:t>
            </w:r>
          </w:p>
        </w:tc>
      </w:tr>
      <w:tr w:rsidR="00ED0E85" w:rsidRPr="007D77FF" w14:paraId="21218EB4" w14:textId="77777777" w:rsidTr="00ED0E85">
        <w:trPr>
          <w:trHeight w:val="230"/>
        </w:trPr>
        <w:tc>
          <w:tcPr>
            <w:tcW w:w="384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CB9C696" w14:textId="77777777" w:rsidR="00ED0E85" w:rsidRPr="007D77FF" w:rsidRDefault="00ED0E85" w:rsidP="00ED0E85">
            <w:pPr>
              <w:pStyle w:val="TableHeading1"/>
              <w:rPr>
                <w:lang w:val="en-GB"/>
              </w:rPr>
            </w:pPr>
            <w:r w:rsidRPr="007D77FF">
              <w:rPr>
                <w:lang w:val="en-GB"/>
              </w:rPr>
              <w:t>Other costs</w:t>
            </w:r>
          </w:p>
        </w:tc>
        <w:tc>
          <w:tcPr>
            <w:tcW w:w="409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E042C3B" w14:textId="77777777" w:rsidR="00ED0E85" w:rsidRPr="007D77FF" w:rsidRDefault="00ED0E85" w:rsidP="00ED0E85">
            <w:pPr>
              <w:pStyle w:val="TableHeading1"/>
              <w:rPr>
                <w:lang w:val="en-GB"/>
              </w:rPr>
            </w:pPr>
          </w:p>
        </w:tc>
      </w:tr>
      <w:tr w:rsidR="00ED0E85" w:rsidRPr="007D77FF" w14:paraId="22467B3E" w14:textId="77777777" w:rsidTr="00ED0E85">
        <w:trPr>
          <w:trHeight w:val="230"/>
        </w:trPr>
        <w:tc>
          <w:tcPr>
            <w:tcW w:w="38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6C5CDE" w14:textId="77777777" w:rsidR="00ED0E85" w:rsidRPr="007D77FF" w:rsidRDefault="00ED0E85" w:rsidP="00ED0E85">
            <w:pPr>
              <w:pStyle w:val="TableDataEntries"/>
              <w:jc w:val="left"/>
              <w:rPr>
                <w:lang w:val="en-GB"/>
              </w:rPr>
            </w:pPr>
            <w:r>
              <w:rPr>
                <w:lang w:val="en-GB"/>
              </w:rPr>
              <w:t xml:space="preserve">Consulting fees – </w:t>
            </w:r>
            <w:r w:rsidRPr="007D77FF">
              <w:rPr>
                <w:lang w:val="en-GB"/>
              </w:rPr>
              <w:t>TLA</w:t>
            </w:r>
            <w:r>
              <w:rPr>
                <w:lang w:val="en-GB"/>
              </w:rPr>
              <w:t xml:space="preserve"> assessment</w:t>
            </w:r>
          </w:p>
        </w:tc>
        <w:tc>
          <w:tcPr>
            <w:tcW w:w="409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338372" w14:textId="77777777" w:rsidR="00ED0E85" w:rsidRPr="007D77FF" w:rsidRDefault="00ED0E85" w:rsidP="00ED0E85">
            <w:pPr>
              <w:pStyle w:val="TableDataEntries"/>
              <w:rPr>
                <w:lang w:val="en-GB"/>
              </w:rPr>
            </w:pPr>
            <w:r w:rsidRPr="007D77FF">
              <w:rPr>
                <w:lang w:val="en-GB"/>
              </w:rPr>
              <w:t>1 460</w:t>
            </w:r>
          </w:p>
        </w:tc>
      </w:tr>
      <w:tr w:rsidR="00ED0E85" w:rsidRPr="007D77FF" w14:paraId="69319510" w14:textId="77777777" w:rsidTr="00ED0E85">
        <w:trPr>
          <w:trHeight w:val="230"/>
        </w:trPr>
        <w:tc>
          <w:tcPr>
            <w:tcW w:w="3846" w:type="dxa"/>
            <w:tcBorders>
              <w:top w:val="single" w:sz="8" w:space="0" w:color="FFFFFF" w:themeColor="background1"/>
              <w:bottom w:val="single" w:sz="6" w:space="0" w:color="6F6652"/>
            </w:tcBorders>
            <w:shd w:val="clear" w:color="auto" w:fill="E9E8E5" w:themeFill="background2"/>
            <w:tcMar>
              <w:left w:w="57" w:type="dxa"/>
              <w:right w:w="57" w:type="dxa"/>
            </w:tcMar>
          </w:tcPr>
          <w:p w14:paraId="04F2B04D" w14:textId="77777777" w:rsidR="00ED0E85" w:rsidRPr="007D77FF" w:rsidRDefault="00ED0E85" w:rsidP="00ED0E85">
            <w:pPr>
              <w:pStyle w:val="TableDataEntries"/>
              <w:jc w:val="left"/>
              <w:rPr>
                <w:lang w:val="en-GB"/>
              </w:rPr>
            </w:pPr>
            <w:r w:rsidRPr="007D77FF">
              <w:rPr>
                <w:lang w:val="en-GB"/>
              </w:rPr>
              <w:t>BEEC</w:t>
            </w:r>
          </w:p>
        </w:tc>
        <w:tc>
          <w:tcPr>
            <w:tcW w:w="4091" w:type="dxa"/>
            <w:tcBorders>
              <w:top w:val="single" w:sz="8" w:space="0" w:color="FFFFFF" w:themeColor="background1"/>
              <w:bottom w:val="single" w:sz="6" w:space="0" w:color="6F6652"/>
            </w:tcBorders>
            <w:shd w:val="clear" w:color="auto" w:fill="E9E8E5" w:themeFill="background2"/>
            <w:tcMar>
              <w:left w:w="57" w:type="dxa"/>
              <w:right w:w="57" w:type="dxa"/>
            </w:tcMar>
          </w:tcPr>
          <w:p w14:paraId="6D6224FB" w14:textId="77777777" w:rsidR="00ED0E85" w:rsidRPr="007D77FF" w:rsidRDefault="00ED0E85" w:rsidP="00ED0E85">
            <w:pPr>
              <w:pStyle w:val="TableDataEntries"/>
              <w:rPr>
                <w:lang w:val="en-GB"/>
              </w:rPr>
            </w:pPr>
            <w:r w:rsidRPr="007D77FF">
              <w:rPr>
                <w:lang w:val="en-GB"/>
              </w:rPr>
              <w:t xml:space="preserve"> 160</w:t>
            </w:r>
          </w:p>
        </w:tc>
      </w:tr>
    </w:tbl>
    <w:p w14:paraId="2E306599" w14:textId="77777777" w:rsidR="00ED0E85" w:rsidRDefault="00ED0E85" w:rsidP="00ED0E85">
      <w:pPr>
        <w:pStyle w:val="Source"/>
      </w:pPr>
      <w:r>
        <w:rPr>
          <w:i/>
        </w:rPr>
        <w:t>Source</w:t>
      </w:r>
      <w:r w:rsidRPr="00E4232C">
        <w:rPr>
          <w:i/>
        </w:rPr>
        <w:t>:</w:t>
      </w:r>
      <w:r>
        <w:t xml:space="preserve"> CIE surveys.</w:t>
      </w:r>
    </w:p>
    <w:p w14:paraId="11B66FCF" w14:textId="7701821E" w:rsidR="00ED0E85" w:rsidRDefault="00ED0E85" w:rsidP="00ED0E85">
      <w:pPr>
        <w:pStyle w:val="BodyText"/>
      </w:pPr>
      <w:r>
        <w:t>The number of NABERS ratings (base building and whole building) completed by buildings that entered the NABERS system after 2010</w:t>
      </w:r>
      <w:r>
        <w:noBreakHyphen/>
        <w:t>11 are shown in table </w:t>
      </w:r>
      <w:r w:rsidR="004550CB">
        <w:rPr>
          <w:noProof/>
        </w:rPr>
        <w:fldChar w:fldCharType="begin"/>
      </w:r>
      <w:r w:rsidR="004550CB">
        <w:rPr>
          <w:noProof/>
        </w:rPr>
        <w:instrText xml:space="preserve"> REF _Caption2743 </w:instrText>
      </w:r>
      <w:r w:rsidR="004550CB">
        <w:rPr>
          <w:noProof/>
        </w:rPr>
        <w:fldChar w:fldCharType="separate"/>
      </w:r>
      <w:r w:rsidR="00AD3561">
        <w:rPr>
          <w:noProof/>
        </w:rPr>
        <w:t>5</w:t>
      </w:r>
      <w:r w:rsidR="00AD3561" w:rsidRPr="00695C93">
        <w:rPr>
          <w:noProof/>
        </w:rPr>
        <w:t>.</w:t>
      </w:r>
      <w:r w:rsidR="00AD3561">
        <w:rPr>
          <w:noProof/>
        </w:rPr>
        <w:t>7</w:t>
      </w:r>
      <w:r w:rsidR="004550CB">
        <w:rPr>
          <w:noProof/>
        </w:rPr>
        <w:fldChar w:fldCharType="end"/>
      </w:r>
      <w:r>
        <w:t>.</w:t>
      </w:r>
    </w:p>
    <w:p w14:paraId="1EEC07C8" w14:textId="4ECCBC5F"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w:instrText>
      </w:r>
      <w:r w:rsidRPr="00695C93">
        <w:fldChar w:fldCharType="separate"/>
      </w:r>
      <w:r w:rsidR="00AD3561">
        <w:rPr>
          <w:noProof/>
        </w:rPr>
        <w:instrText>5</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5</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7</w:instrText>
      </w:r>
      <w:r w:rsidRPr="00695C93">
        <w:fldChar w:fldCharType="end"/>
      </w:r>
      <w:r w:rsidRPr="00695C93">
        <w:instrText xml:space="preserve">" "" </w:instrText>
      </w:r>
      <w:r w:rsidRPr="00695C93">
        <w:fldChar w:fldCharType="separate"/>
      </w:r>
      <w:bookmarkStart w:id="3145" w:name="_Caption2922"/>
      <w:bookmarkStart w:id="3146" w:name="_Caption4200"/>
      <w:bookmarkStart w:id="3147" w:name="_Caption8064"/>
      <w:bookmarkStart w:id="3148" w:name="_Caption2259"/>
      <w:bookmarkStart w:id="3149" w:name="_Caption4750"/>
      <w:bookmarkStart w:id="3150" w:name="_Caption0705"/>
      <w:bookmarkStart w:id="3151" w:name="_Caption7948"/>
      <w:bookmarkStart w:id="3152" w:name="_Caption5480"/>
      <w:bookmarkStart w:id="3153" w:name="_Caption0644"/>
      <w:bookmarkStart w:id="3154" w:name="_Caption5006"/>
      <w:bookmarkStart w:id="3155" w:name="_Caption8439"/>
      <w:bookmarkStart w:id="3156" w:name="_Caption9327"/>
      <w:bookmarkStart w:id="3157" w:name="_Caption1820"/>
      <w:bookmarkStart w:id="3158" w:name="_Caption6849"/>
      <w:bookmarkStart w:id="3159" w:name="_Caption0823"/>
      <w:bookmarkStart w:id="3160" w:name="_Caption9913"/>
      <w:bookmarkStart w:id="3161" w:name="_Caption2103"/>
      <w:bookmarkStart w:id="3162" w:name="_Caption5893"/>
      <w:bookmarkStart w:id="3163" w:name="_Caption7592"/>
      <w:bookmarkStart w:id="3164" w:name="_Caption4322"/>
      <w:bookmarkStart w:id="3165" w:name="_Caption8886"/>
      <w:bookmarkStart w:id="3166" w:name="_Caption8436"/>
      <w:bookmarkStart w:id="3167" w:name="_Caption6932"/>
      <w:bookmarkStart w:id="3168" w:name="_Caption1139"/>
      <w:bookmarkStart w:id="3169" w:name="_Caption5205"/>
      <w:bookmarkStart w:id="3170" w:name="_Caption3352"/>
      <w:bookmarkStart w:id="3171" w:name="_Caption5398"/>
      <w:bookmarkStart w:id="3172" w:name="_Caption8474"/>
      <w:bookmarkStart w:id="3173" w:name="_Caption3517"/>
      <w:bookmarkStart w:id="3174" w:name="_Caption6919"/>
      <w:bookmarkStart w:id="3175" w:name="_Caption1800"/>
      <w:bookmarkStart w:id="3176" w:name="_Caption2743"/>
      <w:bookmarkStart w:id="3177" w:name="_Caption6816"/>
      <w:bookmarkStart w:id="3178" w:name="_Caption7037"/>
      <w:bookmarkStart w:id="3179" w:name="_Caption9741"/>
      <w:bookmarkStart w:id="3180" w:name="_Caption6784"/>
      <w:bookmarkStart w:id="3181" w:name="_Caption4826"/>
      <w:bookmarkStart w:id="3182" w:name="_Caption9891"/>
      <w:bookmarkStart w:id="3183" w:name="_Caption6500"/>
      <w:bookmarkStart w:id="3184" w:name="_Caption5244"/>
      <w:bookmarkStart w:id="3185" w:name="_Caption9884"/>
      <w:bookmarkStart w:id="3186" w:name="_Caption3977"/>
      <w:bookmarkStart w:id="3187" w:name="_Caption3780"/>
      <w:bookmarkStart w:id="3188" w:name="_Caption4510"/>
      <w:bookmarkStart w:id="3189" w:name="_Caption8646"/>
      <w:bookmarkStart w:id="3190" w:name="_Caption4913"/>
      <w:bookmarkStart w:id="3191" w:name="_Caption1694"/>
      <w:bookmarkStart w:id="3192" w:name="_Caption6915"/>
      <w:bookmarkStart w:id="3193" w:name="_Caption2168"/>
      <w:bookmarkStart w:id="3194" w:name="_Caption2456"/>
      <w:bookmarkStart w:id="3195" w:name="_Caption6862"/>
      <w:bookmarkStart w:id="3196" w:name="_Caption0917"/>
      <w:bookmarkStart w:id="3197" w:name="_Caption6378"/>
      <w:bookmarkStart w:id="3198" w:name="_Caption9063"/>
      <w:bookmarkStart w:id="3199" w:name="_Caption9849"/>
      <w:bookmarkStart w:id="3200" w:name="_Caption6466"/>
      <w:bookmarkStart w:id="3201" w:name="_Caption2715"/>
      <w:bookmarkStart w:id="3202" w:name="_Caption3256"/>
      <w:bookmarkStart w:id="3203" w:name="_Caption7357"/>
      <w:bookmarkStart w:id="3204" w:name="_Caption7880"/>
      <w:bookmarkStart w:id="3205" w:name="_Caption8009"/>
      <w:bookmarkStart w:id="3206" w:name="_Caption7361"/>
      <w:bookmarkStart w:id="3207" w:name="_Caption2071"/>
      <w:bookmarkStart w:id="3208" w:name="_Caption3172"/>
      <w:bookmarkStart w:id="3209" w:name="_Caption3873"/>
      <w:bookmarkStart w:id="3210" w:name="_Caption1775"/>
      <w:bookmarkStart w:id="3211" w:name="_Caption1031"/>
      <w:bookmarkStart w:id="3212" w:name="_Toc19275598"/>
      <w:bookmarkStart w:id="3213" w:name="_Toc19276208"/>
      <w:bookmarkStart w:id="3214" w:name="_Toc19280207"/>
      <w:r w:rsidR="00C353B5">
        <w:rPr>
          <w:noProof/>
        </w:rPr>
        <w:t>5</w:t>
      </w:r>
      <w:r w:rsidR="00C353B5" w:rsidRPr="00695C93">
        <w:rPr>
          <w:noProof/>
        </w:rPr>
        <w:t>.</w:t>
      </w:r>
      <w:r w:rsidR="00C353B5">
        <w:rPr>
          <w:noProof/>
        </w:rPr>
        <w:t>7</w:t>
      </w:r>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r w:rsidRPr="00695C93">
        <w:fldChar w:fldCharType="end"/>
      </w:r>
      <w:r w:rsidRPr="00695C93">
        <w:tab/>
      </w:r>
      <w:r>
        <w:t>Number of NABERS Energy ratings</w:t>
      </w:r>
      <w:bookmarkEnd w:id="3212"/>
      <w:bookmarkEnd w:id="3213"/>
      <w:bookmarkEnd w:id="3214"/>
      <w:r>
        <w:t xml:space="preserve"> </w:t>
      </w:r>
    </w:p>
    <w:tbl>
      <w:tblPr>
        <w:tblW w:w="7934" w:type="dxa"/>
        <w:tblLayout w:type="fixed"/>
        <w:tblLook w:val="0000" w:firstRow="0" w:lastRow="0" w:firstColumn="0" w:lastColumn="0" w:noHBand="0" w:noVBand="0"/>
      </w:tblPr>
      <w:tblGrid>
        <w:gridCol w:w="1418"/>
        <w:gridCol w:w="580"/>
        <w:gridCol w:w="742"/>
        <w:gridCol w:w="742"/>
        <w:gridCol w:w="742"/>
        <w:gridCol w:w="742"/>
        <w:gridCol w:w="742"/>
        <w:gridCol w:w="742"/>
        <w:gridCol w:w="742"/>
        <w:gridCol w:w="742"/>
      </w:tblGrid>
      <w:tr w:rsidR="00ED0E85" w:rsidRPr="000674BD" w14:paraId="5DE64C23" w14:textId="77777777" w:rsidTr="00ED0E85">
        <w:trPr>
          <w:trHeight w:val="230"/>
          <w:tblHeader/>
        </w:trPr>
        <w:tc>
          <w:tcPr>
            <w:tcW w:w="1418" w:type="dxa"/>
            <w:shd w:val="clear" w:color="auto" w:fill="6F6652"/>
            <w:tcMar>
              <w:left w:w="57" w:type="dxa"/>
              <w:right w:w="57" w:type="dxa"/>
            </w:tcMar>
          </w:tcPr>
          <w:p w14:paraId="5FF3443E" w14:textId="77777777" w:rsidR="00ED0E85" w:rsidRPr="000674BD" w:rsidRDefault="00ED0E85" w:rsidP="00ED0E85">
            <w:pPr>
              <w:pStyle w:val="TableDataColumnHeading"/>
              <w:jc w:val="left"/>
              <w:rPr>
                <w:lang w:val="en-GB"/>
              </w:rPr>
            </w:pPr>
          </w:p>
        </w:tc>
        <w:tc>
          <w:tcPr>
            <w:tcW w:w="580" w:type="dxa"/>
            <w:shd w:val="clear" w:color="auto" w:fill="6F6652"/>
            <w:tcMar>
              <w:left w:w="57" w:type="dxa"/>
              <w:right w:w="57" w:type="dxa"/>
            </w:tcMar>
          </w:tcPr>
          <w:p w14:paraId="128DEE65" w14:textId="77777777" w:rsidR="00ED0E85" w:rsidRPr="000674BD" w:rsidRDefault="00ED0E85" w:rsidP="00ED0E85">
            <w:pPr>
              <w:pStyle w:val="TableDataColumnHeading"/>
              <w:rPr>
                <w:lang w:val="en-GB"/>
              </w:rPr>
            </w:pPr>
            <w:r w:rsidRPr="000674BD">
              <w:rPr>
                <w:lang w:val="en-GB"/>
              </w:rPr>
              <w:t>2011</w:t>
            </w:r>
          </w:p>
        </w:tc>
        <w:tc>
          <w:tcPr>
            <w:tcW w:w="742" w:type="dxa"/>
            <w:shd w:val="clear" w:color="auto" w:fill="6F6652"/>
            <w:tcMar>
              <w:left w:w="57" w:type="dxa"/>
              <w:right w:w="57" w:type="dxa"/>
            </w:tcMar>
          </w:tcPr>
          <w:p w14:paraId="69FF536F" w14:textId="77777777" w:rsidR="00ED0E85" w:rsidRPr="000674BD" w:rsidRDefault="00ED0E85" w:rsidP="00ED0E85">
            <w:pPr>
              <w:pStyle w:val="TableDataColumnHeading"/>
              <w:rPr>
                <w:lang w:val="en-GB"/>
              </w:rPr>
            </w:pPr>
            <w:r w:rsidRPr="000674BD">
              <w:rPr>
                <w:lang w:val="en-GB"/>
              </w:rPr>
              <w:t>2012</w:t>
            </w:r>
          </w:p>
        </w:tc>
        <w:tc>
          <w:tcPr>
            <w:tcW w:w="742" w:type="dxa"/>
            <w:shd w:val="clear" w:color="auto" w:fill="6F6652"/>
            <w:tcMar>
              <w:left w:w="57" w:type="dxa"/>
              <w:right w:w="57" w:type="dxa"/>
            </w:tcMar>
          </w:tcPr>
          <w:p w14:paraId="0330B2C1" w14:textId="77777777" w:rsidR="00ED0E85" w:rsidRPr="000674BD" w:rsidRDefault="00ED0E85" w:rsidP="00ED0E85">
            <w:pPr>
              <w:pStyle w:val="TableDataColumnHeading"/>
              <w:rPr>
                <w:lang w:val="en-GB"/>
              </w:rPr>
            </w:pPr>
            <w:r w:rsidRPr="000674BD">
              <w:rPr>
                <w:lang w:val="en-GB"/>
              </w:rPr>
              <w:t>2013</w:t>
            </w:r>
          </w:p>
        </w:tc>
        <w:tc>
          <w:tcPr>
            <w:tcW w:w="742" w:type="dxa"/>
            <w:shd w:val="clear" w:color="auto" w:fill="6F6652"/>
            <w:tcMar>
              <w:left w:w="57" w:type="dxa"/>
              <w:right w:w="57" w:type="dxa"/>
            </w:tcMar>
          </w:tcPr>
          <w:p w14:paraId="7E463907" w14:textId="77777777" w:rsidR="00ED0E85" w:rsidRPr="000674BD" w:rsidRDefault="00ED0E85" w:rsidP="00ED0E85">
            <w:pPr>
              <w:pStyle w:val="TableDataColumnHeading"/>
              <w:rPr>
                <w:lang w:val="en-GB"/>
              </w:rPr>
            </w:pPr>
            <w:r w:rsidRPr="000674BD">
              <w:rPr>
                <w:lang w:val="en-GB"/>
              </w:rPr>
              <w:t>2014</w:t>
            </w:r>
          </w:p>
        </w:tc>
        <w:tc>
          <w:tcPr>
            <w:tcW w:w="742" w:type="dxa"/>
            <w:shd w:val="clear" w:color="auto" w:fill="6F6652"/>
            <w:tcMar>
              <w:left w:w="57" w:type="dxa"/>
              <w:right w:w="57" w:type="dxa"/>
            </w:tcMar>
          </w:tcPr>
          <w:p w14:paraId="6706B41C" w14:textId="77777777" w:rsidR="00ED0E85" w:rsidRPr="000674BD" w:rsidRDefault="00ED0E85" w:rsidP="00ED0E85">
            <w:pPr>
              <w:pStyle w:val="TableDataColumnHeading"/>
              <w:rPr>
                <w:lang w:val="en-GB"/>
              </w:rPr>
            </w:pPr>
            <w:r w:rsidRPr="000674BD">
              <w:rPr>
                <w:lang w:val="en-GB"/>
              </w:rPr>
              <w:t>2015</w:t>
            </w:r>
          </w:p>
        </w:tc>
        <w:tc>
          <w:tcPr>
            <w:tcW w:w="742" w:type="dxa"/>
            <w:shd w:val="clear" w:color="auto" w:fill="6F6652"/>
            <w:tcMar>
              <w:left w:w="57" w:type="dxa"/>
              <w:right w:w="57" w:type="dxa"/>
            </w:tcMar>
          </w:tcPr>
          <w:p w14:paraId="07387C9A" w14:textId="77777777" w:rsidR="00ED0E85" w:rsidRPr="000674BD" w:rsidRDefault="00ED0E85" w:rsidP="00ED0E85">
            <w:pPr>
              <w:pStyle w:val="TableDataColumnHeading"/>
              <w:rPr>
                <w:lang w:val="en-GB"/>
              </w:rPr>
            </w:pPr>
            <w:r w:rsidRPr="000674BD">
              <w:rPr>
                <w:lang w:val="en-GB"/>
              </w:rPr>
              <w:t>2016</w:t>
            </w:r>
          </w:p>
        </w:tc>
        <w:tc>
          <w:tcPr>
            <w:tcW w:w="742" w:type="dxa"/>
            <w:shd w:val="clear" w:color="auto" w:fill="6F6652"/>
            <w:tcMar>
              <w:left w:w="57" w:type="dxa"/>
              <w:right w:w="57" w:type="dxa"/>
            </w:tcMar>
          </w:tcPr>
          <w:p w14:paraId="1D10DF0A" w14:textId="77777777" w:rsidR="00ED0E85" w:rsidRPr="000674BD" w:rsidRDefault="00ED0E85" w:rsidP="00ED0E85">
            <w:pPr>
              <w:pStyle w:val="TableDataColumnHeading"/>
              <w:rPr>
                <w:lang w:val="en-GB"/>
              </w:rPr>
            </w:pPr>
            <w:r w:rsidRPr="000674BD">
              <w:rPr>
                <w:lang w:val="en-GB"/>
              </w:rPr>
              <w:t>2017</w:t>
            </w:r>
          </w:p>
        </w:tc>
        <w:tc>
          <w:tcPr>
            <w:tcW w:w="742" w:type="dxa"/>
            <w:shd w:val="clear" w:color="auto" w:fill="6F6652"/>
            <w:tcMar>
              <w:left w:w="57" w:type="dxa"/>
              <w:right w:w="57" w:type="dxa"/>
            </w:tcMar>
          </w:tcPr>
          <w:p w14:paraId="2B4933DD" w14:textId="77777777" w:rsidR="00ED0E85" w:rsidRPr="000674BD" w:rsidRDefault="00ED0E85" w:rsidP="00ED0E85">
            <w:pPr>
              <w:pStyle w:val="TableDataColumnHeading"/>
              <w:rPr>
                <w:lang w:val="en-GB"/>
              </w:rPr>
            </w:pPr>
            <w:r w:rsidRPr="000674BD">
              <w:rPr>
                <w:lang w:val="en-GB"/>
              </w:rPr>
              <w:t>2018</w:t>
            </w:r>
          </w:p>
        </w:tc>
        <w:tc>
          <w:tcPr>
            <w:tcW w:w="742" w:type="dxa"/>
            <w:shd w:val="clear" w:color="auto" w:fill="6F6652"/>
            <w:tcMar>
              <w:left w:w="57" w:type="dxa"/>
              <w:right w:w="57" w:type="dxa"/>
            </w:tcMar>
          </w:tcPr>
          <w:p w14:paraId="325765BA" w14:textId="77777777" w:rsidR="00ED0E85" w:rsidRPr="000674BD" w:rsidRDefault="00ED0E85" w:rsidP="00ED0E85">
            <w:pPr>
              <w:pStyle w:val="TableDataColumnHeading"/>
              <w:rPr>
                <w:lang w:val="en-GB"/>
              </w:rPr>
            </w:pPr>
            <w:r w:rsidRPr="000674BD">
              <w:rPr>
                <w:lang w:val="en-GB"/>
              </w:rPr>
              <w:t>2019</w:t>
            </w:r>
          </w:p>
        </w:tc>
      </w:tr>
      <w:tr w:rsidR="00ED0E85" w:rsidRPr="000674BD" w14:paraId="0A601B5B" w14:textId="77777777" w:rsidTr="00ED0E85">
        <w:trPr>
          <w:trHeight w:val="230"/>
          <w:tblHeader/>
        </w:trPr>
        <w:tc>
          <w:tcPr>
            <w:tcW w:w="1418" w:type="dxa"/>
            <w:tcBorders>
              <w:bottom w:val="single" w:sz="8" w:space="0" w:color="FFFFFF" w:themeColor="background1"/>
            </w:tcBorders>
            <w:shd w:val="clear" w:color="auto" w:fill="auto"/>
            <w:tcMar>
              <w:left w:w="57" w:type="dxa"/>
              <w:right w:w="57" w:type="dxa"/>
            </w:tcMar>
          </w:tcPr>
          <w:p w14:paraId="6703C410" w14:textId="77777777" w:rsidR="00ED0E85" w:rsidRPr="000674BD" w:rsidRDefault="00ED0E85" w:rsidP="00ED0E85">
            <w:pPr>
              <w:pStyle w:val="TableUnit"/>
              <w:jc w:val="left"/>
              <w:rPr>
                <w:lang w:val="en-GB"/>
              </w:rPr>
            </w:pPr>
          </w:p>
        </w:tc>
        <w:tc>
          <w:tcPr>
            <w:tcW w:w="580" w:type="dxa"/>
            <w:tcBorders>
              <w:bottom w:val="single" w:sz="8" w:space="0" w:color="FFFFFF" w:themeColor="background1"/>
            </w:tcBorders>
            <w:shd w:val="clear" w:color="auto" w:fill="auto"/>
            <w:tcMar>
              <w:left w:w="57" w:type="dxa"/>
              <w:right w:w="57" w:type="dxa"/>
            </w:tcMar>
          </w:tcPr>
          <w:p w14:paraId="1685827D" w14:textId="77777777" w:rsidR="00ED0E85" w:rsidRPr="000674BD" w:rsidRDefault="00ED0E85" w:rsidP="00ED0E85">
            <w:pPr>
              <w:pStyle w:val="TableUnit"/>
              <w:rPr>
                <w:lang w:val="en-GB"/>
              </w:rPr>
            </w:pPr>
            <w:r w:rsidRPr="000674BD">
              <w:rPr>
                <w:lang w:val="en-GB"/>
              </w:rPr>
              <w:t>No.</w:t>
            </w:r>
          </w:p>
        </w:tc>
        <w:tc>
          <w:tcPr>
            <w:tcW w:w="742" w:type="dxa"/>
            <w:tcBorders>
              <w:bottom w:val="single" w:sz="8" w:space="0" w:color="FFFFFF" w:themeColor="background1"/>
            </w:tcBorders>
            <w:shd w:val="clear" w:color="auto" w:fill="auto"/>
            <w:tcMar>
              <w:left w:w="57" w:type="dxa"/>
              <w:right w:w="57" w:type="dxa"/>
            </w:tcMar>
          </w:tcPr>
          <w:p w14:paraId="1AEBC5BC" w14:textId="77777777" w:rsidR="00ED0E85" w:rsidRPr="000674BD" w:rsidRDefault="00ED0E85" w:rsidP="00ED0E85">
            <w:pPr>
              <w:pStyle w:val="TableUnit"/>
              <w:rPr>
                <w:lang w:val="en-GB"/>
              </w:rPr>
            </w:pPr>
            <w:r w:rsidRPr="000674BD">
              <w:rPr>
                <w:lang w:val="en-GB"/>
              </w:rPr>
              <w:t>No.</w:t>
            </w:r>
          </w:p>
        </w:tc>
        <w:tc>
          <w:tcPr>
            <w:tcW w:w="742" w:type="dxa"/>
            <w:tcBorders>
              <w:bottom w:val="single" w:sz="8" w:space="0" w:color="FFFFFF" w:themeColor="background1"/>
            </w:tcBorders>
            <w:shd w:val="clear" w:color="auto" w:fill="auto"/>
            <w:tcMar>
              <w:left w:w="57" w:type="dxa"/>
              <w:right w:w="57" w:type="dxa"/>
            </w:tcMar>
          </w:tcPr>
          <w:p w14:paraId="620D8C58" w14:textId="77777777" w:rsidR="00ED0E85" w:rsidRPr="000674BD" w:rsidRDefault="00ED0E85" w:rsidP="00ED0E85">
            <w:pPr>
              <w:pStyle w:val="TableUnit"/>
              <w:rPr>
                <w:lang w:val="en-GB"/>
              </w:rPr>
            </w:pPr>
            <w:r w:rsidRPr="000674BD">
              <w:rPr>
                <w:lang w:val="en-GB"/>
              </w:rPr>
              <w:t>No.</w:t>
            </w:r>
          </w:p>
        </w:tc>
        <w:tc>
          <w:tcPr>
            <w:tcW w:w="742" w:type="dxa"/>
            <w:tcBorders>
              <w:bottom w:val="single" w:sz="8" w:space="0" w:color="FFFFFF" w:themeColor="background1"/>
            </w:tcBorders>
            <w:shd w:val="clear" w:color="auto" w:fill="auto"/>
            <w:tcMar>
              <w:left w:w="57" w:type="dxa"/>
              <w:right w:w="57" w:type="dxa"/>
            </w:tcMar>
          </w:tcPr>
          <w:p w14:paraId="3CCDFE03" w14:textId="77777777" w:rsidR="00ED0E85" w:rsidRPr="000674BD" w:rsidRDefault="00ED0E85" w:rsidP="00ED0E85">
            <w:pPr>
              <w:pStyle w:val="TableUnit"/>
              <w:rPr>
                <w:lang w:val="en-GB"/>
              </w:rPr>
            </w:pPr>
            <w:r w:rsidRPr="000674BD">
              <w:rPr>
                <w:lang w:val="en-GB"/>
              </w:rPr>
              <w:t>No.</w:t>
            </w:r>
          </w:p>
        </w:tc>
        <w:tc>
          <w:tcPr>
            <w:tcW w:w="742" w:type="dxa"/>
            <w:tcBorders>
              <w:bottom w:val="single" w:sz="8" w:space="0" w:color="FFFFFF" w:themeColor="background1"/>
            </w:tcBorders>
            <w:shd w:val="clear" w:color="auto" w:fill="auto"/>
            <w:tcMar>
              <w:left w:w="57" w:type="dxa"/>
              <w:right w:w="57" w:type="dxa"/>
            </w:tcMar>
          </w:tcPr>
          <w:p w14:paraId="45967E19" w14:textId="77777777" w:rsidR="00ED0E85" w:rsidRPr="000674BD" w:rsidRDefault="00ED0E85" w:rsidP="00ED0E85">
            <w:pPr>
              <w:pStyle w:val="TableUnit"/>
              <w:rPr>
                <w:lang w:val="en-GB"/>
              </w:rPr>
            </w:pPr>
            <w:r w:rsidRPr="000674BD">
              <w:rPr>
                <w:lang w:val="en-GB"/>
              </w:rPr>
              <w:t>No.</w:t>
            </w:r>
          </w:p>
        </w:tc>
        <w:tc>
          <w:tcPr>
            <w:tcW w:w="742" w:type="dxa"/>
            <w:tcBorders>
              <w:bottom w:val="single" w:sz="8" w:space="0" w:color="FFFFFF" w:themeColor="background1"/>
            </w:tcBorders>
            <w:shd w:val="clear" w:color="auto" w:fill="auto"/>
            <w:tcMar>
              <w:left w:w="57" w:type="dxa"/>
              <w:right w:w="57" w:type="dxa"/>
            </w:tcMar>
          </w:tcPr>
          <w:p w14:paraId="39706A16" w14:textId="77777777" w:rsidR="00ED0E85" w:rsidRPr="000674BD" w:rsidRDefault="00ED0E85" w:rsidP="00ED0E85">
            <w:pPr>
              <w:pStyle w:val="TableUnit"/>
              <w:rPr>
                <w:lang w:val="en-GB"/>
              </w:rPr>
            </w:pPr>
            <w:r w:rsidRPr="000674BD">
              <w:rPr>
                <w:lang w:val="en-GB"/>
              </w:rPr>
              <w:t>No.</w:t>
            </w:r>
          </w:p>
        </w:tc>
        <w:tc>
          <w:tcPr>
            <w:tcW w:w="742" w:type="dxa"/>
            <w:tcBorders>
              <w:bottom w:val="single" w:sz="8" w:space="0" w:color="FFFFFF" w:themeColor="background1"/>
            </w:tcBorders>
            <w:shd w:val="clear" w:color="auto" w:fill="auto"/>
            <w:tcMar>
              <w:left w:w="57" w:type="dxa"/>
              <w:right w:w="57" w:type="dxa"/>
            </w:tcMar>
          </w:tcPr>
          <w:p w14:paraId="28A2A223" w14:textId="77777777" w:rsidR="00ED0E85" w:rsidRPr="000674BD" w:rsidRDefault="00ED0E85" w:rsidP="00ED0E85">
            <w:pPr>
              <w:pStyle w:val="TableUnit"/>
              <w:rPr>
                <w:lang w:val="en-GB"/>
              </w:rPr>
            </w:pPr>
            <w:r w:rsidRPr="000674BD">
              <w:rPr>
                <w:lang w:val="en-GB"/>
              </w:rPr>
              <w:t>No.</w:t>
            </w:r>
          </w:p>
        </w:tc>
        <w:tc>
          <w:tcPr>
            <w:tcW w:w="742" w:type="dxa"/>
            <w:tcBorders>
              <w:bottom w:val="single" w:sz="8" w:space="0" w:color="FFFFFF" w:themeColor="background1"/>
            </w:tcBorders>
            <w:shd w:val="clear" w:color="auto" w:fill="auto"/>
            <w:tcMar>
              <w:left w:w="57" w:type="dxa"/>
              <w:right w:w="57" w:type="dxa"/>
            </w:tcMar>
          </w:tcPr>
          <w:p w14:paraId="0232F1E2" w14:textId="77777777" w:rsidR="00ED0E85" w:rsidRPr="000674BD" w:rsidRDefault="00ED0E85" w:rsidP="00ED0E85">
            <w:pPr>
              <w:pStyle w:val="TableUnit"/>
              <w:rPr>
                <w:lang w:val="en-GB"/>
              </w:rPr>
            </w:pPr>
            <w:r w:rsidRPr="000674BD">
              <w:rPr>
                <w:lang w:val="en-GB"/>
              </w:rPr>
              <w:t>No.</w:t>
            </w:r>
          </w:p>
        </w:tc>
        <w:tc>
          <w:tcPr>
            <w:tcW w:w="742" w:type="dxa"/>
            <w:tcBorders>
              <w:bottom w:val="single" w:sz="8" w:space="0" w:color="FFFFFF" w:themeColor="background1"/>
            </w:tcBorders>
            <w:shd w:val="clear" w:color="auto" w:fill="auto"/>
            <w:tcMar>
              <w:left w:w="57" w:type="dxa"/>
              <w:right w:w="57" w:type="dxa"/>
            </w:tcMar>
          </w:tcPr>
          <w:p w14:paraId="7776246B" w14:textId="77777777" w:rsidR="00ED0E85" w:rsidRPr="000674BD" w:rsidRDefault="00ED0E85" w:rsidP="00ED0E85">
            <w:pPr>
              <w:pStyle w:val="TableUnit"/>
              <w:rPr>
                <w:lang w:val="en-GB"/>
              </w:rPr>
            </w:pPr>
            <w:r w:rsidRPr="000674BD">
              <w:rPr>
                <w:lang w:val="en-GB"/>
              </w:rPr>
              <w:t>No.</w:t>
            </w:r>
          </w:p>
        </w:tc>
      </w:tr>
      <w:tr w:rsidR="00ED0E85" w:rsidRPr="000674BD" w14:paraId="3ACB47B1" w14:textId="77777777" w:rsidTr="00ED0E85">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062DA1" w14:textId="77777777" w:rsidR="00ED0E85" w:rsidRPr="000674BD" w:rsidRDefault="00ED0E85" w:rsidP="00ED0E85">
            <w:pPr>
              <w:pStyle w:val="TableDataEntries"/>
              <w:jc w:val="left"/>
              <w:rPr>
                <w:lang w:val="en-GB"/>
              </w:rPr>
            </w:pPr>
            <w:r w:rsidRPr="000674BD">
              <w:rPr>
                <w:lang w:val="en-GB"/>
              </w:rPr>
              <w:t>NSW</w:t>
            </w:r>
          </w:p>
        </w:tc>
        <w:tc>
          <w:tcPr>
            <w:tcW w:w="5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113C7A" w14:textId="77777777" w:rsidR="00ED0E85" w:rsidRPr="000674BD" w:rsidRDefault="00ED0E85" w:rsidP="00ED0E85">
            <w:pPr>
              <w:pStyle w:val="TableDataEntries"/>
              <w:rPr>
                <w:lang w:val="en-GB"/>
              </w:rPr>
            </w:pPr>
            <w:r w:rsidRPr="000674BD">
              <w:rPr>
                <w:lang w:val="en-GB"/>
              </w:rPr>
              <w:t>209</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49D6A1" w14:textId="77777777" w:rsidR="00ED0E85" w:rsidRPr="000674BD" w:rsidRDefault="00ED0E85" w:rsidP="00ED0E85">
            <w:pPr>
              <w:pStyle w:val="TableDataEntries"/>
              <w:rPr>
                <w:lang w:val="en-GB"/>
              </w:rPr>
            </w:pPr>
            <w:r w:rsidRPr="000674BD">
              <w:rPr>
                <w:lang w:val="en-GB"/>
              </w:rPr>
              <w:t>223</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BBD52D" w14:textId="77777777" w:rsidR="00ED0E85" w:rsidRPr="000674BD" w:rsidRDefault="00ED0E85" w:rsidP="00ED0E85">
            <w:pPr>
              <w:pStyle w:val="TableDataEntries"/>
              <w:rPr>
                <w:lang w:val="en-GB"/>
              </w:rPr>
            </w:pPr>
            <w:r w:rsidRPr="000674BD">
              <w:rPr>
                <w:lang w:val="en-GB"/>
              </w:rPr>
              <w:t>260</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EDEE66" w14:textId="77777777" w:rsidR="00ED0E85" w:rsidRPr="000674BD" w:rsidRDefault="00ED0E85" w:rsidP="00ED0E85">
            <w:pPr>
              <w:pStyle w:val="TableDataEntries"/>
              <w:rPr>
                <w:lang w:val="en-GB"/>
              </w:rPr>
            </w:pPr>
            <w:r w:rsidRPr="000674BD">
              <w:rPr>
                <w:lang w:val="en-GB"/>
              </w:rPr>
              <w:t>277</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DF8ABC" w14:textId="77777777" w:rsidR="00ED0E85" w:rsidRPr="000674BD" w:rsidRDefault="00ED0E85" w:rsidP="00ED0E85">
            <w:pPr>
              <w:pStyle w:val="TableDataEntries"/>
              <w:rPr>
                <w:lang w:val="en-GB"/>
              </w:rPr>
            </w:pPr>
            <w:r w:rsidRPr="000674BD">
              <w:rPr>
                <w:lang w:val="en-GB"/>
              </w:rPr>
              <w:t>283</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DA134E" w14:textId="77777777" w:rsidR="00ED0E85" w:rsidRPr="000674BD" w:rsidRDefault="00ED0E85" w:rsidP="00ED0E85">
            <w:pPr>
              <w:pStyle w:val="TableDataEntries"/>
              <w:rPr>
                <w:lang w:val="en-GB"/>
              </w:rPr>
            </w:pPr>
            <w:r w:rsidRPr="000674BD">
              <w:rPr>
                <w:lang w:val="en-GB"/>
              </w:rPr>
              <w:t>232</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237C58" w14:textId="77777777" w:rsidR="00ED0E85" w:rsidRPr="000674BD" w:rsidRDefault="00ED0E85" w:rsidP="00ED0E85">
            <w:pPr>
              <w:pStyle w:val="TableDataEntries"/>
              <w:rPr>
                <w:lang w:val="en-GB"/>
              </w:rPr>
            </w:pPr>
            <w:r w:rsidRPr="000674BD">
              <w:rPr>
                <w:lang w:val="en-GB"/>
              </w:rPr>
              <w:t>248</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65E9C0" w14:textId="77777777" w:rsidR="00ED0E85" w:rsidRPr="000674BD" w:rsidRDefault="00ED0E85" w:rsidP="00ED0E85">
            <w:pPr>
              <w:pStyle w:val="TableDataEntries"/>
              <w:rPr>
                <w:lang w:val="en-GB"/>
              </w:rPr>
            </w:pPr>
            <w:r w:rsidRPr="000674BD">
              <w:rPr>
                <w:lang w:val="en-GB"/>
              </w:rPr>
              <w:t>316</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C543EA" w14:textId="77777777" w:rsidR="00ED0E85" w:rsidRPr="000674BD" w:rsidRDefault="00ED0E85" w:rsidP="00ED0E85">
            <w:pPr>
              <w:pStyle w:val="TableDataEntries"/>
              <w:rPr>
                <w:lang w:val="en-GB"/>
              </w:rPr>
            </w:pPr>
            <w:r w:rsidRPr="000674BD">
              <w:rPr>
                <w:lang w:val="en-GB"/>
              </w:rPr>
              <w:t>212</w:t>
            </w:r>
          </w:p>
        </w:tc>
      </w:tr>
      <w:tr w:rsidR="00ED0E85" w:rsidRPr="000674BD" w14:paraId="4E35B48E" w14:textId="77777777" w:rsidTr="00ED0E85">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8A296B" w14:textId="77777777" w:rsidR="00ED0E85" w:rsidRPr="000674BD" w:rsidRDefault="00ED0E85" w:rsidP="00ED0E85">
            <w:pPr>
              <w:pStyle w:val="TableDataEntries"/>
              <w:jc w:val="left"/>
              <w:rPr>
                <w:lang w:val="en-GB"/>
              </w:rPr>
            </w:pPr>
            <w:r w:rsidRPr="000674BD">
              <w:rPr>
                <w:lang w:val="en-GB"/>
              </w:rPr>
              <w:t>Victoria</w:t>
            </w:r>
          </w:p>
        </w:tc>
        <w:tc>
          <w:tcPr>
            <w:tcW w:w="5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63B8BA" w14:textId="77777777" w:rsidR="00ED0E85" w:rsidRPr="000674BD" w:rsidRDefault="00ED0E85" w:rsidP="00ED0E85">
            <w:pPr>
              <w:pStyle w:val="TableDataEntries"/>
              <w:rPr>
                <w:lang w:val="en-GB"/>
              </w:rPr>
            </w:pPr>
            <w:r w:rsidRPr="000674BD">
              <w:rPr>
                <w:lang w:val="en-GB"/>
              </w:rPr>
              <w:t>118</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B27CA8" w14:textId="77777777" w:rsidR="00ED0E85" w:rsidRPr="000674BD" w:rsidRDefault="00ED0E85" w:rsidP="00ED0E85">
            <w:pPr>
              <w:pStyle w:val="TableDataEntries"/>
              <w:rPr>
                <w:lang w:val="en-GB"/>
              </w:rPr>
            </w:pPr>
            <w:r w:rsidRPr="000674BD">
              <w:rPr>
                <w:lang w:val="en-GB"/>
              </w:rPr>
              <w:t>165</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64FEA3" w14:textId="77777777" w:rsidR="00ED0E85" w:rsidRPr="000674BD" w:rsidRDefault="00ED0E85" w:rsidP="00ED0E85">
            <w:pPr>
              <w:pStyle w:val="TableDataEntries"/>
              <w:rPr>
                <w:lang w:val="en-GB"/>
              </w:rPr>
            </w:pPr>
            <w:r w:rsidRPr="000674BD">
              <w:rPr>
                <w:lang w:val="en-GB"/>
              </w:rPr>
              <w:t>162</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89A999" w14:textId="77777777" w:rsidR="00ED0E85" w:rsidRPr="000674BD" w:rsidRDefault="00ED0E85" w:rsidP="00ED0E85">
            <w:pPr>
              <w:pStyle w:val="TableDataEntries"/>
              <w:rPr>
                <w:lang w:val="en-GB"/>
              </w:rPr>
            </w:pPr>
            <w:r w:rsidRPr="000674BD">
              <w:rPr>
                <w:lang w:val="en-GB"/>
              </w:rPr>
              <w:t>199</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3C527C" w14:textId="77777777" w:rsidR="00ED0E85" w:rsidRPr="000674BD" w:rsidRDefault="00ED0E85" w:rsidP="00ED0E85">
            <w:pPr>
              <w:pStyle w:val="TableDataEntries"/>
              <w:rPr>
                <w:lang w:val="en-GB"/>
              </w:rPr>
            </w:pPr>
            <w:r w:rsidRPr="000674BD">
              <w:rPr>
                <w:lang w:val="en-GB"/>
              </w:rPr>
              <w:t>191</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353B48" w14:textId="77777777" w:rsidR="00ED0E85" w:rsidRPr="000674BD" w:rsidRDefault="00ED0E85" w:rsidP="00ED0E85">
            <w:pPr>
              <w:pStyle w:val="TableDataEntries"/>
              <w:rPr>
                <w:lang w:val="en-GB"/>
              </w:rPr>
            </w:pPr>
            <w:r w:rsidRPr="000674BD">
              <w:rPr>
                <w:lang w:val="en-GB"/>
              </w:rPr>
              <w:t>172</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3029FF" w14:textId="77777777" w:rsidR="00ED0E85" w:rsidRPr="000674BD" w:rsidRDefault="00ED0E85" w:rsidP="00ED0E85">
            <w:pPr>
              <w:pStyle w:val="TableDataEntries"/>
              <w:rPr>
                <w:lang w:val="en-GB"/>
              </w:rPr>
            </w:pPr>
            <w:r w:rsidRPr="000674BD">
              <w:rPr>
                <w:lang w:val="en-GB"/>
              </w:rPr>
              <w:t>193</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C80AC1" w14:textId="77777777" w:rsidR="00ED0E85" w:rsidRPr="000674BD" w:rsidRDefault="00ED0E85" w:rsidP="00ED0E85">
            <w:pPr>
              <w:pStyle w:val="TableDataEntries"/>
              <w:rPr>
                <w:lang w:val="en-GB"/>
              </w:rPr>
            </w:pPr>
            <w:r w:rsidRPr="000674BD">
              <w:rPr>
                <w:lang w:val="en-GB"/>
              </w:rPr>
              <w:t>232</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517657" w14:textId="77777777" w:rsidR="00ED0E85" w:rsidRPr="000674BD" w:rsidRDefault="00ED0E85" w:rsidP="00ED0E85">
            <w:pPr>
              <w:pStyle w:val="TableDataEntries"/>
              <w:rPr>
                <w:lang w:val="en-GB"/>
              </w:rPr>
            </w:pPr>
            <w:r w:rsidRPr="000674BD">
              <w:rPr>
                <w:lang w:val="en-GB"/>
              </w:rPr>
              <w:t>162</w:t>
            </w:r>
          </w:p>
        </w:tc>
      </w:tr>
      <w:tr w:rsidR="00ED0E85" w:rsidRPr="000674BD" w14:paraId="7918C471" w14:textId="77777777" w:rsidTr="00ED0E85">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5C9A54" w14:textId="77777777" w:rsidR="00ED0E85" w:rsidRPr="000674BD" w:rsidRDefault="00ED0E85" w:rsidP="00ED0E85">
            <w:pPr>
              <w:pStyle w:val="TableDataEntries"/>
              <w:jc w:val="left"/>
              <w:rPr>
                <w:lang w:val="en-GB"/>
              </w:rPr>
            </w:pPr>
            <w:r w:rsidRPr="000674BD">
              <w:rPr>
                <w:lang w:val="en-GB"/>
              </w:rPr>
              <w:t>Queensland</w:t>
            </w:r>
          </w:p>
        </w:tc>
        <w:tc>
          <w:tcPr>
            <w:tcW w:w="5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997430" w14:textId="77777777" w:rsidR="00ED0E85" w:rsidRPr="000674BD" w:rsidRDefault="00ED0E85" w:rsidP="00ED0E85">
            <w:pPr>
              <w:pStyle w:val="TableDataEntries"/>
              <w:rPr>
                <w:lang w:val="en-GB"/>
              </w:rPr>
            </w:pPr>
            <w:r w:rsidRPr="000674BD">
              <w:rPr>
                <w:lang w:val="en-GB"/>
              </w:rPr>
              <w:t>107</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0B3006" w14:textId="77777777" w:rsidR="00ED0E85" w:rsidRPr="000674BD" w:rsidRDefault="00ED0E85" w:rsidP="00ED0E85">
            <w:pPr>
              <w:pStyle w:val="TableDataEntries"/>
              <w:rPr>
                <w:lang w:val="en-GB"/>
              </w:rPr>
            </w:pPr>
            <w:r w:rsidRPr="000674BD">
              <w:rPr>
                <w:lang w:val="en-GB"/>
              </w:rPr>
              <w:t>129</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3E472C" w14:textId="77777777" w:rsidR="00ED0E85" w:rsidRPr="000674BD" w:rsidRDefault="00ED0E85" w:rsidP="00ED0E85">
            <w:pPr>
              <w:pStyle w:val="TableDataEntries"/>
              <w:rPr>
                <w:lang w:val="en-GB"/>
              </w:rPr>
            </w:pPr>
            <w:r w:rsidRPr="000674BD">
              <w:rPr>
                <w:lang w:val="en-GB"/>
              </w:rPr>
              <w:t>148</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3D3986" w14:textId="77777777" w:rsidR="00ED0E85" w:rsidRPr="000674BD" w:rsidRDefault="00ED0E85" w:rsidP="00ED0E85">
            <w:pPr>
              <w:pStyle w:val="TableDataEntries"/>
              <w:rPr>
                <w:lang w:val="en-GB"/>
              </w:rPr>
            </w:pPr>
            <w:r w:rsidRPr="000674BD">
              <w:rPr>
                <w:lang w:val="en-GB"/>
              </w:rPr>
              <w:t>128</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D4C204" w14:textId="77777777" w:rsidR="00ED0E85" w:rsidRPr="000674BD" w:rsidRDefault="00ED0E85" w:rsidP="00ED0E85">
            <w:pPr>
              <w:pStyle w:val="TableDataEntries"/>
              <w:rPr>
                <w:lang w:val="en-GB"/>
              </w:rPr>
            </w:pPr>
            <w:r w:rsidRPr="000674BD">
              <w:rPr>
                <w:lang w:val="en-GB"/>
              </w:rPr>
              <w:t>145</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23E280" w14:textId="77777777" w:rsidR="00ED0E85" w:rsidRPr="000674BD" w:rsidRDefault="00ED0E85" w:rsidP="00ED0E85">
            <w:pPr>
              <w:pStyle w:val="TableDataEntries"/>
              <w:rPr>
                <w:lang w:val="en-GB"/>
              </w:rPr>
            </w:pPr>
            <w:r w:rsidRPr="000674BD">
              <w:rPr>
                <w:lang w:val="en-GB"/>
              </w:rPr>
              <w:t>170</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B53A8A" w14:textId="77777777" w:rsidR="00ED0E85" w:rsidRPr="000674BD" w:rsidRDefault="00ED0E85" w:rsidP="00ED0E85">
            <w:pPr>
              <w:pStyle w:val="TableDataEntries"/>
              <w:rPr>
                <w:lang w:val="en-GB"/>
              </w:rPr>
            </w:pPr>
            <w:r w:rsidRPr="000674BD">
              <w:rPr>
                <w:lang w:val="en-GB"/>
              </w:rPr>
              <w:t>174</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93ABA7" w14:textId="77777777" w:rsidR="00ED0E85" w:rsidRPr="000674BD" w:rsidRDefault="00ED0E85" w:rsidP="00ED0E85">
            <w:pPr>
              <w:pStyle w:val="TableDataEntries"/>
              <w:rPr>
                <w:lang w:val="en-GB"/>
              </w:rPr>
            </w:pPr>
            <w:r w:rsidRPr="000674BD">
              <w:rPr>
                <w:lang w:val="en-GB"/>
              </w:rPr>
              <w:t>239</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2D18AF" w14:textId="77777777" w:rsidR="00ED0E85" w:rsidRPr="000674BD" w:rsidRDefault="00ED0E85" w:rsidP="00ED0E85">
            <w:pPr>
              <w:pStyle w:val="TableDataEntries"/>
              <w:rPr>
                <w:lang w:val="en-GB"/>
              </w:rPr>
            </w:pPr>
            <w:r w:rsidRPr="000674BD">
              <w:rPr>
                <w:lang w:val="en-GB"/>
              </w:rPr>
              <w:t>158</w:t>
            </w:r>
          </w:p>
        </w:tc>
      </w:tr>
      <w:tr w:rsidR="00ED0E85" w:rsidRPr="000674BD" w14:paraId="73AEB16C" w14:textId="77777777" w:rsidTr="00ED0E85">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351F35" w14:textId="77777777" w:rsidR="00ED0E85" w:rsidRPr="000674BD" w:rsidRDefault="00ED0E85" w:rsidP="00ED0E85">
            <w:pPr>
              <w:pStyle w:val="TableDataEntries"/>
              <w:jc w:val="left"/>
              <w:rPr>
                <w:lang w:val="en-GB"/>
              </w:rPr>
            </w:pPr>
            <w:r w:rsidRPr="000674BD">
              <w:rPr>
                <w:lang w:val="en-GB"/>
              </w:rPr>
              <w:t>Western Australia</w:t>
            </w:r>
          </w:p>
        </w:tc>
        <w:tc>
          <w:tcPr>
            <w:tcW w:w="5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FB0D57" w14:textId="77777777" w:rsidR="00ED0E85" w:rsidRPr="000674BD" w:rsidRDefault="00ED0E85" w:rsidP="00ED0E85">
            <w:pPr>
              <w:pStyle w:val="TableDataEntries"/>
              <w:rPr>
                <w:lang w:val="en-GB"/>
              </w:rPr>
            </w:pPr>
            <w:r w:rsidRPr="000674BD">
              <w:rPr>
                <w:lang w:val="en-GB"/>
              </w:rPr>
              <w:t>49</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3BC1B0" w14:textId="77777777" w:rsidR="00ED0E85" w:rsidRPr="000674BD" w:rsidRDefault="00ED0E85" w:rsidP="00ED0E85">
            <w:pPr>
              <w:pStyle w:val="TableDataEntries"/>
              <w:rPr>
                <w:lang w:val="en-GB"/>
              </w:rPr>
            </w:pPr>
            <w:r w:rsidRPr="000674BD">
              <w:rPr>
                <w:lang w:val="en-GB"/>
              </w:rPr>
              <w:t>62</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8232D0" w14:textId="77777777" w:rsidR="00ED0E85" w:rsidRPr="000674BD" w:rsidRDefault="00ED0E85" w:rsidP="00ED0E85">
            <w:pPr>
              <w:pStyle w:val="TableDataEntries"/>
              <w:rPr>
                <w:lang w:val="en-GB"/>
              </w:rPr>
            </w:pPr>
            <w:r w:rsidRPr="000674BD">
              <w:rPr>
                <w:lang w:val="en-GB"/>
              </w:rPr>
              <w:t>54</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E4200C" w14:textId="77777777" w:rsidR="00ED0E85" w:rsidRPr="000674BD" w:rsidRDefault="00ED0E85" w:rsidP="00ED0E85">
            <w:pPr>
              <w:pStyle w:val="TableDataEntries"/>
              <w:rPr>
                <w:lang w:val="en-GB"/>
              </w:rPr>
            </w:pPr>
            <w:r w:rsidRPr="000674BD">
              <w:rPr>
                <w:lang w:val="en-GB"/>
              </w:rPr>
              <w:t>87</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AE1CF9" w14:textId="77777777" w:rsidR="00ED0E85" w:rsidRPr="000674BD" w:rsidRDefault="00ED0E85" w:rsidP="00ED0E85">
            <w:pPr>
              <w:pStyle w:val="TableDataEntries"/>
              <w:rPr>
                <w:lang w:val="en-GB"/>
              </w:rPr>
            </w:pPr>
            <w:r w:rsidRPr="000674BD">
              <w:rPr>
                <w:lang w:val="en-GB"/>
              </w:rPr>
              <w:t>77</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9A335D" w14:textId="77777777" w:rsidR="00ED0E85" w:rsidRPr="000674BD" w:rsidRDefault="00ED0E85" w:rsidP="00ED0E85">
            <w:pPr>
              <w:pStyle w:val="TableDataEntries"/>
              <w:rPr>
                <w:lang w:val="en-GB"/>
              </w:rPr>
            </w:pPr>
            <w:r w:rsidRPr="000674BD">
              <w:rPr>
                <w:lang w:val="en-GB"/>
              </w:rPr>
              <w:t>96</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B13794" w14:textId="77777777" w:rsidR="00ED0E85" w:rsidRPr="000674BD" w:rsidRDefault="00ED0E85" w:rsidP="00ED0E85">
            <w:pPr>
              <w:pStyle w:val="TableDataEntries"/>
              <w:rPr>
                <w:lang w:val="en-GB"/>
              </w:rPr>
            </w:pPr>
            <w:r w:rsidRPr="000674BD">
              <w:rPr>
                <w:lang w:val="en-GB"/>
              </w:rPr>
              <w:t>119</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AE0F0C" w14:textId="77777777" w:rsidR="00ED0E85" w:rsidRPr="000674BD" w:rsidRDefault="00ED0E85" w:rsidP="00ED0E85">
            <w:pPr>
              <w:pStyle w:val="TableDataEntries"/>
              <w:rPr>
                <w:lang w:val="en-GB"/>
              </w:rPr>
            </w:pPr>
            <w:r w:rsidRPr="000674BD">
              <w:rPr>
                <w:lang w:val="en-GB"/>
              </w:rPr>
              <w:t>169</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83F083" w14:textId="77777777" w:rsidR="00ED0E85" w:rsidRPr="000674BD" w:rsidRDefault="00ED0E85" w:rsidP="00ED0E85">
            <w:pPr>
              <w:pStyle w:val="TableDataEntries"/>
              <w:rPr>
                <w:lang w:val="en-GB"/>
              </w:rPr>
            </w:pPr>
            <w:r w:rsidRPr="000674BD">
              <w:rPr>
                <w:lang w:val="en-GB"/>
              </w:rPr>
              <w:t>126</w:t>
            </w:r>
          </w:p>
        </w:tc>
      </w:tr>
      <w:tr w:rsidR="00ED0E85" w:rsidRPr="000674BD" w14:paraId="172CE696" w14:textId="77777777" w:rsidTr="00ED0E85">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D9624A" w14:textId="77777777" w:rsidR="00ED0E85" w:rsidRPr="000674BD" w:rsidRDefault="00ED0E85" w:rsidP="00ED0E85">
            <w:pPr>
              <w:pStyle w:val="TableDataEntries"/>
              <w:jc w:val="left"/>
              <w:rPr>
                <w:lang w:val="en-GB"/>
              </w:rPr>
            </w:pPr>
            <w:r w:rsidRPr="000674BD">
              <w:rPr>
                <w:lang w:val="en-GB"/>
              </w:rPr>
              <w:t>South Australia</w:t>
            </w:r>
          </w:p>
        </w:tc>
        <w:tc>
          <w:tcPr>
            <w:tcW w:w="5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9C73A5" w14:textId="77777777" w:rsidR="00ED0E85" w:rsidRPr="000674BD" w:rsidRDefault="00ED0E85" w:rsidP="00ED0E85">
            <w:pPr>
              <w:pStyle w:val="TableDataEntries"/>
              <w:rPr>
                <w:lang w:val="en-GB"/>
              </w:rPr>
            </w:pPr>
            <w:r w:rsidRPr="000674BD">
              <w:rPr>
                <w:lang w:val="en-GB"/>
              </w:rPr>
              <w:t>17</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0D54B7" w14:textId="77777777" w:rsidR="00ED0E85" w:rsidRPr="000674BD" w:rsidRDefault="00ED0E85" w:rsidP="00ED0E85">
            <w:pPr>
              <w:pStyle w:val="TableDataEntries"/>
              <w:rPr>
                <w:lang w:val="en-GB"/>
              </w:rPr>
            </w:pPr>
            <w:r w:rsidRPr="000674BD">
              <w:rPr>
                <w:lang w:val="en-GB"/>
              </w:rPr>
              <w:t>30</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77A6CE" w14:textId="77777777" w:rsidR="00ED0E85" w:rsidRPr="000674BD" w:rsidRDefault="00ED0E85" w:rsidP="00ED0E85">
            <w:pPr>
              <w:pStyle w:val="TableDataEntries"/>
              <w:rPr>
                <w:lang w:val="en-GB"/>
              </w:rPr>
            </w:pPr>
            <w:r w:rsidRPr="000674BD">
              <w:rPr>
                <w:lang w:val="en-GB"/>
              </w:rPr>
              <w:t>39</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46FAC3" w14:textId="77777777" w:rsidR="00ED0E85" w:rsidRPr="000674BD" w:rsidRDefault="00ED0E85" w:rsidP="00ED0E85">
            <w:pPr>
              <w:pStyle w:val="TableDataEntries"/>
              <w:rPr>
                <w:lang w:val="en-GB"/>
              </w:rPr>
            </w:pPr>
            <w:r w:rsidRPr="000674BD">
              <w:rPr>
                <w:lang w:val="en-GB"/>
              </w:rPr>
              <w:t>37</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0EE116" w14:textId="77777777" w:rsidR="00ED0E85" w:rsidRPr="000674BD" w:rsidRDefault="00ED0E85" w:rsidP="00ED0E85">
            <w:pPr>
              <w:pStyle w:val="TableDataEntries"/>
              <w:rPr>
                <w:lang w:val="en-GB"/>
              </w:rPr>
            </w:pPr>
            <w:r w:rsidRPr="000674BD">
              <w:rPr>
                <w:lang w:val="en-GB"/>
              </w:rPr>
              <w:t>37</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DDBF18" w14:textId="77777777" w:rsidR="00ED0E85" w:rsidRPr="000674BD" w:rsidRDefault="00ED0E85" w:rsidP="00ED0E85">
            <w:pPr>
              <w:pStyle w:val="TableDataEntries"/>
              <w:rPr>
                <w:lang w:val="en-GB"/>
              </w:rPr>
            </w:pPr>
            <w:r w:rsidRPr="000674BD">
              <w:rPr>
                <w:lang w:val="en-GB"/>
              </w:rPr>
              <w:t>52</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F8B4BE" w14:textId="77777777" w:rsidR="00ED0E85" w:rsidRPr="000674BD" w:rsidRDefault="00ED0E85" w:rsidP="00ED0E85">
            <w:pPr>
              <w:pStyle w:val="TableDataEntries"/>
              <w:rPr>
                <w:lang w:val="en-GB"/>
              </w:rPr>
            </w:pPr>
            <w:r w:rsidRPr="000674BD">
              <w:rPr>
                <w:lang w:val="en-GB"/>
              </w:rPr>
              <w:t>42</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3A9945" w14:textId="77777777" w:rsidR="00ED0E85" w:rsidRPr="000674BD" w:rsidRDefault="00ED0E85" w:rsidP="00ED0E85">
            <w:pPr>
              <w:pStyle w:val="TableDataEntries"/>
              <w:rPr>
                <w:lang w:val="en-GB"/>
              </w:rPr>
            </w:pPr>
            <w:r w:rsidRPr="000674BD">
              <w:rPr>
                <w:lang w:val="en-GB"/>
              </w:rPr>
              <w:t>71</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16A10A" w14:textId="77777777" w:rsidR="00ED0E85" w:rsidRPr="000674BD" w:rsidRDefault="00ED0E85" w:rsidP="00ED0E85">
            <w:pPr>
              <w:pStyle w:val="TableDataEntries"/>
              <w:rPr>
                <w:lang w:val="en-GB"/>
              </w:rPr>
            </w:pPr>
            <w:r w:rsidRPr="000674BD">
              <w:rPr>
                <w:lang w:val="en-GB"/>
              </w:rPr>
              <w:t>42</w:t>
            </w:r>
          </w:p>
        </w:tc>
      </w:tr>
      <w:tr w:rsidR="00ED0E85" w:rsidRPr="000674BD" w14:paraId="0216FB38" w14:textId="77777777" w:rsidTr="00ED0E85">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96B5FA" w14:textId="77777777" w:rsidR="00ED0E85" w:rsidRPr="000674BD" w:rsidRDefault="00ED0E85" w:rsidP="00ED0E85">
            <w:pPr>
              <w:pStyle w:val="TableDataEntries"/>
              <w:jc w:val="left"/>
              <w:rPr>
                <w:lang w:val="en-GB"/>
              </w:rPr>
            </w:pPr>
            <w:r w:rsidRPr="000674BD">
              <w:rPr>
                <w:lang w:val="en-GB"/>
              </w:rPr>
              <w:t>Tasmania</w:t>
            </w:r>
          </w:p>
        </w:tc>
        <w:tc>
          <w:tcPr>
            <w:tcW w:w="5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CFF51D" w14:textId="77777777" w:rsidR="00ED0E85" w:rsidRPr="000674BD" w:rsidRDefault="00ED0E85" w:rsidP="00ED0E85">
            <w:pPr>
              <w:pStyle w:val="TableDataEntries"/>
              <w:rPr>
                <w:lang w:val="en-GB"/>
              </w:rPr>
            </w:pPr>
            <w:r w:rsidRPr="000674BD">
              <w:rPr>
                <w:lang w:val="en-GB"/>
              </w:rPr>
              <w:t>7</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FB2356" w14:textId="77777777" w:rsidR="00ED0E85" w:rsidRPr="000674BD" w:rsidRDefault="00ED0E85" w:rsidP="00ED0E85">
            <w:pPr>
              <w:pStyle w:val="TableDataEntries"/>
              <w:rPr>
                <w:lang w:val="en-GB"/>
              </w:rPr>
            </w:pPr>
            <w:r w:rsidRPr="000674BD">
              <w:rPr>
                <w:lang w:val="en-GB"/>
              </w:rPr>
              <w:t>16</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87973A" w14:textId="77777777" w:rsidR="00ED0E85" w:rsidRPr="000674BD" w:rsidRDefault="00ED0E85" w:rsidP="00ED0E85">
            <w:pPr>
              <w:pStyle w:val="TableDataEntries"/>
              <w:rPr>
                <w:lang w:val="en-GB"/>
              </w:rPr>
            </w:pPr>
            <w:r w:rsidRPr="000674BD">
              <w:rPr>
                <w:lang w:val="en-GB"/>
              </w:rPr>
              <w:t>14</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C13EA6" w14:textId="77777777" w:rsidR="00ED0E85" w:rsidRPr="000674BD" w:rsidRDefault="00ED0E85" w:rsidP="00ED0E85">
            <w:pPr>
              <w:pStyle w:val="TableDataEntries"/>
              <w:rPr>
                <w:lang w:val="en-GB"/>
              </w:rPr>
            </w:pPr>
            <w:r w:rsidRPr="000674BD">
              <w:rPr>
                <w:lang w:val="en-GB"/>
              </w:rPr>
              <w:t>14</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8D3116" w14:textId="77777777" w:rsidR="00ED0E85" w:rsidRPr="000674BD" w:rsidRDefault="00ED0E85" w:rsidP="00ED0E85">
            <w:pPr>
              <w:pStyle w:val="TableDataEntries"/>
              <w:rPr>
                <w:lang w:val="en-GB"/>
              </w:rPr>
            </w:pPr>
            <w:r w:rsidRPr="000674BD">
              <w:rPr>
                <w:lang w:val="en-GB"/>
              </w:rPr>
              <w:t>19</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A0D71C" w14:textId="77777777" w:rsidR="00ED0E85" w:rsidRPr="000674BD" w:rsidRDefault="00ED0E85" w:rsidP="00ED0E85">
            <w:pPr>
              <w:pStyle w:val="TableDataEntries"/>
              <w:rPr>
                <w:lang w:val="en-GB"/>
              </w:rPr>
            </w:pPr>
            <w:r w:rsidRPr="000674BD">
              <w:rPr>
                <w:lang w:val="en-GB"/>
              </w:rPr>
              <w:t>17</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6916E7" w14:textId="77777777" w:rsidR="00ED0E85" w:rsidRPr="000674BD" w:rsidRDefault="00ED0E85" w:rsidP="00ED0E85">
            <w:pPr>
              <w:pStyle w:val="TableDataEntries"/>
              <w:rPr>
                <w:lang w:val="en-GB"/>
              </w:rPr>
            </w:pPr>
            <w:r w:rsidRPr="000674BD">
              <w:rPr>
                <w:lang w:val="en-GB"/>
              </w:rPr>
              <w:t>19</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A06B90" w14:textId="77777777" w:rsidR="00ED0E85" w:rsidRPr="000674BD" w:rsidRDefault="00ED0E85" w:rsidP="00ED0E85">
            <w:pPr>
              <w:pStyle w:val="TableDataEntries"/>
              <w:rPr>
                <w:lang w:val="en-GB"/>
              </w:rPr>
            </w:pPr>
            <w:r w:rsidRPr="000674BD">
              <w:rPr>
                <w:lang w:val="en-GB"/>
              </w:rPr>
              <w:t>21</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4B76BC" w14:textId="77777777" w:rsidR="00ED0E85" w:rsidRPr="000674BD" w:rsidRDefault="00ED0E85" w:rsidP="00ED0E85">
            <w:pPr>
              <w:pStyle w:val="TableDataEntries"/>
              <w:rPr>
                <w:lang w:val="en-GB"/>
              </w:rPr>
            </w:pPr>
            <w:r w:rsidRPr="000674BD">
              <w:rPr>
                <w:lang w:val="en-GB"/>
              </w:rPr>
              <w:t>12</w:t>
            </w:r>
          </w:p>
        </w:tc>
      </w:tr>
      <w:tr w:rsidR="00ED0E85" w:rsidRPr="000674BD" w14:paraId="439ACF70" w14:textId="77777777" w:rsidTr="00ED0E85">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B03CA1" w14:textId="77777777" w:rsidR="00ED0E85" w:rsidRPr="000674BD" w:rsidRDefault="00ED0E85" w:rsidP="00ED0E85">
            <w:pPr>
              <w:pStyle w:val="TableDataEntries"/>
              <w:jc w:val="left"/>
              <w:rPr>
                <w:lang w:val="en-GB"/>
              </w:rPr>
            </w:pPr>
            <w:r w:rsidRPr="000674BD">
              <w:rPr>
                <w:lang w:val="en-GB"/>
              </w:rPr>
              <w:t>ACT</w:t>
            </w:r>
          </w:p>
        </w:tc>
        <w:tc>
          <w:tcPr>
            <w:tcW w:w="5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12C98D" w14:textId="77777777" w:rsidR="00ED0E85" w:rsidRPr="000674BD" w:rsidRDefault="00ED0E85" w:rsidP="00ED0E85">
            <w:pPr>
              <w:pStyle w:val="TableDataEntries"/>
              <w:rPr>
                <w:lang w:val="en-GB"/>
              </w:rPr>
            </w:pPr>
            <w:r w:rsidRPr="000674BD">
              <w:rPr>
                <w:lang w:val="en-GB"/>
              </w:rPr>
              <w:t>27</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CB07A1" w14:textId="77777777" w:rsidR="00ED0E85" w:rsidRPr="000674BD" w:rsidRDefault="00ED0E85" w:rsidP="00ED0E85">
            <w:pPr>
              <w:pStyle w:val="TableDataEntries"/>
              <w:rPr>
                <w:lang w:val="en-GB"/>
              </w:rPr>
            </w:pPr>
            <w:r w:rsidRPr="000674BD">
              <w:rPr>
                <w:lang w:val="en-GB"/>
              </w:rPr>
              <w:t>38</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F08A6C" w14:textId="77777777" w:rsidR="00ED0E85" w:rsidRPr="000674BD" w:rsidRDefault="00ED0E85" w:rsidP="00ED0E85">
            <w:pPr>
              <w:pStyle w:val="TableDataEntries"/>
              <w:rPr>
                <w:lang w:val="en-GB"/>
              </w:rPr>
            </w:pPr>
            <w:r w:rsidRPr="000674BD">
              <w:rPr>
                <w:lang w:val="en-GB"/>
              </w:rPr>
              <w:t>49</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FB3064" w14:textId="77777777" w:rsidR="00ED0E85" w:rsidRPr="000674BD" w:rsidRDefault="00ED0E85" w:rsidP="00ED0E85">
            <w:pPr>
              <w:pStyle w:val="TableDataEntries"/>
              <w:rPr>
                <w:lang w:val="en-GB"/>
              </w:rPr>
            </w:pPr>
            <w:r w:rsidRPr="000674BD">
              <w:rPr>
                <w:lang w:val="en-GB"/>
              </w:rPr>
              <w:t>47</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7C6065" w14:textId="77777777" w:rsidR="00ED0E85" w:rsidRPr="000674BD" w:rsidRDefault="00ED0E85" w:rsidP="00ED0E85">
            <w:pPr>
              <w:pStyle w:val="TableDataEntries"/>
              <w:rPr>
                <w:lang w:val="en-GB"/>
              </w:rPr>
            </w:pPr>
            <w:r w:rsidRPr="000674BD">
              <w:rPr>
                <w:lang w:val="en-GB"/>
              </w:rPr>
              <w:t>43</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8AC41A" w14:textId="77777777" w:rsidR="00ED0E85" w:rsidRPr="000674BD" w:rsidRDefault="00ED0E85" w:rsidP="00ED0E85">
            <w:pPr>
              <w:pStyle w:val="TableDataEntries"/>
              <w:rPr>
                <w:lang w:val="en-GB"/>
              </w:rPr>
            </w:pPr>
            <w:r w:rsidRPr="000674BD">
              <w:rPr>
                <w:lang w:val="en-GB"/>
              </w:rPr>
              <w:t>51</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92093E" w14:textId="77777777" w:rsidR="00ED0E85" w:rsidRPr="000674BD" w:rsidRDefault="00ED0E85" w:rsidP="00ED0E85">
            <w:pPr>
              <w:pStyle w:val="TableDataEntries"/>
              <w:rPr>
                <w:lang w:val="en-GB"/>
              </w:rPr>
            </w:pPr>
            <w:r w:rsidRPr="000674BD">
              <w:rPr>
                <w:lang w:val="en-GB"/>
              </w:rPr>
              <w:t>68</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79434D" w14:textId="77777777" w:rsidR="00ED0E85" w:rsidRPr="000674BD" w:rsidRDefault="00ED0E85" w:rsidP="00ED0E85">
            <w:pPr>
              <w:pStyle w:val="TableDataEntries"/>
              <w:rPr>
                <w:lang w:val="en-GB"/>
              </w:rPr>
            </w:pPr>
            <w:r w:rsidRPr="000674BD">
              <w:rPr>
                <w:lang w:val="en-GB"/>
              </w:rPr>
              <w:t>69</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17A828" w14:textId="77777777" w:rsidR="00ED0E85" w:rsidRPr="000674BD" w:rsidRDefault="00ED0E85" w:rsidP="00ED0E85">
            <w:pPr>
              <w:pStyle w:val="TableDataEntries"/>
              <w:rPr>
                <w:lang w:val="en-GB"/>
              </w:rPr>
            </w:pPr>
            <w:r w:rsidRPr="000674BD">
              <w:rPr>
                <w:lang w:val="en-GB"/>
              </w:rPr>
              <w:t>56</w:t>
            </w:r>
          </w:p>
        </w:tc>
      </w:tr>
      <w:tr w:rsidR="00ED0E85" w:rsidRPr="000674BD" w14:paraId="75F21460" w14:textId="77777777" w:rsidTr="00ED0E85">
        <w:trPr>
          <w:trHeight w:val="230"/>
        </w:trPr>
        <w:tc>
          <w:tcPr>
            <w:tcW w:w="141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14CB6A" w14:textId="77777777" w:rsidR="00ED0E85" w:rsidRPr="000674BD" w:rsidRDefault="00ED0E85" w:rsidP="00ED0E85">
            <w:pPr>
              <w:pStyle w:val="TableDataEntries"/>
              <w:jc w:val="left"/>
              <w:rPr>
                <w:lang w:val="en-GB"/>
              </w:rPr>
            </w:pPr>
            <w:r w:rsidRPr="000674BD">
              <w:rPr>
                <w:lang w:val="en-GB"/>
              </w:rPr>
              <w:t>Northern Territory</w:t>
            </w:r>
          </w:p>
        </w:tc>
        <w:tc>
          <w:tcPr>
            <w:tcW w:w="58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CC5F2D" w14:textId="77777777" w:rsidR="00ED0E85" w:rsidRPr="000674BD" w:rsidRDefault="00ED0E85" w:rsidP="00ED0E85">
            <w:pPr>
              <w:pStyle w:val="TableDataEntries"/>
              <w:rPr>
                <w:lang w:val="en-GB"/>
              </w:rPr>
            </w:pPr>
            <w:r w:rsidRPr="000674BD">
              <w:rPr>
                <w:lang w:val="en-GB"/>
              </w:rPr>
              <w:t>11</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6C07A2" w14:textId="77777777" w:rsidR="00ED0E85" w:rsidRPr="000674BD" w:rsidRDefault="00ED0E85" w:rsidP="00ED0E85">
            <w:pPr>
              <w:pStyle w:val="TableDataEntries"/>
              <w:rPr>
                <w:lang w:val="en-GB"/>
              </w:rPr>
            </w:pPr>
            <w:r w:rsidRPr="000674BD">
              <w:rPr>
                <w:lang w:val="en-GB"/>
              </w:rPr>
              <w:t>11</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6D93DC" w14:textId="77777777" w:rsidR="00ED0E85" w:rsidRPr="000674BD" w:rsidRDefault="00ED0E85" w:rsidP="00ED0E85">
            <w:pPr>
              <w:pStyle w:val="TableDataEntries"/>
              <w:rPr>
                <w:lang w:val="en-GB"/>
              </w:rPr>
            </w:pPr>
            <w:r w:rsidRPr="000674BD">
              <w:rPr>
                <w:lang w:val="en-GB"/>
              </w:rPr>
              <w:t>13</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CE6019" w14:textId="77777777" w:rsidR="00ED0E85" w:rsidRPr="000674BD" w:rsidRDefault="00ED0E85" w:rsidP="00ED0E85">
            <w:pPr>
              <w:pStyle w:val="TableDataEntries"/>
              <w:rPr>
                <w:lang w:val="en-GB"/>
              </w:rPr>
            </w:pPr>
            <w:r w:rsidRPr="000674BD">
              <w:rPr>
                <w:lang w:val="en-GB"/>
              </w:rPr>
              <w:t>11</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497E9E" w14:textId="77777777" w:rsidR="00ED0E85" w:rsidRPr="000674BD" w:rsidRDefault="00ED0E85" w:rsidP="00ED0E85">
            <w:pPr>
              <w:pStyle w:val="TableDataEntries"/>
              <w:rPr>
                <w:lang w:val="en-GB"/>
              </w:rPr>
            </w:pPr>
            <w:r w:rsidRPr="000674BD">
              <w:rPr>
                <w:lang w:val="en-GB"/>
              </w:rPr>
              <w:t>10</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8B3D94" w14:textId="77777777" w:rsidR="00ED0E85" w:rsidRPr="000674BD" w:rsidRDefault="00ED0E85" w:rsidP="00ED0E85">
            <w:pPr>
              <w:pStyle w:val="TableDataEntries"/>
              <w:rPr>
                <w:lang w:val="en-GB"/>
              </w:rPr>
            </w:pPr>
            <w:r w:rsidRPr="000674BD">
              <w:rPr>
                <w:lang w:val="en-GB"/>
              </w:rPr>
              <w:t>12</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C629DD" w14:textId="77777777" w:rsidR="00ED0E85" w:rsidRPr="000674BD" w:rsidRDefault="00ED0E85" w:rsidP="00ED0E85">
            <w:pPr>
              <w:pStyle w:val="TableDataEntries"/>
              <w:rPr>
                <w:lang w:val="en-GB"/>
              </w:rPr>
            </w:pPr>
            <w:r w:rsidRPr="000674BD">
              <w:rPr>
                <w:lang w:val="en-GB"/>
              </w:rPr>
              <w:t>17</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40C79F" w14:textId="77777777" w:rsidR="00ED0E85" w:rsidRPr="000674BD" w:rsidRDefault="00ED0E85" w:rsidP="00ED0E85">
            <w:pPr>
              <w:pStyle w:val="TableDataEntries"/>
              <w:rPr>
                <w:lang w:val="en-GB"/>
              </w:rPr>
            </w:pPr>
            <w:r w:rsidRPr="000674BD">
              <w:rPr>
                <w:lang w:val="en-GB"/>
              </w:rPr>
              <w:t>22</w:t>
            </w:r>
          </w:p>
        </w:tc>
        <w:tc>
          <w:tcPr>
            <w:tcW w:w="74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36EB6A" w14:textId="77777777" w:rsidR="00ED0E85" w:rsidRPr="000674BD" w:rsidRDefault="00ED0E85" w:rsidP="00ED0E85">
            <w:pPr>
              <w:pStyle w:val="TableDataEntries"/>
              <w:rPr>
                <w:lang w:val="en-GB"/>
              </w:rPr>
            </w:pPr>
            <w:r w:rsidRPr="000674BD">
              <w:rPr>
                <w:lang w:val="en-GB"/>
              </w:rPr>
              <w:t>14</w:t>
            </w:r>
          </w:p>
        </w:tc>
      </w:tr>
      <w:tr w:rsidR="00ED0E85" w:rsidRPr="001644F0" w14:paraId="430AD42F" w14:textId="77777777" w:rsidTr="00ED0E85">
        <w:trPr>
          <w:trHeight w:val="230"/>
        </w:trPr>
        <w:tc>
          <w:tcPr>
            <w:tcW w:w="1418"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304A308" w14:textId="77777777" w:rsidR="00ED0E85" w:rsidRPr="001644F0" w:rsidRDefault="00ED0E85" w:rsidP="00ED0E85">
            <w:pPr>
              <w:pStyle w:val="TableDataEntries"/>
              <w:spacing w:after="60"/>
              <w:jc w:val="left"/>
              <w:rPr>
                <w:rFonts w:ascii="Franklin Gothic Demi" w:hAnsi="Franklin Gothic Demi"/>
                <w:lang w:val="en-GB"/>
              </w:rPr>
            </w:pPr>
            <w:r w:rsidRPr="001644F0">
              <w:rPr>
                <w:rFonts w:ascii="Franklin Gothic Demi" w:hAnsi="Franklin Gothic Demi"/>
                <w:lang w:val="en-GB"/>
              </w:rPr>
              <w:t>Total</w:t>
            </w:r>
          </w:p>
        </w:tc>
        <w:tc>
          <w:tcPr>
            <w:tcW w:w="58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3EF42FF" w14:textId="77777777" w:rsidR="00ED0E85" w:rsidRPr="001644F0" w:rsidRDefault="00ED0E85" w:rsidP="00ED0E85">
            <w:pPr>
              <w:pStyle w:val="TableDataEntries"/>
              <w:spacing w:after="60"/>
              <w:rPr>
                <w:rFonts w:ascii="Franklin Gothic Demi" w:hAnsi="Franklin Gothic Demi"/>
                <w:lang w:val="en-GB"/>
              </w:rPr>
            </w:pPr>
            <w:r w:rsidRPr="001644F0">
              <w:rPr>
                <w:rFonts w:ascii="Franklin Gothic Demi" w:hAnsi="Franklin Gothic Demi"/>
                <w:lang w:val="en-GB"/>
              </w:rPr>
              <w:t>545</w:t>
            </w:r>
          </w:p>
        </w:tc>
        <w:tc>
          <w:tcPr>
            <w:tcW w:w="74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CEA095A" w14:textId="77777777" w:rsidR="00ED0E85" w:rsidRPr="001644F0" w:rsidRDefault="00ED0E85" w:rsidP="00ED0E85">
            <w:pPr>
              <w:pStyle w:val="TableDataEntries"/>
              <w:spacing w:after="60"/>
              <w:rPr>
                <w:rFonts w:ascii="Franklin Gothic Demi" w:hAnsi="Franklin Gothic Demi"/>
                <w:lang w:val="en-GB"/>
              </w:rPr>
            </w:pPr>
            <w:r w:rsidRPr="001644F0">
              <w:rPr>
                <w:rFonts w:ascii="Franklin Gothic Demi" w:hAnsi="Franklin Gothic Demi"/>
                <w:lang w:val="en-GB"/>
              </w:rPr>
              <w:t>674</w:t>
            </w:r>
          </w:p>
        </w:tc>
        <w:tc>
          <w:tcPr>
            <w:tcW w:w="74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9759DEF" w14:textId="77777777" w:rsidR="00ED0E85" w:rsidRPr="001644F0" w:rsidRDefault="00ED0E85" w:rsidP="00ED0E85">
            <w:pPr>
              <w:pStyle w:val="TableDataEntries"/>
              <w:spacing w:after="60"/>
              <w:rPr>
                <w:rFonts w:ascii="Franklin Gothic Demi" w:hAnsi="Franklin Gothic Demi"/>
                <w:lang w:val="en-GB"/>
              </w:rPr>
            </w:pPr>
            <w:r w:rsidRPr="001644F0">
              <w:rPr>
                <w:rFonts w:ascii="Franklin Gothic Demi" w:hAnsi="Franklin Gothic Demi"/>
                <w:lang w:val="en-GB"/>
              </w:rPr>
              <w:t>739</w:t>
            </w:r>
          </w:p>
        </w:tc>
        <w:tc>
          <w:tcPr>
            <w:tcW w:w="74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038A44E" w14:textId="77777777" w:rsidR="00ED0E85" w:rsidRPr="001644F0" w:rsidRDefault="00ED0E85" w:rsidP="00ED0E85">
            <w:pPr>
              <w:pStyle w:val="TableDataEntries"/>
              <w:spacing w:after="60"/>
              <w:rPr>
                <w:rFonts w:ascii="Franklin Gothic Demi" w:hAnsi="Franklin Gothic Demi"/>
                <w:lang w:val="en-GB"/>
              </w:rPr>
            </w:pPr>
            <w:r w:rsidRPr="001644F0">
              <w:rPr>
                <w:rFonts w:ascii="Franklin Gothic Demi" w:hAnsi="Franklin Gothic Demi"/>
                <w:lang w:val="en-GB"/>
              </w:rPr>
              <w:t>800</w:t>
            </w:r>
          </w:p>
        </w:tc>
        <w:tc>
          <w:tcPr>
            <w:tcW w:w="74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8040CF1" w14:textId="77777777" w:rsidR="00ED0E85" w:rsidRPr="001644F0" w:rsidRDefault="00ED0E85" w:rsidP="00ED0E85">
            <w:pPr>
              <w:pStyle w:val="TableDataEntries"/>
              <w:spacing w:after="60"/>
              <w:rPr>
                <w:rFonts w:ascii="Franklin Gothic Demi" w:hAnsi="Franklin Gothic Demi"/>
                <w:lang w:val="en-GB"/>
              </w:rPr>
            </w:pPr>
            <w:r w:rsidRPr="001644F0">
              <w:rPr>
                <w:rFonts w:ascii="Franklin Gothic Demi" w:hAnsi="Franklin Gothic Demi"/>
                <w:lang w:val="en-GB"/>
              </w:rPr>
              <w:t>805</w:t>
            </w:r>
          </w:p>
        </w:tc>
        <w:tc>
          <w:tcPr>
            <w:tcW w:w="74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E7153C4" w14:textId="77777777" w:rsidR="00ED0E85" w:rsidRPr="001644F0" w:rsidRDefault="00ED0E85" w:rsidP="00ED0E85">
            <w:pPr>
              <w:pStyle w:val="TableDataEntries"/>
              <w:spacing w:after="60"/>
              <w:rPr>
                <w:rFonts w:ascii="Franklin Gothic Demi" w:hAnsi="Franklin Gothic Demi"/>
                <w:lang w:val="en-GB"/>
              </w:rPr>
            </w:pPr>
            <w:r w:rsidRPr="001644F0">
              <w:rPr>
                <w:rFonts w:ascii="Franklin Gothic Demi" w:hAnsi="Franklin Gothic Demi"/>
                <w:lang w:val="en-GB"/>
              </w:rPr>
              <w:t>802</w:t>
            </w:r>
          </w:p>
        </w:tc>
        <w:tc>
          <w:tcPr>
            <w:tcW w:w="74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CA7545A" w14:textId="77777777" w:rsidR="00ED0E85" w:rsidRPr="001644F0" w:rsidRDefault="00ED0E85" w:rsidP="00ED0E85">
            <w:pPr>
              <w:pStyle w:val="TableDataEntries"/>
              <w:spacing w:after="60"/>
              <w:rPr>
                <w:rFonts w:ascii="Franklin Gothic Demi" w:hAnsi="Franklin Gothic Demi"/>
                <w:lang w:val="en-GB"/>
              </w:rPr>
            </w:pPr>
            <w:r w:rsidRPr="001644F0">
              <w:rPr>
                <w:rFonts w:ascii="Franklin Gothic Demi" w:hAnsi="Franklin Gothic Demi"/>
                <w:lang w:val="en-GB"/>
              </w:rPr>
              <w:t>880</w:t>
            </w:r>
          </w:p>
        </w:tc>
        <w:tc>
          <w:tcPr>
            <w:tcW w:w="74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A5BEBD8" w14:textId="77777777" w:rsidR="00ED0E85" w:rsidRPr="001644F0" w:rsidRDefault="00ED0E85" w:rsidP="00ED0E85">
            <w:pPr>
              <w:pStyle w:val="TableDataEntries"/>
              <w:spacing w:after="60"/>
              <w:rPr>
                <w:rFonts w:ascii="Franklin Gothic Demi" w:hAnsi="Franklin Gothic Demi"/>
                <w:lang w:val="en-GB"/>
              </w:rPr>
            </w:pPr>
            <w:r w:rsidRPr="001644F0">
              <w:rPr>
                <w:rFonts w:ascii="Franklin Gothic Demi" w:hAnsi="Franklin Gothic Demi"/>
                <w:lang w:val="en-GB"/>
              </w:rPr>
              <w:t>1139</w:t>
            </w:r>
          </w:p>
        </w:tc>
        <w:tc>
          <w:tcPr>
            <w:tcW w:w="74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3738D91" w14:textId="77777777" w:rsidR="00ED0E85" w:rsidRPr="001644F0" w:rsidRDefault="00ED0E85" w:rsidP="00ED0E85">
            <w:pPr>
              <w:pStyle w:val="TableDataEntries"/>
              <w:spacing w:after="60"/>
              <w:rPr>
                <w:rFonts w:ascii="Franklin Gothic Demi" w:hAnsi="Franklin Gothic Demi"/>
                <w:lang w:val="en-GB"/>
              </w:rPr>
            </w:pPr>
            <w:r w:rsidRPr="001644F0">
              <w:rPr>
                <w:rFonts w:ascii="Franklin Gothic Demi" w:hAnsi="Franklin Gothic Demi"/>
                <w:lang w:val="en-GB"/>
              </w:rPr>
              <w:t>782</w:t>
            </w:r>
          </w:p>
        </w:tc>
      </w:tr>
    </w:tbl>
    <w:p w14:paraId="117AE71E" w14:textId="77777777" w:rsidR="00ED0E85" w:rsidRDefault="00ED0E85" w:rsidP="00ED0E85">
      <w:pPr>
        <w:pStyle w:val="Note"/>
      </w:pPr>
      <w:r w:rsidRPr="007D1B4F">
        <w:rPr>
          <w:i/>
        </w:rPr>
        <w:t>Note:</w:t>
      </w:r>
      <w:r w:rsidRPr="00E879B8">
        <w:t xml:space="preserve"> </w:t>
      </w:r>
      <w:r>
        <w:t>Includes both base building and whole building ratings.</w:t>
      </w:r>
    </w:p>
    <w:p w14:paraId="33012DC9" w14:textId="77777777" w:rsidR="00ED0E85" w:rsidRDefault="00ED0E85" w:rsidP="00ED0E85">
      <w:pPr>
        <w:pStyle w:val="Source"/>
      </w:pPr>
      <w:r>
        <w:rPr>
          <w:i/>
        </w:rPr>
        <w:t>Source</w:t>
      </w:r>
      <w:r w:rsidRPr="00E4232C">
        <w:rPr>
          <w:i/>
        </w:rPr>
        <w:t>:</w:t>
      </w:r>
      <w:r>
        <w:t xml:space="preserve"> NABERS database, CIE.</w:t>
      </w:r>
    </w:p>
    <w:p w14:paraId="4F464139" w14:textId="77777777" w:rsidR="00ED0E85" w:rsidRDefault="00ED0E85" w:rsidP="00ED0E85">
      <w:pPr>
        <w:pStyle w:val="Heading3"/>
        <w:numPr>
          <w:ilvl w:val="2"/>
          <w:numId w:val="5"/>
        </w:numPr>
      </w:pPr>
      <w:r>
        <w:t>The cost of energy efficiency upgrades</w:t>
      </w:r>
    </w:p>
    <w:p w14:paraId="5541134E" w14:textId="77777777" w:rsidR="00ED0E85" w:rsidRDefault="00ED0E85" w:rsidP="00ED0E85">
      <w:pPr>
        <w:pStyle w:val="BodyText"/>
      </w:pPr>
      <w:r>
        <w:t>As noted above, the cost of energy efficiency upgrades can vary significantly, depending on building</w:t>
      </w:r>
      <w:r>
        <w:noBreakHyphen/>
        <w:t>specific characteristics and the energy efficiency measures chosen. The specific measures that each building has taken to improve energy efficiency and the timing of these upgrades is not known.</w:t>
      </w:r>
    </w:p>
    <w:p w14:paraId="3C8E6AE2" w14:textId="77777777" w:rsidR="00ED0E85" w:rsidRDefault="00ED0E85" w:rsidP="00ED0E85">
      <w:pPr>
        <w:pStyle w:val="BodyText"/>
      </w:pPr>
      <w:r>
        <w:t>To estimate the costs of energy efficiency upgrades, we have gathered information on upgrade costs and the associated energy savings for both planned and completed energy efficiency upgrades to 31 office buildings, including information from:</w:t>
      </w:r>
    </w:p>
    <w:p w14:paraId="3EA727E2" w14:textId="77777777" w:rsidR="00ED0E85" w:rsidRDefault="00ED0E85" w:rsidP="00ED0E85">
      <w:pPr>
        <w:pStyle w:val="ListBullet"/>
      </w:pPr>
      <w:r>
        <w:t>the Victorian Government’s Energy Efficient Office Buildings program run by Sustainability Victoria; and</w:t>
      </w:r>
    </w:p>
    <w:p w14:paraId="2DB1E364" w14:textId="77777777" w:rsidR="00ED0E85" w:rsidRDefault="00ED0E85" w:rsidP="00ED0E85">
      <w:pPr>
        <w:pStyle w:val="ListBullet"/>
      </w:pPr>
      <w:r>
        <w:t>a range of proposed upgrades from a major property group (these upgrades are well advanced in the planning process and have identified a number of specific measures for each building).</w:t>
      </w:r>
    </w:p>
    <w:p w14:paraId="1C6D4873" w14:textId="77777777" w:rsidR="00ED0E85" w:rsidRDefault="00ED0E85" w:rsidP="00ED0E85">
      <w:pPr>
        <w:pStyle w:val="BodyText"/>
      </w:pPr>
      <w:r>
        <w:t>The sample therefore contains:</w:t>
      </w:r>
    </w:p>
    <w:p w14:paraId="27812471" w14:textId="77777777" w:rsidR="00ED0E85" w:rsidRDefault="00ED0E85" w:rsidP="00ED0E85">
      <w:pPr>
        <w:pStyle w:val="ListBullet"/>
      </w:pPr>
      <w:r>
        <w:t>buildings in the low and mid</w:t>
      </w:r>
      <w:r>
        <w:noBreakHyphen/>
        <w:t>tier sector (the Energy Efficient Office Buildings Program (EEOB) focused specifically on the mid</w:t>
      </w:r>
      <w:r>
        <w:noBreakHyphen/>
        <w:t>tier sector) and premium and A grade sector</w:t>
      </w:r>
    </w:p>
    <w:p w14:paraId="205FD387" w14:textId="77777777" w:rsidR="00ED0E85" w:rsidRDefault="00ED0E85" w:rsidP="00ED0E85">
      <w:pPr>
        <w:pStyle w:val="ListBullet"/>
      </w:pPr>
      <w:r>
        <w:t>buildings located in NSW, Victoria, Queensland and the ACT and therefore covers a range of climate zones (although the sample is skewed towards buildings located in Victoria, given that the EEOB program focused on Victorian buildings only).</w:t>
      </w:r>
    </w:p>
    <w:p w14:paraId="174298AB" w14:textId="141989FA" w:rsidR="00ED0E85" w:rsidRDefault="00ED0E85" w:rsidP="00ED0E85">
      <w:pPr>
        <w:pStyle w:val="BodyText"/>
      </w:pPr>
      <w:r>
        <w:t>Although the costs and energy savings achieved varied significantly across buildings, there is a statistically significant (at the 95 per cent level of significance) negative relationship between the building’s initial NABERS rating and the energy savings achieved for each dollar invested (although the relationship is relatively weak) (chart </w:t>
      </w:r>
      <w:r w:rsidR="004550CB">
        <w:rPr>
          <w:noProof/>
        </w:rPr>
        <w:fldChar w:fldCharType="begin"/>
      </w:r>
      <w:r w:rsidR="004550CB">
        <w:rPr>
          <w:noProof/>
        </w:rPr>
        <w:instrText xml:space="preserve"> REF _Caption1244 </w:instrText>
      </w:r>
      <w:r w:rsidR="004550CB">
        <w:rPr>
          <w:noProof/>
        </w:rPr>
        <w:fldChar w:fldCharType="separate"/>
      </w:r>
      <w:r w:rsidR="00AD3561">
        <w:rPr>
          <w:noProof/>
        </w:rPr>
        <w:t>5</w:t>
      </w:r>
      <w:r w:rsidR="00AD3561" w:rsidRPr="00695C93">
        <w:rPr>
          <w:noProof/>
        </w:rPr>
        <w:t>.</w:t>
      </w:r>
      <w:r w:rsidR="00AD3561">
        <w:rPr>
          <w:noProof/>
        </w:rPr>
        <w:t>8</w:t>
      </w:r>
      <w:r w:rsidR="004550CB">
        <w:rPr>
          <w:noProof/>
        </w:rPr>
        <w:fldChar w:fldCharType="end"/>
      </w:r>
      <w:r>
        <w:rPr>
          <w:noProof/>
        </w:rPr>
        <w:t>)</w:t>
      </w:r>
      <w:r>
        <w:t xml:space="preserve">. </w:t>
      </w:r>
    </w:p>
    <w:bookmarkStart w:id="3215" w:name="_Hlk17210842"/>
    <w:p w14:paraId="70E79B8E" w14:textId="79618E78"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w:instrText>
      </w:r>
      <w:r w:rsidRPr="00695C93">
        <w:fldChar w:fldCharType="separate"/>
      </w:r>
      <w:r w:rsidR="00AD3561">
        <w:rPr>
          <w:noProof/>
        </w:rPr>
        <w:instrText>5</w:instrText>
      </w:r>
      <w:r w:rsidR="00AD3561"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rsidRPr="00695C93">
        <w:instrText xml:space="preserve">." </w:instrText>
      </w:r>
      <w:r w:rsidRPr="00695C93">
        <w:fldChar w:fldCharType="separate"/>
      </w:r>
      <w:r w:rsidR="00C353B5">
        <w:rPr>
          <w:noProof/>
        </w:rPr>
        <w:instrText>5</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8</w:instrText>
      </w:r>
      <w:r w:rsidRPr="00695C93">
        <w:fldChar w:fldCharType="end"/>
      </w:r>
      <w:r w:rsidRPr="00695C93">
        <w:instrText xml:space="preserve">" "" </w:instrText>
      </w:r>
      <w:r w:rsidRPr="00695C93">
        <w:fldChar w:fldCharType="separate"/>
      </w:r>
      <w:bookmarkStart w:id="3216" w:name="_Caption0158"/>
      <w:bookmarkStart w:id="3217" w:name="_Caption7282"/>
      <w:bookmarkStart w:id="3218" w:name="_Caption4349"/>
      <w:bookmarkStart w:id="3219" w:name="_Caption5619"/>
      <w:bookmarkStart w:id="3220" w:name="_Caption9641"/>
      <w:bookmarkStart w:id="3221" w:name="_Caption6669"/>
      <w:bookmarkStart w:id="3222" w:name="_Caption8882"/>
      <w:bookmarkStart w:id="3223" w:name="_Caption4444"/>
      <w:bookmarkStart w:id="3224" w:name="_Caption1871"/>
      <w:bookmarkStart w:id="3225" w:name="_Caption9639"/>
      <w:bookmarkStart w:id="3226" w:name="_Caption5370"/>
      <w:bookmarkStart w:id="3227" w:name="_Caption5992"/>
      <w:bookmarkStart w:id="3228" w:name="_Caption7920"/>
      <w:bookmarkStart w:id="3229" w:name="_Caption7858"/>
      <w:bookmarkStart w:id="3230" w:name="_Caption2341"/>
      <w:bookmarkStart w:id="3231" w:name="_Caption1731"/>
      <w:bookmarkStart w:id="3232" w:name="_Caption5340"/>
      <w:bookmarkStart w:id="3233" w:name="_Caption7906"/>
      <w:bookmarkStart w:id="3234" w:name="_Caption4862"/>
      <w:bookmarkStart w:id="3235" w:name="_Caption2702"/>
      <w:bookmarkStart w:id="3236" w:name="_Caption4097"/>
      <w:bookmarkStart w:id="3237" w:name="_Caption3728"/>
      <w:bookmarkStart w:id="3238" w:name="_Caption4435"/>
      <w:bookmarkStart w:id="3239" w:name="_Caption0577"/>
      <w:bookmarkStart w:id="3240" w:name="_Caption9058"/>
      <w:bookmarkStart w:id="3241" w:name="_Caption1600"/>
      <w:bookmarkStart w:id="3242" w:name="_Caption3197"/>
      <w:bookmarkStart w:id="3243" w:name="_Caption0972"/>
      <w:bookmarkStart w:id="3244" w:name="_Caption8777"/>
      <w:bookmarkStart w:id="3245" w:name="_Caption9612"/>
      <w:bookmarkStart w:id="3246" w:name="_Caption1760"/>
      <w:bookmarkStart w:id="3247" w:name="_Caption4755"/>
      <w:bookmarkStart w:id="3248" w:name="_Caption9847"/>
      <w:bookmarkStart w:id="3249" w:name="_Caption2251"/>
      <w:bookmarkStart w:id="3250" w:name="_Caption1122"/>
      <w:bookmarkStart w:id="3251" w:name="_Caption6833"/>
      <w:bookmarkStart w:id="3252" w:name="_Caption7208"/>
      <w:bookmarkStart w:id="3253" w:name="_Caption5767"/>
      <w:bookmarkStart w:id="3254" w:name="_Caption8359"/>
      <w:bookmarkStart w:id="3255" w:name="_Caption2218"/>
      <w:bookmarkStart w:id="3256" w:name="_Caption8323"/>
      <w:bookmarkStart w:id="3257" w:name="_Caption1244"/>
      <w:bookmarkStart w:id="3258" w:name="_Caption6908"/>
      <w:bookmarkStart w:id="3259" w:name="_Caption8929"/>
      <w:bookmarkStart w:id="3260" w:name="_Caption0686"/>
      <w:bookmarkStart w:id="3261" w:name="_Caption9419"/>
      <w:bookmarkStart w:id="3262" w:name="_Caption0267"/>
      <w:bookmarkStart w:id="3263" w:name="_Caption3750"/>
      <w:bookmarkStart w:id="3264" w:name="_Caption5984"/>
      <w:bookmarkStart w:id="3265" w:name="_Caption7852"/>
      <w:bookmarkStart w:id="3266" w:name="_Caption2495"/>
      <w:bookmarkStart w:id="3267" w:name="_Caption5654"/>
      <w:bookmarkStart w:id="3268" w:name="_Caption5584"/>
      <w:bookmarkStart w:id="3269" w:name="_Caption9759"/>
      <w:bookmarkStart w:id="3270" w:name="_Caption3835"/>
      <w:bookmarkStart w:id="3271" w:name="_Caption8002"/>
      <w:bookmarkStart w:id="3272" w:name="_Caption2575"/>
      <w:bookmarkStart w:id="3273" w:name="_Caption8949"/>
      <w:bookmarkStart w:id="3274" w:name="_Caption1061"/>
      <w:bookmarkStart w:id="3275" w:name="_Caption8235"/>
      <w:bookmarkStart w:id="3276" w:name="_Caption5889"/>
      <w:bookmarkStart w:id="3277" w:name="_Caption4275"/>
      <w:bookmarkStart w:id="3278" w:name="_Caption5653"/>
      <w:bookmarkStart w:id="3279" w:name="_Caption0792"/>
      <w:bookmarkStart w:id="3280" w:name="_Caption1126"/>
      <w:bookmarkStart w:id="3281" w:name="_Caption5837"/>
      <w:bookmarkStart w:id="3282" w:name="_Caption0912"/>
      <w:bookmarkStart w:id="3283" w:name="_Caption9693"/>
      <w:bookmarkStart w:id="3284" w:name="_Caption0194"/>
      <w:bookmarkStart w:id="3285" w:name="_Caption3558"/>
      <w:bookmarkStart w:id="3286" w:name="_Caption2360"/>
      <w:bookmarkStart w:id="3287" w:name="_Caption1601"/>
      <w:bookmarkStart w:id="3288" w:name="_Caption0982"/>
      <w:bookmarkStart w:id="3289" w:name="_Caption1509"/>
      <w:bookmarkStart w:id="3290" w:name="_Caption3870"/>
      <w:bookmarkStart w:id="3291" w:name="_Caption4721"/>
      <w:bookmarkStart w:id="3292" w:name="_Caption7375"/>
      <w:bookmarkStart w:id="3293" w:name="_Caption8126"/>
      <w:bookmarkStart w:id="3294" w:name="_Caption4533"/>
      <w:bookmarkStart w:id="3295" w:name="_Toc19275599"/>
      <w:bookmarkStart w:id="3296" w:name="_Toc19276209"/>
      <w:bookmarkStart w:id="3297" w:name="_Toc19280208"/>
      <w:r w:rsidR="00C353B5">
        <w:rPr>
          <w:noProof/>
        </w:rPr>
        <w:t>5</w:t>
      </w:r>
      <w:r w:rsidR="00C353B5" w:rsidRPr="00695C93">
        <w:rPr>
          <w:noProof/>
        </w:rPr>
        <w:t>.</w:t>
      </w:r>
      <w:r w:rsidR="00C353B5">
        <w:rPr>
          <w:noProof/>
        </w:rPr>
        <w:t>8</w:t>
      </w:r>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r w:rsidRPr="00695C93">
        <w:fldChar w:fldCharType="end"/>
      </w:r>
      <w:r w:rsidRPr="00695C93">
        <w:tab/>
      </w:r>
      <w:r>
        <w:t>Energy savings per dollar spent by initial star rating</w:t>
      </w:r>
      <w:bookmarkEnd w:id="3295"/>
      <w:bookmarkEnd w:id="3296"/>
      <w:bookmarkEnd w:id="3297"/>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526E37CA" w14:textId="77777777" w:rsidTr="00ED0E85">
        <w:trPr>
          <w:cantSplit/>
        </w:trPr>
        <w:tc>
          <w:tcPr>
            <w:tcW w:w="7938" w:type="dxa"/>
            <w:shd w:val="clear" w:color="auto" w:fill="E9E8E5" w:themeFill="background2"/>
          </w:tcPr>
          <w:p w14:paraId="004782B6" w14:textId="77777777" w:rsidR="00ED0E85" w:rsidRDefault="00ED0E85" w:rsidP="00ED0E85">
            <w:pPr>
              <w:pStyle w:val="Chart"/>
              <w:spacing w:after="120"/>
              <w:jc w:val="center"/>
            </w:pPr>
            <w:r w:rsidRPr="0091018A">
              <w:rPr>
                <w:noProof/>
                <w:lang w:eastAsia="en-AU"/>
              </w:rPr>
              <w:drawing>
                <wp:inline distT="0" distB="0" distL="0" distR="0" wp14:anchorId="3327D822" wp14:editId="1A9B6D91">
                  <wp:extent cx="4876800" cy="2524125"/>
                  <wp:effectExtent l="0" t="0" r="0"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876800" cy="2524125"/>
                          </a:xfrm>
                          <a:prstGeom prst="rect">
                            <a:avLst/>
                          </a:prstGeom>
                          <a:noFill/>
                          <a:ln>
                            <a:noFill/>
                          </a:ln>
                        </pic:spPr>
                      </pic:pic>
                    </a:graphicData>
                  </a:graphic>
                </wp:inline>
              </w:drawing>
            </w:r>
          </w:p>
        </w:tc>
      </w:tr>
    </w:tbl>
    <w:p w14:paraId="695F18A6" w14:textId="77777777" w:rsidR="00ED0E85" w:rsidRDefault="00ED0E85" w:rsidP="00ED0E85">
      <w:pPr>
        <w:pStyle w:val="Source"/>
      </w:pPr>
      <w:r>
        <w:rPr>
          <w:i/>
        </w:rPr>
        <w:t>Data source</w:t>
      </w:r>
      <w:r w:rsidRPr="00A67576">
        <w:rPr>
          <w:i/>
        </w:rPr>
        <w:t>:</w:t>
      </w:r>
      <w:r>
        <w:t xml:space="preserve"> Sustainability Victoria and data gathered from a major property group.</w:t>
      </w:r>
    </w:p>
    <w:bookmarkEnd w:id="3215"/>
    <w:p w14:paraId="00417F7C" w14:textId="77777777" w:rsidR="00ED0E85" w:rsidRDefault="00ED0E85" w:rsidP="00ED0E85">
      <w:pPr>
        <w:pStyle w:val="BodyText"/>
      </w:pPr>
      <w:r>
        <w:t>Although this relationship is based on a small sample and is relatively weak it forms the basis of our cost estimates in the CBA on the basis that:</w:t>
      </w:r>
    </w:p>
    <w:p w14:paraId="6BC47017" w14:textId="77777777" w:rsidR="00ED0E85" w:rsidRDefault="00ED0E85" w:rsidP="00ED0E85">
      <w:pPr>
        <w:pStyle w:val="ListBullet"/>
      </w:pPr>
      <w:r>
        <w:t>the estimates are based on actual costs (rather than modelled costs)</w:t>
      </w:r>
    </w:p>
    <w:p w14:paraId="6A0D1D76" w14:textId="77777777" w:rsidR="00ED0E85" w:rsidRDefault="00ED0E85" w:rsidP="00ED0E85">
      <w:pPr>
        <w:pStyle w:val="ListBullet"/>
      </w:pPr>
      <w:r>
        <w:t>this approach produces broadly plausible estimates (see below for the implied payback periods)</w:t>
      </w:r>
    </w:p>
    <w:p w14:paraId="143030E1" w14:textId="77777777" w:rsidR="00ED0E85" w:rsidRDefault="00ED0E85" w:rsidP="00ED0E85">
      <w:pPr>
        <w:pStyle w:val="ListBullet"/>
      </w:pPr>
      <w:r>
        <w:t>the finding aligns with anecdotal evidence that the cost of achieving each additional star rating increases as the star rating increases.</w:t>
      </w:r>
    </w:p>
    <w:p w14:paraId="17CFE8A1" w14:textId="77777777" w:rsidR="00ED0E85" w:rsidRDefault="00ED0E85" w:rsidP="00ED0E85">
      <w:pPr>
        <w:pStyle w:val="BodyText"/>
      </w:pPr>
      <w:r>
        <w:t>This relationship implies that the annual cost of an energy efficiency upgrade for each building can be estimated as follows:</w:t>
      </w:r>
    </w:p>
    <w:p w14:paraId="1E1C2781" w14:textId="77777777" w:rsidR="00ED0E85" w:rsidRPr="00090D9B" w:rsidRDefault="00ED0E85" w:rsidP="00ED0E85">
      <w:pPr>
        <w:pStyle w:val="BodyText"/>
      </w:pPr>
      <m:oMathPara>
        <m:oMath>
          <m:r>
            <w:rPr>
              <w:rFonts w:ascii="Cambria Math" w:hAnsi="Cambria Math"/>
            </w:rPr>
            <m:t>C=</m:t>
          </m:r>
          <m:f>
            <m:fPr>
              <m:ctrlPr>
                <w:rPr>
                  <w:rFonts w:ascii="Cambria Math" w:hAnsi="Cambria Math"/>
                  <w:i/>
                </w:rPr>
              </m:ctrlPr>
            </m:fPr>
            <m:num>
              <m:r>
                <w:rPr>
                  <w:rFonts w:ascii="Cambria Math" w:hAnsi="Cambria Math"/>
                </w:rPr>
                <m:t>E</m:t>
              </m:r>
            </m:num>
            <m:den>
              <m:r>
                <w:rPr>
                  <w:rFonts w:ascii="Cambria Math" w:hAnsi="Cambria Math"/>
                </w:rPr>
                <m:t>18.793-2.7131∙star</m:t>
              </m:r>
            </m:den>
          </m:f>
        </m:oMath>
      </m:oMathPara>
    </w:p>
    <w:p w14:paraId="3924507D" w14:textId="77777777" w:rsidR="00ED0E85" w:rsidRDefault="00ED0E85" w:rsidP="00ED0E85">
      <w:pPr>
        <w:pStyle w:val="BodyText"/>
      </w:pPr>
      <w:r>
        <w:t xml:space="preserve">Where: </w:t>
      </w:r>
      <w:r w:rsidRPr="00870B4E">
        <w:rPr>
          <w:i/>
        </w:rPr>
        <w:t>C</w:t>
      </w:r>
      <w:r>
        <w:t xml:space="preserve"> is the annual cost (in dollars); </w:t>
      </w:r>
      <w:r w:rsidRPr="00870B4E">
        <w:rPr>
          <w:i/>
        </w:rPr>
        <w:t>E</w:t>
      </w:r>
      <w:r>
        <w:t xml:space="preserve"> is the energy saved during the year (in MJ); and </w:t>
      </w:r>
      <w:r w:rsidRPr="00870B4E">
        <w:rPr>
          <w:i/>
        </w:rPr>
        <w:t>star</w:t>
      </w:r>
      <w:r>
        <w:t xml:space="preserve"> is the NABERS star rating at the start of the period.</w:t>
      </w:r>
    </w:p>
    <w:p w14:paraId="41308FF8" w14:textId="6EF8DF2F" w:rsidR="00ED0E85" w:rsidRDefault="00ED0E85" w:rsidP="00ED0E85">
      <w:pPr>
        <w:pStyle w:val="BodyText"/>
      </w:pPr>
      <w:r>
        <w:t>As the NABERS star rating improves over time, this relationship suggests that it becomes increasingly costly to achieve the same reduction in energy consumption. The assumption on the incremental change in NABERS star rating over time are shown in table </w:t>
      </w:r>
      <w:r w:rsidR="004550CB">
        <w:rPr>
          <w:noProof/>
        </w:rPr>
        <w:fldChar w:fldCharType="begin"/>
      </w:r>
      <w:r w:rsidR="004550CB">
        <w:rPr>
          <w:noProof/>
        </w:rPr>
        <w:instrText xml:space="preserve"> REF _Caption5276 </w:instrText>
      </w:r>
      <w:r w:rsidR="004550CB">
        <w:rPr>
          <w:noProof/>
        </w:rPr>
        <w:fldChar w:fldCharType="separate"/>
      </w:r>
      <w:r w:rsidR="00AD3561">
        <w:rPr>
          <w:noProof/>
        </w:rPr>
        <w:t>5</w:t>
      </w:r>
      <w:r w:rsidR="00AD3561" w:rsidRPr="00695C93">
        <w:rPr>
          <w:noProof/>
        </w:rPr>
        <w:t>.</w:t>
      </w:r>
      <w:r w:rsidR="00AD3561">
        <w:rPr>
          <w:noProof/>
        </w:rPr>
        <w:t>4</w:t>
      </w:r>
      <w:r w:rsidR="004550CB">
        <w:rPr>
          <w:noProof/>
        </w:rPr>
        <w:fldChar w:fldCharType="end"/>
      </w:r>
      <w:r>
        <w:t xml:space="preserve"> (above).</w:t>
      </w:r>
    </w:p>
    <w:p w14:paraId="7F0FFEA6" w14:textId="37475126" w:rsidR="00ED0E85" w:rsidRDefault="00ED0E85" w:rsidP="00ED0E85">
      <w:pPr>
        <w:pStyle w:val="BodyText"/>
      </w:pPr>
      <w:r>
        <w:t>Based on a simple average of estimated 2019 energy prices across states (and national average mix of energy savings), the payback period for energy efficiency upgrades at each star rating implied by the relationship estimated above are shown in chart </w:t>
      </w:r>
      <w:r w:rsidR="004550CB">
        <w:rPr>
          <w:noProof/>
        </w:rPr>
        <w:fldChar w:fldCharType="begin"/>
      </w:r>
      <w:r w:rsidR="004550CB">
        <w:rPr>
          <w:noProof/>
        </w:rPr>
        <w:instrText xml:space="preserve"> REF _Caption0420 </w:instrText>
      </w:r>
      <w:r w:rsidR="004550CB">
        <w:rPr>
          <w:noProof/>
        </w:rPr>
        <w:fldChar w:fldCharType="separate"/>
      </w:r>
      <w:r w:rsidR="00AD3561">
        <w:rPr>
          <w:noProof/>
        </w:rPr>
        <w:t>5</w:t>
      </w:r>
      <w:r w:rsidR="00AD3561" w:rsidRPr="00695C93">
        <w:rPr>
          <w:noProof/>
        </w:rPr>
        <w:t>.</w:t>
      </w:r>
      <w:r w:rsidR="00AD3561">
        <w:rPr>
          <w:noProof/>
        </w:rPr>
        <w:t>9</w:t>
      </w:r>
      <w:r w:rsidR="004550CB">
        <w:rPr>
          <w:noProof/>
        </w:rPr>
        <w:fldChar w:fldCharType="end"/>
      </w:r>
      <w:r>
        <w:t>.</w:t>
      </w:r>
    </w:p>
    <w:p w14:paraId="23A9132D" w14:textId="77777777" w:rsidR="00ED0E85" w:rsidRDefault="00ED0E85" w:rsidP="00ED0E85">
      <w:pPr>
        <w:pStyle w:val="ListBullet"/>
      </w:pPr>
      <w:r>
        <w:t>Payback periods for energy efficiency upgrades for on highly inefficient buildings (i.e. 0 to 1 stars) are generally around 2 years.</w:t>
      </w:r>
    </w:p>
    <w:p w14:paraId="28517C57" w14:textId="77777777" w:rsidR="00ED0E85" w:rsidRDefault="00ED0E85" w:rsidP="00ED0E85">
      <w:pPr>
        <w:pStyle w:val="ListBullet"/>
      </w:pPr>
      <w:r>
        <w:t>This increase to around 4 years for 3 to 3.5 star buildings.</w:t>
      </w:r>
    </w:p>
    <w:p w14:paraId="591BEB06" w14:textId="77777777" w:rsidR="00ED0E85" w:rsidRDefault="00ED0E85" w:rsidP="00ED0E85">
      <w:pPr>
        <w:pStyle w:val="ListBullet"/>
      </w:pPr>
      <w:r>
        <w:t>For buildings that are already relatively efficient (more than around 5 stars), payback periods are broadly around the ‘hurdle rate’, suggesting many building owners may be indifferent as to whether to pursue further energy efficiency improvements for these buildings.</w:t>
      </w:r>
    </w:p>
    <w:bookmarkStart w:id="3298" w:name="_Hlk17210858"/>
    <w:p w14:paraId="1F1421B8" w14:textId="0ECD72CD"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w:instrText>
      </w:r>
      <w:r w:rsidRPr="00695C93">
        <w:fldChar w:fldCharType="separate"/>
      </w:r>
      <w:r w:rsidR="00AD3561">
        <w:rPr>
          <w:noProof/>
        </w:rPr>
        <w:instrText>5</w:instrText>
      </w:r>
      <w:r w:rsidR="00AD3561"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rsidRPr="00695C93">
        <w:instrText xml:space="preserve">." </w:instrText>
      </w:r>
      <w:r w:rsidRPr="00695C93">
        <w:fldChar w:fldCharType="separate"/>
      </w:r>
      <w:r w:rsidR="00C353B5">
        <w:rPr>
          <w:noProof/>
        </w:rPr>
        <w:instrText>5</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9</w:instrText>
      </w:r>
      <w:r w:rsidRPr="00695C93">
        <w:fldChar w:fldCharType="end"/>
      </w:r>
      <w:r w:rsidRPr="00695C93">
        <w:instrText xml:space="preserve">" "" </w:instrText>
      </w:r>
      <w:r w:rsidRPr="00695C93">
        <w:fldChar w:fldCharType="separate"/>
      </w:r>
      <w:bookmarkStart w:id="3299" w:name="_Caption6887"/>
      <w:bookmarkStart w:id="3300" w:name="_Caption6136"/>
      <w:bookmarkStart w:id="3301" w:name="_Caption2128"/>
      <w:bookmarkStart w:id="3302" w:name="_Caption8661"/>
      <w:bookmarkStart w:id="3303" w:name="_Caption3501"/>
      <w:bookmarkStart w:id="3304" w:name="_Caption9380"/>
      <w:bookmarkStart w:id="3305" w:name="_Caption7869"/>
      <w:bookmarkStart w:id="3306" w:name="_Caption0371"/>
      <w:bookmarkStart w:id="3307" w:name="_Caption9735"/>
      <w:bookmarkStart w:id="3308" w:name="_Caption7772"/>
      <w:bookmarkStart w:id="3309" w:name="_Caption5985"/>
      <w:bookmarkStart w:id="3310" w:name="_Caption2401"/>
      <w:bookmarkStart w:id="3311" w:name="_Caption2899"/>
      <w:bookmarkStart w:id="3312" w:name="_Caption2171"/>
      <w:bookmarkStart w:id="3313" w:name="_Caption1019"/>
      <w:bookmarkStart w:id="3314" w:name="_Caption8445"/>
      <w:bookmarkStart w:id="3315" w:name="_Caption9745"/>
      <w:bookmarkStart w:id="3316" w:name="_Caption0897"/>
      <w:bookmarkStart w:id="3317" w:name="_Caption4114"/>
      <w:bookmarkStart w:id="3318" w:name="_Caption5972"/>
      <w:bookmarkStart w:id="3319" w:name="_Caption9250"/>
      <w:bookmarkStart w:id="3320" w:name="_Caption0671"/>
      <w:bookmarkStart w:id="3321" w:name="_Caption0851"/>
      <w:bookmarkStart w:id="3322" w:name="_Caption1966"/>
      <w:bookmarkStart w:id="3323" w:name="_Caption5147"/>
      <w:bookmarkStart w:id="3324" w:name="_Caption7181"/>
      <w:bookmarkStart w:id="3325" w:name="_Caption0420"/>
      <w:bookmarkStart w:id="3326" w:name="_Caption9049"/>
      <w:bookmarkStart w:id="3327" w:name="_Caption5084"/>
      <w:bookmarkStart w:id="3328" w:name="_Caption4381"/>
      <w:bookmarkStart w:id="3329" w:name="_Caption5569"/>
      <w:bookmarkStart w:id="3330" w:name="_Caption4590"/>
      <w:bookmarkStart w:id="3331" w:name="_Caption3959"/>
      <w:bookmarkStart w:id="3332" w:name="_Caption1835"/>
      <w:bookmarkStart w:id="3333" w:name="_Caption2749"/>
      <w:bookmarkStart w:id="3334" w:name="_Caption1529"/>
      <w:bookmarkStart w:id="3335" w:name="_Caption0834"/>
      <w:bookmarkStart w:id="3336" w:name="_Caption1574"/>
      <w:bookmarkStart w:id="3337" w:name="_Caption5638"/>
      <w:bookmarkStart w:id="3338" w:name="_Caption0247"/>
      <w:bookmarkStart w:id="3339" w:name="_Caption6633"/>
      <w:bookmarkStart w:id="3340" w:name="_Caption1908"/>
      <w:bookmarkStart w:id="3341" w:name="_Caption8909"/>
      <w:bookmarkStart w:id="3342" w:name="_Caption6787"/>
      <w:bookmarkStart w:id="3343" w:name="_Caption5426"/>
      <w:bookmarkStart w:id="3344" w:name="_Caption3222"/>
      <w:bookmarkStart w:id="3345" w:name="_Caption3701"/>
      <w:bookmarkStart w:id="3346" w:name="_Caption2058"/>
      <w:bookmarkStart w:id="3347" w:name="_Caption2938"/>
      <w:bookmarkStart w:id="3348" w:name="_Caption9874"/>
      <w:bookmarkStart w:id="3349" w:name="_Caption4520"/>
      <w:bookmarkStart w:id="3350" w:name="_Caption9422"/>
      <w:bookmarkStart w:id="3351" w:name="_Caption4964"/>
      <w:bookmarkStart w:id="3352" w:name="_Caption3719"/>
      <w:bookmarkStart w:id="3353" w:name="_Caption4296"/>
      <w:bookmarkStart w:id="3354" w:name="_Caption6058"/>
      <w:bookmarkStart w:id="3355" w:name="_Caption8272"/>
      <w:bookmarkStart w:id="3356" w:name="_Caption0366"/>
      <w:bookmarkStart w:id="3357" w:name="_Caption6870"/>
      <w:bookmarkStart w:id="3358" w:name="_Caption9045"/>
      <w:bookmarkStart w:id="3359" w:name="_Toc19275600"/>
      <w:bookmarkStart w:id="3360" w:name="_Toc19276210"/>
      <w:bookmarkStart w:id="3361" w:name="_Toc19280209"/>
      <w:r w:rsidR="00C353B5">
        <w:rPr>
          <w:noProof/>
        </w:rPr>
        <w:t>5</w:t>
      </w:r>
      <w:r w:rsidR="00C353B5" w:rsidRPr="00695C93">
        <w:rPr>
          <w:noProof/>
        </w:rPr>
        <w:t>.</w:t>
      </w:r>
      <w:r w:rsidR="00C353B5">
        <w:rPr>
          <w:noProof/>
        </w:rPr>
        <w:t>9</w:t>
      </w:r>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r w:rsidRPr="00695C93">
        <w:fldChar w:fldCharType="end"/>
      </w:r>
      <w:r w:rsidRPr="00695C93">
        <w:tab/>
      </w:r>
      <w:r>
        <w:t>Estimated payback period by star rating</w:t>
      </w:r>
      <w:bookmarkEnd w:id="3359"/>
      <w:bookmarkEnd w:id="3360"/>
      <w:bookmarkEnd w:id="3361"/>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57297CDD" w14:textId="77777777" w:rsidTr="00ED0E85">
        <w:trPr>
          <w:cantSplit/>
        </w:trPr>
        <w:tc>
          <w:tcPr>
            <w:tcW w:w="7938" w:type="dxa"/>
            <w:shd w:val="clear" w:color="auto" w:fill="E9E8E5" w:themeFill="background2"/>
          </w:tcPr>
          <w:p w14:paraId="625E4FD5" w14:textId="77777777" w:rsidR="00ED0E85" w:rsidRDefault="00D84794" w:rsidP="00D84794">
            <w:pPr>
              <w:pStyle w:val="Chart"/>
              <w:spacing w:after="120"/>
              <w:jc w:val="center"/>
            </w:pPr>
            <w:r w:rsidRPr="00C72733">
              <w:rPr>
                <w:noProof/>
                <w:lang w:eastAsia="en-AU"/>
              </w:rPr>
              <w:drawing>
                <wp:inline distT="0" distB="0" distL="0" distR="0" wp14:anchorId="57C705A7" wp14:editId="0930B76E">
                  <wp:extent cx="5040630" cy="2454275"/>
                  <wp:effectExtent l="0" t="0" r="0" b="317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040630" cy="2454275"/>
                          </a:xfrm>
                          <a:prstGeom prst="rect">
                            <a:avLst/>
                          </a:prstGeom>
                          <a:noFill/>
                          <a:ln>
                            <a:noFill/>
                          </a:ln>
                        </pic:spPr>
                      </pic:pic>
                    </a:graphicData>
                  </a:graphic>
                </wp:inline>
              </w:drawing>
            </w:r>
          </w:p>
        </w:tc>
      </w:tr>
    </w:tbl>
    <w:p w14:paraId="6DA805FF" w14:textId="58562C4B" w:rsidR="00ED0E85" w:rsidRDefault="00ED0E85" w:rsidP="00ED0E85">
      <w:pPr>
        <w:pStyle w:val="Source"/>
      </w:pPr>
      <w:r>
        <w:rPr>
          <w:i/>
        </w:rPr>
        <w:t>Data source</w:t>
      </w:r>
      <w:r w:rsidRPr="00A67576">
        <w:rPr>
          <w:i/>
        </w:rPr>
        <w:t>:</w:t>
      </w:r>
      <w:r>
        <w:t xml:space="preserve"> Sustainability Victoria and data gathered from a major property groups (see chart </w:t>
      </w:r>
      <w:r w:rsidR="004550CB">
        <w:rPr>
          <w:noProof/>
        </w:rPr>
        <w:fldChar w:fldCharType="begin"/>
      </w:r>
      <w:r w:rsidR="004550CB">
        <w:rPr>
          <w:noProof/>
        </w:rPr>
        <w:instrText xml:space="preserve"> REF _Caption3750 </w:instrText>
      </w:r>
      <w:r w:rsidR="004550CB">
        <w:rPr>
          <w:noProof/>
        </w:rPr>
        <w:fldChar w:fldCharType="separate"/>
      </w:r>
      <w:r w:rsidR="00AD3561">
        <w:rPr>
          <w:noProof/>
        </w:rPr>
        <w:t>5</w:t>
      </w:r>
      <w:r w:rsidR="00AD3561" w:rsidRPr="00695C93">
        <w:rPr>
          <w:noProof/>
        </w:rPr>
        <w:t>.</w:t>
      </w:r>
      <w:r w:rsidR="00AD3561">
        <w:rPr>
          <w:noProof/>
        </w:rPr>
        <w:t>8</w:t>
      </w:r>
      <w:r w:rsidR="004550CB">
        <w:rPr>
          <w:noProof/>
        </w:rPr>
        <w:fldChar w:fldCharType="end"/>
      </w:r>
      <w:r>
        <w:t>).</w:t>
      </w:r>
    </w:p>
    <w:bookmarkEnd w:id="3298"/>
    <w:p w14:paraId="61FAEE10" w14:textId="77777777" w:rsidR="00ED0E85" w:rsidRDefault="00ED0E85" w:rsidP="00ED0E85">
      <w:pPr>
        <w:pStyle w:val="Heading3"/>
        <w:numPr>
          <w:ilvl w:val="2"/>
          <w:numId w:val="5"/>
        </w:numPr>
      </w:pPr>
      <w:r>
        <w:t>Government costs</w:t>
      </w:r>
    </w:p>
    <w:p w14:paraId="728BC156" w14:textId="4BEA7725" w:rsidR="00ED0E85" w:rsidRDefault="00ED0E85" w:rsidP="00ED0E85">
      <w:pPr>
        <w:pStyle w:val="BodyText"/>
      </w:pPr>
      <w:r>
        <w:t>As there are currently no cost recovery arrangements in place, the Australian Government incurs costs administering the CBD Program. Based on estimates provided by DEE, annual operating costs (including operations and compliance costs) are estimated at around $1.7 million (table </w:t>
      </w:r>
      <w:r w:rsidR="004550CB">
        <w:rPr>
          <w:noProof/>
        </w:rPr>
        <w:fldChar w:fldCharType="begin"/>
      </w:r>
      <w:r w:rsidR="004550CB">
        <w:rPr>
          <w:noProof/>
        </w:rPr>
        <w:instrText xml:space="preserve"> REF _Caption8611 </w:instrText>
      </w:r>
      <w:r w:rsidR="004550CB">
        <w:rPr>
          <w:noProof/>
        </w:rPr>
        <w:fldChar w:fldCharType="separate"/>
      </w:r>
      <w:r w:rsidR="00AD3561">
        <w:rPr>
          <w:noProof/>
        </w:rPr>
        <w:t>5</w:t>
      </w:r>
      <w:r w:rsidR="00AD3561" w:rsidRPr="00695C93">
        <w:rPr>
          <w:noProof/>
        </w:rPr>
        <w:t>.</w:t>
      </w:r>
      <w:r w:rsidR="00AD3561">
        <w:rPr>
          <w:noProof/>
        </w:rPr>
        <w:t>10</w:t>
      </w:r>
      <w:r w:rsidR="004550CB">
        <w:rPr>
          <w:noProof/>
        </w:rPr>
        <w:fldChar w:fldCharType="end"/>
      </w:r>
      <w:r>
        <w:t>).</w:t>
      </w:r>
    </w:p>
    <w:p w14:paraId="76850529" w14:textId="343C60D2"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w:instrText>
      </w:r>
      <w:r w:rsidRPr="00695C93">
        <w:fldChar w:fldCharType="separate"/>
      </w:r>
      <w:r w:rsidR="00AD3561">
        <w:rPr>
          <w:noProof/>
        </w:rPr>
        <w:instrText>5</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5</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10</w:instrText>
      </w:r>
      <w:r w:rsidRPr="00695C93">
        <w:fldChar w:fldCharType="end"/>
      </w:r>
      <w:r w:rsidRPr="00695C93">
        <w:instrText xml:space="preserve">" "" </w:instrText>
      </w:r>
      <w:r w:rsidRPr="00695C93">
        <w:fldChar w:fldCharType="separate"/>
      </w:r>
      <w:bookmarkStart w:id="3362" w:name="_Caption2055"/>
      <w:bookmarkStart w:id="3363" w:name="_Caption6935"/>
      <w:bookmarkStart w:id="3364" w:name="_Caption3650"/>
      <w:bookmarkStart w:id="3365" w:name="_Caption8488"/>
      <w:bookmarkStart w:id="3366" w:name="_Caption4289"/>
      <w:bookmarkStart w:id="3367" w:name="_Caption1664"/>
      <w:bookmarkStart w:id="3368" w:name="_Caption9471"/>
      <w:bookmarkStart w:id="3369" w:name="_Caption3215"/>
      <w:bookmarkStart w:id="3370" w:name="_Caption7878"/>
      <w:bookmarkStart w:id="3371" w:name="_Caption2751"/>
      <w:bookmarkStart w:id="3372" w:name="_Caption0862"/>
      <w:bookmarkStart w:id="3373" w:name="_Caption2121"/>
      <w:bookmarkStart w:id="3374" w:name="_Caption0122"/>
      <w:bookmarkStart w:id="3375" w:name="_Caption6123"/>
      <w:bookmarkStart w:id="3376" w:name="_Caption7280"/>
      <w:bookmarkStart w:id="3377" w:name="_Caption7008"/>
      <w:bookmarkStart w:id="3378" w:name="_Caption7103"/>
      <w:bookmarkStart w:id="3379" w:name="_Caption3246"/>
      <w:bookmarkStart w:id="3380" w:name="_Caption6357"/>
      <w:bookmarkStart w:id="3381" w:name="_Caption2941"/>
      <w:bookmarkStart w:id="3382" w:name="_Caption9103"/>
      <w:bookmarkStart w:id="3383" w:name="_Caption9842"/>
      <w:bookmarkStart w:id="3384" w:name="_Caption6018"/>
      <w:bookmarkStart w:id="3385" w:name="_Caption8423"/>
      <w:bookmarkStart w:id="3386" w:name="_Caption4226"/>
      <w:bookmarkStart w:id="3387" w:name="_Caption3096"/>
      <w:bookmarkStart w:id="3388" w:name="_Caption9245"/>
      <w:bookmarkStart w:id="3389" w:name="_Caption7701"/>
      <w:bookmarkStart w:id="3390" w:name="_Caption6747"/>
      <w:bookmarkStart w:id="3391" w:name="_Caption0746"/>
      <w:bookmarkStart w:id="3392" w:name="_Caption3411"/>
      <w:bookmarkStart w:id="3393" w:name="_Caption0286"/>
      <w:bookmarkStart w:id="3394" w:name="_Caption8735"/>
      <w:bookmarkStart w:id="3395" w:name="_Caption6402"/>
      <w:bookmarkStart w:id="3396" w:name="_Caption2176"/>
      <w:bookmarkStart w:id="3397" w:name="_Caption7815"/>
      <w:bookmarkStart w:id="3398" w:name="_Caption9075"/>
      <w:bookmarkStart w:id="3399" w:name="_Caption8611"/>
      <w:bookmarkStart w:id="3400" w:name="_Caption2612"/>
      <w:bookmarkStart w:id="3401" w:name="_Caption8516"/>
      <w:bookmarkStart w:id="3402" w:name="_Caption2755"/>
      <w:bookmarkStart w:id="3403" w:name="_Caption5091"/>
      <w:bookmarkStart w:id="3404" w:name="_Caption7522"/>
      <w:bookmarkStart w:id="3405" w:name="_Caption8689"/>
      <w:bookmarkStart w:id="3406" w:name="_Caption9188"/>
      <w:bookmarkStart w:id="3407" w:name="_Caption3900"/>
      <w:bookmarkStart w:id="3408" w:name="_Caption6487"/>
      <w:bookmarkStart w:id="3409" w:name="_Caption8420"/>
      <w:bookmarkStart w:id="3410" w:name="_Caption9805"/>
      <w:bookmarkStart w:id="3411" w:name="_Caption9427"/>
      <w:bookmarkStart w:id="3412" w:name="_Caption4546"/>
      <w:bookmarkStart w:id="3413" w:name="_Caption1714"/>
      <w:bookmarkStart w:id="3414" w:name="_Caption5202"/>
      <w:bookmarkStart w:id="3415" w:name="_Caption0459"/>
      <w:bookmarkStart w:id="3416" w:name="_Caption0888"/>
      <w:bookmarkStart w:id="3417" w:name="_Caption1439"/>
      <w:bookmarkStart w:id="3418" w:name="_Caption2442"/>
      <w:bookmarkStart w:id="3419" w:name="_Caption9697"/>
      <w:bookmarkStart w:id="3420" w:name="_Caption6040"/>
      <w:bookmarkStart w:id="3421" w:name="_Caption6540"/>
      <w:bookmarkStart w:id="3422" w:name="_Caption6773"/>
      <w:bookmarkStart w:id="3423" w:name="_Caption5395"/>
      <w:bookmarkStart w:id="3424" w:name="_Caption9937"/>
      <w:bookmarkStart w:id="3425" w:name="_Caption8039"/>
      <w:bookmarkStart w:id="3426" w:name="_Caption0835"/>
      <w:bookmarkStart w:id="3427" w:name="_Caption8980"/>
      <w:bookmarkStart w:id="3428" w:name="_Caption0557"/>
      <w:bookmarkStart w:id="3429" w:name="_Caption1358"/>
      <w:bookmarkStart w:id="3430" w:name="_Caption6135"/>
      <w:bookmarkStart w:id="3431" w:name="_Caption6418"/>
      <w:bookmarkStart w:id="3432" w:name="_Caption0397"/>
      <w:bookmarkStart w:id="3433" w:name="_Caption1277"/>
      <w:bookmarkStart w:id="3434" w:name="_Caption6388"/>
      <w:bookmarkStart w:id="3435" w:name="_Caption6697"/>
      <w:bookmarkStart w:id="3436" w:name="_Caption1782"/>
      <w:bookmarkStart w:id="3437" w:name="_Toc19275601"/>
      <w:bookmarkStart w:id="3438" w:name="_Toc19276211"/>
      <w:bookmarkStart w:id="3439" w:name="_Toc19280210"/>
      <w:r w:rsidR="00C353B5">
        <w:rPr>
          <w:noProof/>
        </w:rPr>
        <w:t>5</w:t>
      </w:r>
      <w:r w:rsidR="00C353B5" w:rsidRPr="00695C93">
        <w:rPr>
          <w:noProof/>
        </w:rPr>
        <w:t>.</w:t>
      </w:r>
      <w:r w:rsidR="00C353B5">
        <w:rPr>
          <w:noProof/>
        </w:rPr>
        <w:t>10</w:t>
      </w:r>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r w:rsidRPr="00695C93">
        <w:fldChar w:fldCharType="end"/>
      </w:r>
      <w:r w:rsidRPr="00695C93">
        <w:tab/>
      </w:r>
      <w:r>
        <w:t>Annual operating costs</w:t>
      </w:r>
      <w:bookmarkEnd w:id="3437"/>
      <w:bookmarkEnd w:id="3438"/>
      <w:bookmarkEnd w:id="3439"/>
    </w:p>
    <w:tbl>
      <w:tblPr>
        <w:tblW w:w="0" w:type="auto"/>
        <w:tblLayout w:type="fixed"/>
        <w:tblLook w:val="0000" w:firstRow="0" w:lastRow="0" w:firstColumn="0" w:lastColumn="0" w:noHBand="0" w:noVBand="0"/>
      </w:tblPr>
      <w:tblGrid>
        <w:gridCol w:w="5533"/>
        <w:gridCol w:w="2404"/>
      </w:tblGrid>
      <w:tr w:rsidR="00ED0E85" w14:paraId="716CBE40" w14:textId="77777777" w:rsidTr="00ED0E85">
        <w:trPr>
          <w:trHeight w:val="230"/>
          <w:tblHeader/>
        </w:trPr>
        <w:tc>
          <w:tcPr>
            <w:tcW w:w="5533" w:type="dxa"/>
            <w:shd w:val="clear" w:color="auto" w:fill="6F6652"/>
            <w:tcMar>
              <w:left w:w="57" w:type="dxa"/>
              <w:right w:w="57" w:type="dxa"/>
            </w:tcMar>
          </w:tcPr>
          <w:p w14:paraId="6823FF16" w14:textId="77777777" w:rsidR="00ED0E85" w:rsidRDefault="00ED0E85" w:rsidP="00ED0E85">
            <w:pPr>
              <w:pStyle w:val="TableDataColumnHeading"/>
              <w:jc w:val="left"/>
              <w:rPr>
                <w:lang w:val="en-GB"/>
              </w:rPr>
            </w:pPr>
          </w:p>
        </w:tc>
        <w:tc>
          <w:tcPr>
            <w:tcW w:w="2404" w:type="dxa"/>
            <w:shd w:val="clear" w:color="auto" w:fill="6F6652"/>
            <w:tcMar>
              <w:left w:w="57" w:type="dxa"/>
              <w:right w:w="57" w:type="dxa"/>
            </w:tcMar>
          </w:tcPr>
          <w:p w14:paraId="47FDDF4F" w14:textId="77777777" w:rsidR="00ED0E85" w:rsidRDefault="00ED0E85" w:rsidP="00ED0E85">
            <w:pPr>
              <w:pStyle w:val="TableDataColumnHeading"/>
              <w:rPr>
                <w:lang w:val="en-GB"/>
              </w:rPr>
            </w:pPr>
            <w:r>
              <w:rPr>
                <w:lang w:val="en-GB"/>
              </w:rPr>
              <w:t>Annual costs</w:t>
            </w:r>
          </w:p>
        </w:tc>
      </w:tr>
      <w:tr w:rsidR="00ED0E85" w14:paraId="43F23A3D" w14:textId="77777777" w:rsidTr="00ED0E85">
        <w:trPr>
          <w:trHeight w:val="230"/>
          <w:tblHeader/>
        </w:trPr>
        <w:tc>
          <w:tcPr>
            <w:tcW w:w="5533" w:type="dxa"/>
            <w:tcBorders>
              <w:bottom w:val="single" w:sz="8" w:space="0" w:color="FFFFFF" w:themeColor="background1"/>
            </w:tcBorders>
            <w:shd w:val="clear" w:color="auto" w:fill="auto"/>
            <w:tcMar>
              <w:left w:w="57" w:type="dxa"/>
              <w:right w:w="57" w:type="dxa"/>
            </w:tcMar>
          </w:tcPr>
          <w:p w14:paraId="73CB944F" w14:textId="77777777" w:rsidR="00ED0E85" w:rsidRDefault="00ED0E85" w:rsidP="00ED0E85">
            <w:pPr>
              <w:pStyle w:val="TableUnit"/>
              <w:jc w:val="left"/>
              <w:rPr>
                <w:lang w:val="en-GB"/>
              </w:rPr>
            </w:pPr>
          </w:p>
        </w:tc>
        <w:tc>
          <w:tcPr>
            <w:tcW w:w="2404" w:type="dxa"/>
            <w:tcBorders>
              <w:bottom w:val="single" w:sz="8" w:space="0" w:color="FFFFFF" w:themeColor="background1"/>
            </w:tcBorders>
            <w:shd w:val="clear" w:color="auto" w:fill="auto"/>
            <w:tcMar>
              <w:left w:w="57" w:type="dxa"/>
              <w:right w:w="57" w:type="dxa"/>
            </w:tcMar>
          </w:tcPr>
          <w:p w14:paraId="64058CAA" w14:textId="77777777" w:rsidR="00ED0E85" w:rsidRDefault="00ED0E85" w:rsidP="00ED0E85">
            <w:pPr>
              <w:pStyle w:val="TableUnit"/>
              <w:rPr>
                <w:lang w:val="en-GB"/>
              </w:rPr>
            </w:pPr>
            <w:r>
              <w:rPr>
                <w:lang w:val="en-GB"/>
              </w:rPr>
              <w:t>$ million</w:t>
            </w:r>
          </w:p>
        </w:tc>
      </w:tr>
      <w:tr w:rsidR="00ED0E85" w14:paraId="1A872E62" w14:textId="77777777" w:rsidTr="00ED0E85">
        <w:trPr>
          <w:trHeight w:val="230"/>
        </w:trPr>
        <w:tc>
          <w:tcPr>
            <w:tcW w:w="55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B0FFE4" w14:textId="77777777" w:rsidR="00ED0E85" w:rsidRDefault="00ED0E85" w:rsidP="00ED0E85">
            <w:pPr>
              <w:pStyle w:val="TableDataEntries"/>
              <w:jc w:val="left"/>
              <w:rPr>
                <w:lang w:val="en-GB"/>
              </w:rPr>
            </w:pPr>
            <w:r>
              <w:rPr>
                <w:lang w:val="en-GB"/>
              </w:rPr>
              <w:t>Staff costs - operations</w:t>
            </w:r>
          </w:p>
        </w:tc>
        <w:tc>
          <w:tcPr>
            <w:tcW w:w="24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559D7B" w14:textId="77777777" w:rsidR="00ED0E85" w:rsidRDefault="00ED0E85" w:rsidP="00ED0E85">
            <w:pPr>
              <w:pStyle w:val="TableDataEntries"/>
              <w:rPr>
                <w:lang w:val="en-GB"/>
              </w:rPr>
            </w:pPr>
            <w:r>
              <w:rPr>
                <w:lang w:val="en-GB"/>
              </w:rPr>
              <w:t xml:space="preserve"> 592 784</w:t>
            </w:r>
          </w:p>
        </w:tc>
      </w:tr>
      <w:tr w:rsidR="00ED0E85" w14:paraId="01259420" w14:textId="77777777" w:rsidTr="00ED0E85">
        <w:trPr>
          <w:trHeight w:val="230"/>
        </w:trPr>
        <w:tc>
          <w:tcPr>
            <w:tcW w:w="55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0B3001" w14:textId="77777777" w:rsidR="00ED0E85" w:rsidRDefault="00ED0E85" w:rsidP="00ED0E85">
            <w:pPr>
              <w:pStyle w:val="TableDataEntries"/>
              <w:jc w:val="left"/>
              <w:rPr>
                <w:lang w:val="en-GB"/>
              </w:rPr>
            </w:pPr>
            <w:r>
              <w:rPr>
                <w:lang w:val="en-GB"/>
              </w:rPr>
              <w:t>Staff costs - compliance</w:t>
            </w:r>
          </w:p>
        </w:tc>
        <w:tc>
          <w:tcPr>
            <w:tcW w:w="24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3D7E5C" w14:textId="77777777" w:rsidR="00ED0E85" w:rsidRDefault="00ED0E85" w:rsidP="00ED0E85">
            <w:pPr>
              <w:pStyle w:val="TableDataEntries"/>
              <w:rPr>
                <w:lang w:val="en-GB"/>
              </w:rPr>
            </w:pPr>
            <w:r>
              <w:rPr>
                <w:lang w:val="en-GB"/>
              </w:rPr>
              <w:t xml:space="preserve"> 370 228</w:t>
            </w:r>
          </w:p>
        </w:tc>
      </w:tr>
      <w:tr w:rsidR="00ED0E85" w14:paraId="49274B48" w14:textId="77777777" w:rsidTr="00ED0E85">
        <w:trPr>
          <w:trHeight w:val="230"/>
        </w:trPr>
        <w:tc>
          <w:tcPr>
            <w:tcW w:w="55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B0371D" w14:textId="77777777" w:rsidR="00ED0E85" w:rsidRDefault="00ED0E85" w:rsidP="00ED0E85">
            <w:pPr>
              <w:pStyle w:val="TableDataEntries"/>
              <w:jc w:val="left"/>
              <w:rPr>
                <w:lang w:val="en-GB"/>
              </w:rPr>
            </w:pPr>
            <w:r>
              <w:rPr>
                <w:lang w:val="en-GB"/>
              </w:rPr>
              <w:t>ICT support services</w:t>
            </w:r>
          </w:p>
        </w:tc>
        <w:tc>
          <w:tcPr>
            <w:tcW w:w="24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3F22D0" w14:textId="77777777" w:rsidR="00ED0E85" w:rsidRDefault="00ED0E85" w:rsidP="00ED0E85">
            <w:pPr>
              <w:pStyle w:val="TableDataEntries"/>
              <w:rPr>
                <w:lang w:val="en-GB"/>
              </w:rPr>
            </w:pPr>
            <w:r>
              <w:rPr>
                <w:lang w:val="en-GB"/>
              </w:rPr>
              <w:t xml:space="preserve"> 422 982</w:t>
            </w:r>
          </w:p>
        </w:tc>
      </w:tr>
      <w:tr w:rsidR="00ED0E85" w14:paraId="46D4023C" w14:textId="77777777" w:rsidTr="00ED0E85">
        <w:trPr>
          <w:trHeight w:val="230"/>
        </w:trPr>
        <w:tc>
          <w:tcPr>
            <w:tcW w:w="55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7FF6D1" w14:textId="77777777" w:rsidR="00ED0E85" w:rsidRDefault="00ED0E85" w:rsidP="00ED0E85">
            <w:pPr>
              <w:pStyle w:val="TableDataEntries"/>
              <w:jc w:val="left"/>
              <w:rPr>
                <w:lang w:val="en-GB"/>
              </w:rPr>
            </w:pPr>
            <w:r>
              <w:rPr>
                <w:lang w:val="en-GB"/>
              </w:rPr>
              <w:t>CRM System and server hosting costs</w:t>
            </w:r>
          </w:p>
        </w:tc>
        <w:tc>
          <w:tcPr>
            <w:tcW w:w="24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2C7010" w14:textId="77777777" w:rsidR="00ED0E85" w:rsidRDefault="00ED0E85" w:rsidP="00ED0E85">
            <w:pPr>
              <w:pStyle w:val="TableDataEntries"/>
              <w:rPr>
                <w:lang w:val="en-GB"/>
              </w:rPr>
            </w:pPr>
            <w:r>
              <w:rPr>
                <w:lang w:val="en-GB"/>
              </w:rPr>
              <w:t xml:space="preserve"> 228 956</w:t>
            </w:r>
          </w:p>
        </w:tc>
      </w:tr>
      <w:tr w:rsidR="00ED0E85" w14:paraId="581E1426" w14:textId="77777777" w:rsidTr="00ED0E85">
        <w:trPr>
          <w:trHeight w:val="230"/>
        </w:trPr>
        <w:tc>
          <w:tcPr>
            <w:tcW w:w="55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668B44" w14:textId="77777777" w:rsidR="00ED0E85" w:rsidRDefault="00ED0E85" w:rsidP="00ED0E85">
            <w:pPr>
              <w:pStyle w:val="TableDataEntries"/>
              <w:jc w:val="left"/>
              <w:rPr>
                <w:lang w:val="en-GB"/>
              </w:rPr>
            </w:pPr>
            <w:r>
              <w:rPr>
                <w:lang w:val="en-GB"/>
              </w:rPr>
              <w:t>Website hosting costs</w:t>
            </w:r>
          </w:p>
        </w:tc>
        <w:tc>
          <w:tcPr>
            <w:tcW w:w="24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F996E1" w14:textId="77777777" w:rsidR="00ED0E85" w:rsidRDefault="00ED0E85" w:rsidP="00ED0E85">
            <w:pPr>
              <w:pStyle w:val="TableDataEntries"/>
              <w:rPr>
                <w:lang w:val="en-GB"/>
              </w:rPr>
            </w:pPr>
            <w:r>
              <w:rPr>
                <w:lang w:val="en-GB"/>
              </w:rPr>
              <w:t xml:space="preserve"> 22 370</w:t>
            </w:r>
          </w:p>
        </w:tc>
      </w:tr>
      <w:tr w:rsidR="00ED0E85" w14:paraId="1B1A45DD" w14:textId="77777777" w:rsidTr="00ED0E85">
        <w:trPr>
          <w:trHeight w:val="230"/>
        </w:trPr>
        <w:tc>
          <w:tcPr>
            <w:tcW w:w="55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F7CA8D" w14:textId="77777777" w:rsidR="00ED0E85" w:rsidRDefault="00ED0E85" w:rsidP="00ED0E85">
            <w:pPr>
              <w:pStyle w:val="TableDataEntries"/>
              <w:jc w:val="left"/>
              <w:rPr>
                <w:lang w:val="en-GB"/>
              </w:rPr>
            </w:pPr>
            <w:r>
              <w:rPr>
                <w:lang w:val="en-GB"/>
              </w:rPr>
              <w:t>Geocoding address validation services</w:t>
            </w:r>
          </w:p>
        </w:tc>
        <w:tc>
          <w:tcPr>
            <w:tcW w:w="24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224769" w14:textId="77777777" w:rsidR="00ED0E85" w:rsidRDefault="00ED0E85" w:rsidP="00ED0E85">
            <w:pPr>
              <w:pStyle w:val="TableDataEntries"/>
              <w:rPr>
                <w:lang w:val="en-GB"/>
              </w:rPr>
            </w:pPr>
            <w:r>
              <w:rPr>
                <w:lang w:val="en-GB"/>
              </w:rPr>
              <w:t xml:space="preserve"> 21 000</w:t>
            </w:r>
          </w:p>
        </w:tc>
      </w:tr>
      <w:tr w:rsidR="00ED0E85" w14:paraId="10F9D34F" w14:textId="77777777" w:rsidTr="00ED0E85">
        <w:trPr>
          <w:trHeight w:val="230"/>
        </w:trPr>
        <w:tc>
          <w:tcPr>
            <w:tcW w:w="55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F6E409" w14:textId="77777777" w:rsidR="00ED0E85" w:rsidRDefault="00ED0E85" w:rsidP="00ED0E85">
            <w:pPr>
              <w:pStyle w:val="TableDataEntries"/>
              <w:jc w:val="left"/>
              <w:rPr>
                <w:lang w:val="en-GB"/>
              </w:rPr>
            </w:pPr>
            <w:r>
              <w:rPr>
                <w:lang w:val="en-GB"/>
              </w:rPr>
              <w:t>Assessor training and exams</w:t>
            </w:r>
          </w:p>
        </w:tc>
        <w:tc>
          <w:tcPr>
            <w:tcW w:w="24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970DD0" w14:textId="77777777" w:rsidR="00ED0E85" w:rsidRDefault="00ED0E85" w:rsidP="00ED0E85">
            <w:pPr>
              <w:pStyle w:val="TableDataEntries"/>
              <w:rPr>
                <w:lang w:val="en-GB"/>
              </w:rPr>
            </w:pPr>
            <w:r>
              <w:rPr>
                <w:lang w:val="en-GB"/>
              </w:rPr>
              <w:t xml:space="preserve"> 20 000</w:t>
            </w:r>
          </w:p>
        </w:tc>
      </w:tr>
      <w:tr w:rsidR="00ED0E85" w14:paraId="7F6BA7F6" w14:textId="77777777" w:rsidTr="00ED0E85">
        <w:trPr>
          <w:trHeight w:val="230"/>
        </w:trPr>
        <w:tc>
          <w:tcPr>
            <w:tcW w:w="553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2C4328" w14:textId="77777777" w:rsidR="00ED0E85" w:rsidRDefault="00ED0E85" w:rsidP="00ED0E85">
            <w:pPr>
              <w:pStyle w:val="TableDataEntries"/>
              <w:jc w:val="left"/>
              <w:rPr>
                <w:lang w:val="en-GB"/>
              </w:rPr>
            </w:pPr>
            <w:r>
              <w:rPr>
                <w:lang w:val="en-GB"/>
              </w:rPr>
              <w:t>Assessor conference (biennial)</w:t>
            </w:r>
            <w:r w:rsidRPr="00BB1182">
              <w:rPr>
                <w:rStyle w:val="NoteLabel"/>
              </w:rPr>
              <w:t>a</w:t>
            </w:r>
          </w:p>
        </w:tc>
        <w:tc>
          <w:tcPr>
            <w:tcW w:w="24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193DFB" w14:textId="77777777" w:rsidR="00ED0E85" w:rsidRDefault="00ED0E85" w:rsidP="00ED0E85">
            <w:pPr>
              <w:pStyle w:val="TableDataEntries"/>
              <w:rPr>
                <w:lang w:val="en-GB"/>
              </w:rPr>
            </w:pPr>
            <w:r>
              <w:rPr>
                <w:lang w:val="en-GB"/>
              </w:rPr>
              <w:t xml:space="preserve"> 25 000</w:t>
            </w:r>
          </w:p>
        </w:tc>
      </w:tr>
      <w:tr w:rsidR="00ED0E85" w:rsidRPr="001644F0" w14:paraId="72D74135" w14:textId="77777777" w:rsidTr="00ED0E85">
        <w:trPr>
          <w:trHeight w:val="230"/>
        </w:trPr>
        <w:tc>
          <w:tcPr>
            <w:tcW w:w="553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0178A24" w14:textId="77777777" w:rsidR="00ED0E85" w:rsidRPr="001644F0" w:rsidRDefault="00ED0E85" w:rsidP="00ED0E85">
            <w:pPr>
              <w:pStyle w:val="TableDataEntries"/>
              <w:jc w:val="left"/>
              <w:rPr>
                <w:rFonts w:ascii="Franklin Gothic Demi" w:hAnsi="Franklin Gothic Demi"/>
                <w:lang w:val="en-GB"/>
              </w:rPr>
            </w:pPr>
            <w:r w:rsidRPr="001644F0">
              <w:rPr>
                <w:rFonts w:ascii="Franklin Gothic Demi" w:hAnsi="Franklin Gothic Demi"/>
                <w:lang w:val="en-GB"/>
              </w:rPr>
              <w:t>Total operating costs</w:t>
            </w:r>
          </w:p>
        </w:tc>
        <w:tc>
          <w:tcPr>
            <w:tcW w:w="240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21B7800" w14:textId="77777777" w:rsidR="00ED0E85" w:rsidRPr="001644F0" w:rsidRDefault="00ED0E85" w:rsidP="00ED0E85">
            <w:pPr>
              <w:pStyle w:val="TableDataEntries"/>
              <w:rPr>
                <w:rFonts w:ascii="Franklin Gothic Demi" w:hAnsi="Franklin Gothic Demi"/>
                <w:lang w:val="en-GB"/>
              </w:rPr>
            </w:pPr>
            <w:r w:rsidRPr="001644F0">
              <w:rPr>
                <w:rFonts w:ascii="Franklin Gothic Demi" w:hAnsi="Franklin Gothic Demi"/>
                <w:lang w:val="en-GB"/>
              </w:rPr>
              <w:t>1 703 320</w:t>
            </w:r>
          </w:p>
        </w:tc>
      </w:tr>
    </w:tbl>
    <w:p w14:paraId="46ED8AB6" w14:textId="77777777" w:rsidR="00ED0E85" w:rsidRDefault="00ED0E85" w:rsidP="00ED0E85">
      <w:pPr>
        <w:pStyle w:val="Note"/>
      </w:pPr>
      <w:r w:rsidRPr="00E4232C">
        <w:rPr>
          <w:rStyle w:val="NoteLabel"/>
        </w:rPr>
        <w:t>a</w:t>
      </w:r>
      <w:r>
        <w:t xml:space="preserve"> DEE estimates that the cost of each conference is around $50 000 every two years. We therefore assume an average annual cost of $25 000 per year.</w:t>
      </w:r>
    </w:p>
    <w:p w14:paraId="21EF4DA6" w14:textId="77777777" w:rsidR="00ED0E85" w:rsidRDefault="00ED0E85" w:rsidP="00ED0E85">
      <w:pPr>
        <w:pStyle w:val="Source"/>
      </w:pPr>
      <w:r>
        <w:rPr>
          <w:i/>
        </w:rPr>
        <w:t>Source</w:t>
      </w:r>
      <w:r w:rsidRPr="00E4232C">
        <w:rPr>
          <w:i/>
        </w:rPr>
        <w:t>:</w:t>
      </w:r>
      <w:r>
        <w:t xml:space="preserve"> Department of the Environment and Energy.</w:t>
      </w:r>
    </w:p>
    <w:p w14:paraId="7482917F" w14:textId="77777777" w:rsidR="00ED0E85" w:rsidRDefault="00ED0E85" w:rsidP="00ED0E85">
      <w:pPr>
        <w:pStyle w:val="BodyText"/>
      </w:pPr>
      <w:r>
        <w:t>In addition, DEE advised that it has/will incur capital costs relating to:</w:t>
      </w:r>
    </w:p>
    <w:p w14:paraId="5014BE2E" w14:textId="77777777" w:rsidR="00ED0E85" w:rsidRDefault="00ED0E85" w:rsidP="00ED0E85">
      <w:pPr>
        <w:pStyle w:val="ListBullet"/>
      </w:pPr>
      <w:r>
        <w:t>minor IT capital upgrades (in 2017</w:t>
      </w:r>
      <w:r>
        <w:noBreakHyphen/>
        <w:t>18 and 2018</w:t>
      </w:r>
      <w:r>
        <w:noBreakHyphen/>
        <w:t>19); and</w:t>
      </w:r>
    </w:p>
    <w:p w14:paraId="46D0CD17" w14:textId="77777777" w:rsidR="00ED0E85" w:rsidRDefault="00ED0E85" w:rsidP="00ED0E85">
      <w:pPr>
        <w:pStyle w:val="ListBullet"/>
      </w:pPr>
      <w:r>
        <w:t>a major redevelopment of the IT system.</w:t>
      </w:r>
    </w:p>
    <w:p w14:paraId="5358D827" w14:textId="44308741" w:rsidR="00ED0E85" w:rsidRDefault="00ED0E85" w:rsidP="00ED0E85">
      <w:pPr>
        <w:pStyle w:val="BodyText"/>
      </w:pPr>
      <w:r>
        <w:t>These costs have been annualised by amortising them over a five</w:t>
      </w:r>
      <w:r>
        <w:noBreakHyphen/>
        <w:t>year period (using a discount rate of 7 per cent) and included from the year from which they were incurred (table </w:t>
      </w:r>
      <w:r w:rsidR="004550CB">
        <w:rPr>
          <w:noProof/>
        </w:rPr>
        <w:fldChar w:fldCharType="begin"/>
      </w:r>
      <w:r w:rsidR="004550CB">
        <w:rPr>
          <w:noProof/>
        </w:rPr>
        <w:instrText xml:space="preserve"> REF _Caption6361 </w:instrText>
      </w:r>
      <w:r w:rsidR="004550CB">
        <w:rPr>
          <w:noProof/>
        </w:rPr>
        <w:fldChar w:fldCharType="separate"/>
      </w:r>
      <w:r w:rsidR="00AD3561">
        <w:rPr>
          <w:noProof/>
        </w:rPr>
        <w:t>5</w:t>
      </w:r>
      <w:r w:rsidR="00AD3561" w:rsidRPr="00695C93">
        <w:rPr>
          <w:noProof/>
        </w:rPr>
        <w:t>.</w:t>
      </w:r>
      <w:r w:rsidR="00AD3561">
        <w:rPr>
          <w:noProof/>
        </w:rPr>
        <w:t>11</w:t>
      </w:r>
      <w:r w:rsidR="004550CB">
        <w:rPr>
          <w:noProof/>
        </w:rPr>
        <w:fldChar w:fldCharType="end"/>
      </w:r>
      <w:r>
        <w:t>).</w:t>
      </w:r>
    </w:p>
    <w:p w14:paraId="1269201F" w14:textId="7987A396"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w:instrText>
      </w:r>
      <w:r w:rsidRPr="00695C93">
        <w:fldChar w:fldCharType="separate"/>
      </w:r>
      <w:r w:rsidR="00AD3561">
        <w:rPr>
          <w:noProof/>
        </w:rPr>
        <w:instrText>5</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5</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5</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11</w:instrText>
      </w:r>
      <w:r w:rsidRPr="00695C93">
        <w:fldChar w:fldCharType="end"/>
      </w:r>
      <w:r w:rsidRPr="00695C93">
        <w:instrText xml:space="preserve">" "" </w:instrText>
      </w:r>
      <w:r w:rsidRPr="00695C93">
        <w:fldChar w:fldCharType="separate"/>
      </w:r>
      <w:bookmarkStart w:id="3440" w:name="_Caption2162"/>
      <w:bookmarkStart w:id="3441" w:name="_Caption3229"/>
      <w:bookmarkStart w:id="3442" w:name="_Caption4611"/>
      <w:bookmarkStart w:id="3443" w:name="_Caption1424"/>
      <w:bookmarkStart w:id="3444" w:name="_Caption7788"/>
      <w:bookmarkStart w:id="3445" w:name="_Caption0223"/>
      <w:bookmarkStart w:id="3446" w:name="_Caption3446"/>
      <w:bookmarkStart w:id="3447" w:name="_Caption9506"/>
      <w:bookmarkStart w:id="3448" w:name="_Caption8759"/>
      <w:bookmarkStart w:id="3449" w:name="_Caption7812"/>
      <w:bookmarkStart w:id="3450" w:name="_Caption5267"/>
      <w:bookmarkStart w:id="3451" w:name="_Caption9941"/>
      <w:bookmarkStart w:id="3452" w:name="_Caption7864"/>
      <w:bookmarkStart w:id="3453" w:name="_Caption1183"/>
      <w:bookmarkStart w:id="3454" w:name="_Caption2194"/>
      <w:bookmarkStart w:id="3455" w:name="_Caption0360"/>
      <w:bookmarkStart w:id="3456" w:name="_Caption6675"/>
      <w:bookmarkStart w:id="3457" w:name="_Caption3688"/>
      <w:bookmarkStart w:id="3458" w:name="_Caption7595"/>
      <w:bookmarkStart w:id="3459" w:name="_Caption0565"/>
      <w:bookmarkStart w:id="3460" w:name="_Caption2200"/>
      <w:bookmarkStart w:id="3461" w:name="_Caption0630"/>
      <w:bookmarkStart w:id="3462" w:name="_Caption2453"/>
      <w:bookmarkStart w:id="3463" w:name="_Caption0773"/>
      <w:bookmarkStart w:id="3464" w:name="_Caption4956"/>
      <w:bookmarkStart w:id="3465" w:name="_Caption1866"/>
      <w:bookmarkStart w:id="3466" w:name="_Caption5425"/>
      <w:bookmarkStart w:id="3467" w:name="_Caption1746"/>
      <w:bookmarkStart w:id="3468" w:name="_Caption1292"/>
      <w:bookmarkStart w:id="3469" w:name="_Caption9998"/>
      <w:bookmarkStart w:id="3470" w:name="_Caption6361"/>
      <w:bookmarkStart w:id="3471" w:name="_Caption4009"/>
      <w:bookmarkStart w:id="3472" w:name="_Caption3264"/>
      <w:bookmarkStart w:id="3473" w:name="_Caption6392"/>
      <w:bookmarkStart w:id="3474" w:name="_Caption2112"/>
      <w:bookmarkStart w:id="3475" w:name="_Caption7425"/>
      <w:bookmarkStart w:id="3476" w:name="_Caption5485"/>
      <w:bookmarkStart w:id="3477" w:name="_Caption5825"/>
      <w:bookmarkStart w:id="3478" w:name="_Caption3861"/>
      <w:bookmarkStart w:id="3479" w:name="_Caption3460"/>
      <w:bookmarkStart w:id="3480" w:name="_Caption1971"/>
      <w:bookmarkStart w:id="3481" w:name="_Caption8450"/>
      <w:bookmarkStart w:id="3482" w:name="_Caption2907"/>
      <w:bookmarkStart w:id="3483" w:name="_Caption5796"/>
      <w:bookmarkStart w:id="3484" w:name="_Caption0660"/>
      <w:bookmarkStart w:id="3485" w:name="_Caption4364"/>
      <w:bookmarkStart w:id="3486" w:name="_Caption8184"/>
      <w:bookmarkStart w:id="3487" w:name="_Caption9365"/>
      <w:bookmarkStart w:id="3488" w:name="_Caption5945"/>
      <w:bookmarkStart w:id="3489" w:name="_Caption4176"/>
      <w:bookmarkStart w:id="3490" w:name="_Caption5090"/>
      <w:bookmarkStart w:id="3491" w:name="_Caption0040"/>
      <w:bookmarkStart w:id="3492" w:name="_Caption5737"/>
      <w:bookmarkStart w:id="3493" w:name="_Caption7314"/>
      <w:bookmarkStart w:id="3494" w:name="_Caption7992"/>
      <w:bookmarkStart w:id="3495" w:name="_Caption1676"/>
      <w:bookmarkStart w:id="3496" w:name="_Caption5323"/>
      <w:bookmarkStart w:id="3497" w:name="_Caption5509"/>
      <w:bookmarkStart w:id="3498" w:name="_Caption3196"/>
      <w:bookmarkStart w:id="3499" w:name="_Caption0915"/>
      <w:bookmarkStart w:id="3500" w:name="_Caption2625"/>
      <w:bookmarkStart w:id="3501" w:name="_Caption9115"/>
      <w:bookmarkStart w:id="3502" w:name="_Caption0004"/>
      <w:bookmarkStart w:id="3503" w:name="_Caption5846"/>
      <w:bookmarkStart w:id="3504" w:name="_Caption6320"/>
      <w:bookmarkStart w:id="3505" w:name="_Toc19275602"/>
      <w:bookmarkStart w:id="3506" w:name="_Toc19276212"/>
      <w:bookmarkStart w:id="3507" w:name="_Toc19280211"/>
      <w:r w:rsidR="00C353B5">
        <w:rPr>
          <w:noProof/>
        </w:rPr>
        <w:t>5</w:t>
      </w:r>
      <w:r w:rsidR="00C353B5" w:rsidRPr="00695C93">
        <w:rPr>
          <w:noProof/>
        </w:rPr>
        <w:t>.</w:t>
      </w:r>
      <w:r w:rsidR="00C353B5">
        <w:rPr>
          <w:noProof/>
        </w:rPr>
        <w:t>11</w:t>
      </w:r>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r w:rsidRPr="00695C93">
        <w:fldChar w:fldCharType="end"/>
      </w:r>
      <w:r w:rsidRPr="00695C93">
        <w:tab/>
      </w:r>
      <w:r>
        <w:t>Summary of capital costs</w:t>
      </w:r>
      <w:bookmarkEnd w:id="3505"/>
      <w:bookmarkEnd w:id="3506"/>
      <w:bookmarkEnd w:id="3507"/>
    </w:p>
    <w:tbl>
      <w:tblPr>
        <w:tblW w:w="7938" w:type="dxa"/>
        <w:tblLayout w:type="fixed"/>
        <w:tblLook w:val="0000" w:firstRow="0" w:lastRow="0" w:firstColumn="0" w:lastColumn="0" w:noHBand="0" w:noVBand="0"/>
      </w:tblPr>
      <w:tblGrid>
        <w:gridCol w:w="4252"/>
        <w:gridCol w:w="1843"/>
        <w:gridCol w:w="1843"/>
      </w:tblGrid>
      <w:tr w:rsidR="00ED0E85" w:rsidRPr="001644F0" w14:paraId="7E675B9F" w14:textId="77777777" w:rsidTr="00ED0E85">
        <w:trPr>
          <w:trHeight w:val="86"/>
        </w:trPr>
        <w:tc>
          <w:tcPr>
            <w:tcW w:w="4252" w:type="dxa"/>
            <w:shd w:val="clear" w:color="auto" w:fill="6F6652"/>
            <w:tcMar>
              <w:left w:w="57" w:type="dxa"/>
              <w:right w:w="57" w:type="dxa"/>
            </w:tcMar>
          </w:tcPr>
          <w:p w14:paraId="6601F178" w14:textId="77777777" w:rsidR="00ED0E85" w:rsidRPr="00C5564B" w:rsidRDefault="00ED0E85" w:rsidP="00ED0E85">
            <w:pPr>
              <w:pStyle w:val="TableDataColumnHeading"/>
              <w:jc w:val="left"/>
              <w:rPr>
                <w:lang w:val="en-GB"/>
              </w:rPr>
            </w:pPr>
          </w:p>
        </w:tc>
        <w:tc>
          <w:tcPr>
            <w:tcW w:w="1843" w:type="dxa"/>
            <w:shd w:val="clear" w:color="auto" w:fill="6F6652"/>
            <w:tcMar>
              <w:left w:w="57" w:type="dxa"/>
              <w:right w:w="57" w:type="dxa"/>
            </w:tcMar>
          </w:tcPr>
          <w:p w14:paraId="739968E0" w14:textId="77777777" w:rsidR="00ED0E85" w:rsidRPr="00C5564B" w:rsidRDefault="00ED0E85" w:rsidP="00ED0E85">
            <w:pPr>
              <w:pStyle w:val="TableDataColumnHeading"/>
              <w:rPr>
                <w:lang w:val="en-GB"/>
              </w:rPr>
            </w:pPr>
            <w:r w:rsidRPr="00C5564B">
              <w:rPr>
                <w:lang w:val="en-GB"/>
              </w:rPr>
              <w:t>Capital cost</w:t>
            </w:r>
          </w:p>
        </w:tc>
        <w:tc>
          <w:tcPr>
            <w:tcW w:w="1843" w:type="dxa"/>
            <w:shd w:val="clear" w:color="auto" w:fill="6F6652"/>
            <w:tcMar>
              <w:left w:w="57" w:type="dxa"/>
              <w:right w:w="57" w:type="dxa"/>
            </w:tcMar>
          </w:tcPr>
          <w:p w14:paraId="5F5942DF" w14:textId="77777777" w:rsidR="00ED0E85" w:rsidRPr="001644F0" w:rsidRDefault="00ED0E85" w:rsidP="00ED0E85">
            <w:pPr>
              <w:pStyle w:val="TableDataColumnHeading"/>
              <w:rPr>
                <w:color w:val="F2F2F2" w:themeColor="background1" w:themeShade="F2"/>
                <w:lang w:val="en-GB"/>
              </w:rPr>
            </w:pPr>
            <w:r w:rsidRPr="001644F0">
              <w:rPr>
                <w:color w:val="F2F2F2" w:themeColor="background1" w:themeShade="F2"/>
                <w:lang w:val="en-GB"/>
              </w:rPr>
              <w:t>Annual amortisation costs</w:t>
            </w:r>
            <w:r w:rsidRPr="001644F0">
              <w:rPr>
                <w:rStyle w:val="NoteLabel"/>
                <w:color w:val="F2F2F2" w:themeColor="background1" w:themeShade="F2"/>
              </w:rPr>
              <w:t>a</w:t>
            </w:r>
          </w:p>
        </w:tc>
      </w:tr>
      <w:tr w:rsidR="00ED0E85" w:rsidRPr="00C5564B" w14:paraId="62F83626" w14:textId="77777777" w:rsidTr="00ED0E85">
        <w:trPr>
          <w:trHeight w:val="230"/>
        </w:trPr>
        <w:tc>
          <w:tcPr>
            <w:tcW w:w="4252" w:type="dxa"/>
            <w:tcBorders>
              <w:bottom w:val="single" w:sz="8" w:space="0" w:color="FFFFFF" w:themeColor="background1"/>
            </w:tcBorders>
            <w:shd w:val="clear" w:color="auto" w:fill="auto"/>
            <w:tcMar>
              <w:left w:w="57" w:type="dxa"/>
              <w:right w:w="57" w:type="dxa"/>
            </w:tcMar>
          </w:tcPr>
          <w:p w14:paraId="5E32D134" w14:textId="77777777" w:rsidR="00ED0E85" w:rsidRPr="00C5564B" w:rsidRDefault="00ED0E85" w:rsidP="00ED0E85">
            <w:pPr>
              <w:pStyle w:val="TableUnit"/>
              <w:jc w:val="left"/>
              <w:rPr>
                <w:lang w:val="en-GB"/>
              </w:rPr>
            </w:pPr>
          </w:p>
        </w:tc>
        <w:tc>
          <w:tcPr>
            <w:tcW w:w="1843" w:type="dxa"/>
            <w:tcBorders>
              <w:bottom w:val="single" w:sz="8" w:space="0" w:color="FFFFFF" w:themeColor="background1"/>
            </w:tcBorders>
            <w:shd w:val="clear" w:color="auto" w:fill="auto"/>
            <w:tcMar>
              <w:left w:w="57" w:type="dxa"/>
              <w:right w:w="57" w:type="dxa"/>
            </w:tcMar>
          </w:tcPr>
          <w:p w14:paraId="5E90AE33" w14:textId="77777777" w:rsidR="00ED0E85" w:rsidRPr="00C5564B" w:rsidRDefault="00ED0E85" w:rsidP="00ED0E85">
            <w:pPr>
              <w:pStyle w:val="TableUnit"/>
              <w:rPr>
                <w:lang w:val="en-GB"/>
              </w:rPr>
            </w:pPr>
            <w:r w:rsidRPr="00C5564B">
              <w:rPr>
                <w:lang w:val="en-GB"/>
              </w:rPr>
              <w:t>$</w:t>
            </w:r>
          </w:p>
        </w:tc>
        <w:tc>
          <w:tcPr>
            <w:tcW w:w="1843" w:type="dxa"/>
            <w:tcBorders>
              <w:bottom w:val="single" w:sz="8" w:space="0" w:color="FFFFFF" w:themeColor="background1"/>
            </w:tcBorders>
            <w:shd w:val="clear" w:color="auto" w:fill="auto"/>
            <w:tcMar>
              <w:left w:w="57" w:type="dxa"/>
              <w:right w:w="57" w:type="dxa"/>
            </w:tcMar>
          </w:tcPr>
          <w:p w14:paraId="6F77D376" w14:textId="77777777" w:rsidR="00ED0E85" w:rsidRPr="00C5564B" w:rsidRDefault="00ED0E85" w:rsidP="00ED0E85">
            <w:pPr>
              <w:pStyle w:val="TableUnit"/>
              <w:rPr>
                <w:lang w:val="en-GB"/>
              </w:rPr>
            </w:pPr>
            <w:r w:rsidRPr="00C5564B">
              <w:rPr>
                <w:lang w:val="en-GB"/>
              </w:rPr>
              <w:t>$</w:t>
            </w:r>
          </w:p>
        </w:tc>
      </w:tr>
      <w:tr w:rsidR="00ED0E85" w:rsidRPr="00C5564B" w14:paraId="4E99BE7A" w14:textId="77777777" w:rsidTr="00ED0E85">
        <w:trPr>
          <w:trHeight w:val="230"/>
        </w:trPr>
        <w:tc>
          <w:tcPr>
            <w:tcW w:w="42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423960" w14:textId="77777777" w:rsidR="00ED0E85" w:rsidRPr="00C5564B" w:rsidRDefault="00ED0E85" w:rsidP="00ED0E85">
            <w:pPr>
              <w:pStyle w:val="TableDataEntries"/>
              <w:jc w:val="left"/>
              <w:rPr>
                <w:lang w:val="en-GB"/>
              </w:rPr>
            </w:pPr>
            <w:r w:rsidRPr="00C5564B">
              <w:rPr>
                <w:lang w:val="en-GB"/>
              </w:rPr>
              <w:t>Minor IT capital upgrades (2017/18)</w:t>
            </w:r>
          </w:p>
        </w:tc>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A01574" w14:textId="77777777" w:rsidR="00ED0E85" w:rsidRPr="00C5564B" w:rsidRDefault="00ED0E85" w:rsidP="00ED0E85">
            <w:pPr>
              <w:pStyle w:val="TableDataEntries"/>
              <w:rPr>
                <w:lang w:val="en-GB"/>
              </w:rPr>
            </w:pPr>
            <w:r w:rsidRPr="00C5564B">
              <w:rPr>
                <w:lang w:val="en-GB"/>
              </w:rPr>
              <w:t xml:space="preserve"> 91 000</w:t>
            </w:r>
          </w:p>
        </w:tc>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63ED78" w14:textId="77777777" w:rsidR="00ED0E85" w:rsidRPr="00C5564B" w:rsidRDefault="00ED0E85" w:rsidP="00ED0E85">
            <w:pPr>
              <w:pStyle w:val="TableDataEntries"/>
              <w:rPr>
                <w:lang w:val="en-GB"/>
              </w:rPr>
            </w:pPr>
            <w:r w:rsidRPr="00C5564B">
              <w:rPr>
                <w:lang w:val="en-GB"/>
              </w:rPr>
              <w:t xml:space="preserve"> 22 194</w:t>
            </w:r>
          </w:p>
        </w:tc>
      </w:tr>
      <w:tr w:rsidR="00ED0E85" w:rsidRPr="00C5564B" w14:paraId="54A53098" w14:textId="77777777" w:rsidTr="00ED0E85">
        <w:trPr>
          <w:trHeight w:val="230"/>
        </w:trPr>
        <w:tc>
          <w:tcPr>
            <w:tcW w:w="42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2D3CC3" w14:textId="77777777" w:rsidR="00ED0E85" w:rsidRPr="00C5564B" w:rsidRDefault="00ED0E85" w:rsidP="00ED0E85">
            <w:pPr>
              <w:pStyle w:val="TableDataEntries"/>
              <w:jc w:val="left"/>
              <w:rPr>
                <w:lang w:val="en-GB"/>
              </w:rPr>
            </w:pPr>
            <w:r w:rsidRPr="00C5564B">
              <w:rPr>
                <w:lang w:val="en-GB"/>
              </w:rPr>
              <w:t>Minor IT capital upgrades (2018/19)</w:t>
            </w:r>
          </w:p>
        </w:tc>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811202" w14:textId="77777777" w:rsidR="00ED0E85" w:rsidRPr="00C5564B" w:rsidRDefault="00ED0E85" w:rsidP="00ED0E85">
            <w:pPr>
              <w:pStyle w:val="TableDataEntries"/>
              <w:rPr>
                <w:lang w:val="en-GB"/>
              </w:rPr>
            </w:pPr>
            <w:r w:rsidRPr="00C5564B">
              <w:rPr>
                <w:lang w:val="en-GB"/>
              </w:rPr>
              <w:t xml:space="preserve"> 50 000</w:t>
            </w:r>
          </w:p>
        </w:tc>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9C924C" w14:textId="77777777" w:rsidR="00ED0E85" w:rsidRPr="00C5564B" w:rsidRDefault="00ED0E85" w:rsidP="00ED0E85">
            <w:pPr>
              <w:pStyle w:val="TableDataEntries"/>
              <w:rPr>
                <w:lang w:val="en-GB"/>
              </w:rPr>
            </w:pPr>
            <w:r w:rsidRPr="00C5564B">
              <w:rPr>
                <w:lang w:val="en-GB"/>
              </w:rPr>
              <w:t xml:space="preserve"> 12 195</w:t>
            </w:r>
          </w:p>
        </w:tc>
      </w:tr>
      <w:tr w:rsidR="00ED0E85" w:rsidRPr="00C5564B" w14:paraId="4542511E" w14:textId="77777777" w:rsidTr="00ED0E85">
        <w:trPr>
          <w:trHeight w:val="230"/>
        </w:trPr>
        <w:tc>
          <w:tcPr>
            <w:tcW w:w="42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461FE4" w14:textId="77777777" w:rsidR="00ED0E85" w:rsidRPr="00C5564B" w:rsidRDefault="00ED0E85" w:rsidP="00ED0E85">
            <w:pPr>
              <w:pStyle w:val="TableDataEntries"/>
              <w:jc w:val="left"/>
              <w:rPr>
                <w:lang w:val="en-GB"/>
              </w:rPr>
            </w:pPr>
            <w:r w:rsidRPr="00C5564B">
              <w:rPr>
                <w:lang w:val="en-GB"/>
              </w:rPr>
              <w:t>Redevelopment of IT system</w:t>
            </w:r>
          </w:p>
        </w:tc>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426483" w14:textId="77777777" w:rsidR="00ED0E85" w:rsidRPr="00C5564B" w:rsidRDefault="00ED0E85" w:rsidP="00ED0E85">
            <w:pPr>
              <w:pStyle w:val="TableDataEntries"/>
              <w:rPr>
                <w:lang w:val="en-GB"/>
              </w:rPr>
            </w:pPr>
            <w:r w:rsidRPr="00C5564B">
              <w:rPr>
                <w:lang w:val="en-GB"/>
              </w:rPr>
              <w:t>1 400 000</w:t>
            </w:r>
          </w:p>
        </w:tc>
        <w:tc>
          <w:tcPr>
            <w:tcW w:w="184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16EB00" w14:textId="77777777" w:rsidR="00ED0E85" w:rsidRPr="00C5564B" w:rsidRDefault="00ED0E85" w:rsidP="00ED0E85">
            <w:pPr>
              <w:pStyle w:val="TableDataEntries"/>
              <w:rPr>
                <w:lang w:val="en-GB"/>
              </w:rPr>
            </w:pPr>
            <w:r w:rsidRPr="00C5564B">
              <w:rPr>
                <w:lang w:val="en-GB"/>
              </w:rPr>
              <w:t xml:space="preserve"> 341 447</w:t>
            </w:r>
          </w:p>
        </w:tc>
      </w:tr>
      <w:tr w:rsidR="00ED0E85" w:rsidRPr="001644F0" w14:paraId="65801AFB" w14:textId="77777777" w:rsidTr="00ED0E85">
        <w:trPr>
          <w:trHeight w:val="230"/>
        </w:trPr>
        <w:tc>
          <w:tcPr>
            <w:tcW w:w="425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C2EB7F4" w14:textId="77777777" w:rsidR="00ED0E85" w:rsidRPr="001644F0" w:rsidRDefault="00ED0E85" w:rsidP="00ED0E85">
            <w:pPr>
              <w:pStyle w:val="TableDataEntries"/>
              <w:jc w:val="left"/>
              <w:rPr>
                <w:rFonts w:ascii="Franklin Gothic Demi" w:hAnsi="Franklin Gothic Demi"/>
                <w:lang w:val="en-GB"/>
              </w:rPr>
            </w:pPr>
            <w:r w:rsidRPr="001644F0">
              <w:rPr>
                <w:rFonts w:ascii="Franklin Gothic Demi" w:hAnsi="Franklin Gothic Demi"/>
                <w:lang w:val="en-GB"/>
              </w:rPr>
              <w:t>Total</w:t>
            </w:r>
          </w:p>
        </w:tc>
        <w:tc>
          <w:tcPr>
            <w:tcW w:w="184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753CD21" w14:textId="77777777" w:rsidR="00ED0E85" w:rsidRPr="001644F0" w:rsidRDefault="00ED0E85" w:rsidP="00ED0E85">
            <w:pPr>
              <w:pStyle w:val="TableDataEntries"/>
              <w:rPr>
                <w:rFonts w:ascii="Franklin Gothic Demi" w:hAnsi="Franklin Gothic Demi"/>
                <w:lang w:val="en-GB"/>
              </w:rPr>
            </w:pPr>
            <w:r w:rsidRPr="001644F0">
              <w:rPr>
                <w:rFonts w:ascii="Franklin Gothic Demi" w:hAnsi="Franklin Gothic Demi"/>
                <w:lang w:val="en-GB"/>
              </w:rPr>
              <w:t>1 541 000</w:t>
            </w:r>
          </w:p>
        </w:tc>
        <w:tc>
          <w:tcPr>
            <w:tcW w:w="184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4F13B62" w14:textId="77777777" w:rsidR="00ED0E85" w:rsidRPr="001644F0" w:rsidRDefault="00ED0E85" w:rsidP="00ED0E85">
            <w:pPr>
              <w:pStyle w:val="TableDataEntries"/>
              <w:rPr>
                <w:rFonts w:ascii="Franklin Gothic Demi" w:hAnsi="Franklin Gothic Demi"/>
                <w:lang w:val="en-GB"/>
              </w:rPr>
            </w:pPr>
            <w:r w:rsidRPr="001644F0">
              <w:rPr>
                <w:rFonts w:ascii="Franklin Gothic Demi" w:hAnsi="Franklin Gothic Demi"/>
                <w:lang w:val="en-GB"/>
              </w:rPr>
              <w:t xml:space="preserve"> 375 836</w:t>
            </w:r>
          </w:p>
        </w:tc>
      </w:tr>
    </w:tbl>
    <w:p w14:paraId="7E97FD1A" w14:textId="77777777" w:rsidR="00ED0E85" w:rsidRPr="00E4232C" w:rsidRDefault="00ED0E85" w:rsidP="00ED0E85">
      <w:pPr>
        <w:pStyle w:val="Note"/>
      </w:pPr>
      <w:r w:rsidRPr="00E4232C">
        <w:rPr>
          <w:rStyle w:val="NoteLabel"/>
        </w:rPr>
        <w:t>a</w:t>
      </w:r>
      <w:r>
        <w:t xml:space="preserve"> Amortised over 5 years, using a discount rate of 7 per cent.</w:t>
      </w:r>
    </w:p>
    <w:p w14:paraId="27D5BA32" w14:textId="77777777" w:rsidR="00ED0E85" w:rsidRDefault="00ED0E85" w:rsidP="00ED0E85">
      <w:pPr>
        <w:pStyle w:val="Source"/>
      </w:pPr>
      <w:r>
        <w:rPr>
          <w:i/>
        </w:rPr>
        <w:t>Source</w:t>
      </w:r>
      <w:r w:rsidRPr="00E4232C">
        <w:rPr>
          <w:i/>
        </w:rPr>
        <w:t>:</w:t>
      </w:r>
      <w:r>
        <w:t xml:space="preserve"> CIE based on information provided by DEE.</w:t>
      </w:r>
    </w:p>
    <w:p w14:paraId="4D54CB6F" w14:textId="77777777" w:rsidR="00ED0E85" w:rsidRDefault="00ED0E85" w:rsidP="00ED0E85">
      <w:pPr>
        <w:pStyle w:val="BodyText"/>
      </w:pPr>
    </w:p>
    <w:p w14:paraId="490D2ECD" w14:textId="77777777" w:rsidR="00ED0E85" w:rsidRDefault="00ED0E85" w:rsidP="00ED0E85">
      <w:pPr>
        <w:pStyle w:val="BodyText"/>
      </w:pPr>
    </w:p>
    <w:p w14:paraId="19C94145" w14:textId="77777777" w:rsidR="00ED0E85" w:rsidRDefault="00ED0E85" w:rsidP="00ED0E85"/>
    <w:p w14:paraId="58D9C2E4" w14:textId="77777777" w:rsidR="00ED0E85" w:rsidRDefault="00ED0E85" w:rsidP="00ED0E85">
      <w:pPr>
        <w:sectPr w:rsidR="00ED0E85" w:rsidSect="00ED0E85">
          <w:headerReference w:type="even" r:id="rId65"/>
          <w:headerReference w:type="default" r:id="rId66"/>
          <w:footerReference w:type="even" r:id="rId67"/>
          <w:footerReference w:type="default" r:id="rId68"/>
          <w:type w:val="oddPage"/>
          <w:pgSz w:w="11906" w:h="16838" w:code="9"/>
          <w:pgMar w:top="2268" w:right="1701" w:bottom="1418" w:left="2268" w:header="680" w:footer="680" w:gutter="0"/>
          <w:cols w:space="708"/>
          <w:docGrid w:linePitch="360"/>
        </w:sectPr>
      </w:pPr>
    </w:p>
    <w:p w14:paraId="351681F7" w14:textId="77777777" w:rsidR="00ED0E85" w:rsidRDefault="00ED0E85" w:rsidP="00ED0E85"/>
    <w:tbl>
      <w:tblPr>
        <w:tblStyle w:val="TableGrid"/>
        <w:tblW w:w="8274" w:type="dxa"/>
        <w:tblInd w:w="-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74"/>
      </w:tblGrid>
      <w:tr w:rsidR="00ED0E85" w14:paraId="6EA215DC" w14:textId="77777777" w:rsidTr="00ED0E85">
        <w:trPr>
          <w:cantSplit/>
          <w:trHeight w:hRule="exact" w:val="3572"/>
        </w:trPr>
        <w:tc>
          <w:tcPr>
            <w:tcW w:w="8274" w:type="dxa"/>
          </w:tcPr>
          <w:p w14:paraId="3B84B21A" w14:textId="77777777" w:rsidR="00ED0E85" w:rsidRPr="0097484C" w:rsidRDefault="00ED0E85" w:rsidP="00ED0E85">
            <w:pPr>
              <w:pStyle w:val="Heading6"/>
              <w:pageBreakBefore w:val="0"/>
              <w:numPr>
                <w:ilvl w:val="0"/>
                <w:numId w:val="0"/>
              </w:numPr>
              <w:spacing w:after="0" w:line="14" w:lineRule="exact"/>
              <w:ind w:left="-1134"/>
              <w:outlineLvl w:val="5"/>
              <w:rPr>
                <w:b/>
                <w:i w:val="0"/>
                <w:color w:val="FFFFFF"/>
                <w:sz w:val="14"/>
                <w:szCs w:val="14"/>
              </w:rPr>
            </w:pPr>
          </w:p>
          <w:p w14:paraId="6CB17353" w14:textId="77777777" w:rsidR="00ED0E85" w:rsidRDefault="00ED0E85" w:rsidP="00ED0E85">
            <w:pPr>
              <w:pStyle w:val="BodyText"/>
              <w:pageBreakBefore/>
              <w:spacing w:before="0"/>
            </w:pPr>
          </w:p>
        </w:tc>
      </w:tr>
      <w:tr w:rsidR="00ED0E85" w:rsidRPr="003E5943" w14:paraId="5C5B3D9C" w14:textId="77777777" w:rsidTr="00ED0E85">
        <w:trPr>
          <w:cantSplit/>
          <w:trHeight w:val="2386"/>
        </w:trPr>
        <w:tc>
          <w:tcPr>
            <w:tcW w:w="8274" w:type="dxa"/>
          </w:tcPr>
          <w:p w14:paraId="5B2D898A" w14:textId="77777777" w:rsidR="00ED0E85" w:rsidRDefault="00ED0E85" w:rsidP="00ED0E85">
            <w:pPr>
              <w:pStyle w:val="PartNumber"/>
            </w:pPr>
            <w:r>
              <w:t>Part II</w:t>
            </w:r>
          </w:p>
          <w:p w14:paraId="7D024D45" w14:textId="77777777" w:rsidR="00ED0E85" w:rsidRPr="003E5943" w:rsidRDefault="00ED0E85" w:rsidP="00ED0E85">
            <w:pPr>
              <w:pStyle w:val="PartTitle"/>
            </w:pPr>
            <w:bookmarkStart w:id="3508" w:name="_Toc19275512"/>
            <w:bookmarkStart w:id="3509" w:name="_Toc19276122"/>
            <w:bookmarkStart w:id="3510" w:name="_Toc19280121"/>
            <w:r>
              <w:t>Potential changes to the CBD program</w:t>
            </w:r>
            <w:bookmarkEnd w:id="3508"/>
            <w:bookmarkEnd w:id="3509"/>
            <w:bookmarkEnd w:id="3510"/>
          </w:p>
        </w:tc>
      </w:tr>
    </w:tbl>
    <w:p w14:paraId="33577917" w14:textId="77777777" w:rsidR="00ED0E85" w:rsidRDefault="00ED0E85" w:rsidP="00ED0E85">
      <w:pPr>
        <w:pStyle w:val="BodyText"/>
      </w:pPr>
      <w:r>
        <w:rPr>
          <w:noProof/>
        </w:rPr>
        <w:drawing>
          <wp:anchor distT="0" distB="0" distL="114300" distR="114300" simplePos="0" relativeHeight="251687936" behindDoc="1" locked="1" layoutInCell="0" allowOverlap="1" wp14:anchorId="2CF9AFAF" wp14:editId="01D59350">
            <wp:simplePos x="0" y="0"/>
            <wp:positionH relativeFrom="page">
              <wp:posOffset>0</wp:posOffset>
            </wp:positionH>
            <wp:positionV relativeFrom="page">
              <wp:posOffset>5444197</wp:posOffset>
            </wp:positionV>
            <wp:extent cx="7552800" cy="928800"/>
            <wp:effectExtent l="0" t="0" r="0" b="5080"/>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no_image.png"/>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7552800" cy="928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1" locked="1" layoutInCell="0" allowOverlap="1" wp14:anchorId="79810328" wp14:editId="6562FDFB">
                <wp:simplePos x="0" y="0"/>
                <wp:positionH relativeFrom="page">
                  <wp:posOffset>0</wp:posOffset>
                </wp:positionH>
                <wp:positionV relativeFrom="page">
                  <wp:posOffset>0</wp:posOffset>
                </wp:positionV>
                <wp:extent cx="7560000" cy="10692000"/>
                <wp:effectExtent l="0" t="0" r="3175" b="0"/>
                <wp:wrapNone/>
                <wp:docPr id="259" name="Rectangle 259"/>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DC5E656" id="Rectangle 259" o:spid="_x0000_s1026" style="position:absolute;margin-left:0;margin-top:0;width:595.3pt;height:841.9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" o:allowincell="f" fillcolor="white [3212]" stroked="f" strokeweight="2pt">
                <w10:wrap anchorx="page" anchory="page"/>
                <w10:anchorlock/>
              </v:rect>
            </w:pict>
          </mc:Fallback>
        </mc:AlternateContent>
      </w:r>
    </w:p>
    <w:p w14:paraId="3DCD4504" w14:textId="77777777" w:rsidR="00ED0E85" w:rsidRDefault="00ED0E85" w:rsidP="00ED0E85"/>
    <w:p w14:paraId="06DD863E" w14:textId="77777777" w:rsidR="00ED0E85" w:rsidRDefault="00ED0E85" w:rsidP="00ED0E85">
      <w:pPr>
        <w:sectPr w:rsidR="00ED0E85" w:rsidSect="00ED0E85">
          <w:headerReference w:type="even" r:id="rId69"/>
          <w:headerReference w:type="default" r:id="rId70"/>
          <w:footerReference w:type="even" r:id="rId71"/>
          <w:footerReference w:type="default" r:id="rId72"/>
          <w:type w:val="oddPage"/>
          <w:pgSz w:w="11906" w:h="16838" w:code="9"/>
          <w:pgMar w:top="2268" w:right="1701" w:bottom="2268" w:left="1417" w:header="680" w:footer="680" w:gutter="0"/>
          <w:cols w:space="708"/>
          <w:docGrid w:linePitch="360"/>
        </w:sectPr>
      </w:pPr>
    </w:p>
    <w:p w14:paraId="7B73BF8D" w14:textId="77777777" w:rsidR="00ED0E85" w:rsidRPr="007E14A5" w:rsidRDefault="00ED0E85" w:rsidP="00ED0E85">
      <w:pPr>
        <w:pStyle w:val="Heading1"/>
        <w:numPr>
          <w:ilvl w:val="0"/>
          <w:numId w:val="5"/>
        </w:numPr>
      </w:pPr>
      <w:bookmarkStart w:id="3511" w:name="_Toc19275513"/>
      <w:bookmarkStart w:id="3512" w:name="_Toc19276123"/>
      <w:bookmarkStart w:id="3513" w:name="_Toc19280122"/>
      <w:r w:rsidRPr="007E14A5">
        <w:t>Offices</w:t>
      </w:r>
      <w:bookmarkEnd w:id="3511"/>
      <w:bookmarkEnd w:id="3512"/>
      <w:bookmarkEnd w:id="3513"/>
    </w:p>
    <w:p w14:paraId="22888BEB" w14:textId="77777777" w:rsidR="00ED0E85" w:rsidRDefault="00ED0E85" w:rsidP="00ED0E85">
      <w:pPr>
        <w:pStyle w:val="Heading2"/>
        <w:numPr>
          <w:ilvl w:val="1"/>
          <w:numId w:val="5"/>
        </w:numPr>
      </w:pPr>
      <w:bookmarkStart w:id="3514" w:name="_Toc19275514"/>
      <w:bookmarkStart w:id="3515" w:name="_Toc19276124"/>
      <w:bookmarkStart w:id="3516" w:name="_Toc19280123"/>
      <w:r>
        <w:t>Key findings and draft recommendations</w:t>
      </w:r>
      <w:bookmarkEnd w:id="3514"/>
      <w:bookmarkEnd w:id="3515"/>
      <w:bookmarkEnd w:id="3516"/>
    </w:p>
    <w:p w14:paraId="6B6C8E69" w14:textId="77777777" w:rsidR="00ED0E85" w:rsidRDefault="00ED0E85" w:rsidP="00ED0E85">
      <w:pPr>
        <w:pStyle w:val="BodyText"/>
      </w:pPr>
      <w:r>
        <w:t>The CBA results suggest that if compliance costs can be minimised through co</w:t>
      </w:r>
      <w:r>
        <w:noBreakHyphen/>
        <w:t>assessments and a requirement for ratings every second year (rather than every year), expanding mandatory disclosure requirements to office tenancies could deliver a net benefit to the community.</w:t>
      </w:r>
    </w:p>
    <w:p w14:paraId="3EA03C65" w14:textId="77777777" w:rsidR="00ED0E85" w:rsidRDefault="00ED0E85" w:rsidP="00ED0E85">
      <w:pPr>
        <w:pStyle w:val="BodyText"/>
      </w:pPr>
      <w:r>
        <w:t>However, this finding is contingent on a streamlined system being established. This would require:</w:t>
      </w:r>
    </w:p>
    <w:p w14:paraId="2439B80C" w14:textId="77777777" w:rsidR="00ED0E85" w:rsidRDefault="00ED0E85" w:rsidP="00ED0E85">
      <w:pPr>
        <w:pStyle w:val="ListBullet"/>
      </w:pPr>
      <w:r>
        <w:t>aligning the requirement for an office tenancy rating to the base building rating (this would necessitate a shift to periodic ratings where buildings are required to obtain a rating every year or every second year, rather than on sale or lease).</w:t>
      </w:r>
    </w:p>
    <w:p w14:paraId="55567787" w14:textId="77777777" w:rsidR="00ED0E85" w:rsidRDefault="00ED0E85" w:rsidP="00ED0E85">
      <w:pPr>
        <w:pStyle w:val="ListBullet"/>
      </w:pPr>
      <w:r>
        <w:t>building owners/managers (or the assessor acting on their behalf) having direct access to tenant metering data to complete the rating through the co-assess tool. In some states, we understand this would require some legislative changes.</w:t>
      </w:r>
    </w:p>
    <w:p w14:paraId="713467B5" w14:textId="77777777" w:rsidR="00ED0E85" w:rsidRDefault="00ED0E85" w:rsidP="00ED0E85">
      <w:pPr>
        <w:pStyle w:val="BodyText"/>
      </w:pPr>
      <w:r>
        <w:t>If such a system cannot be developed, expanding mandatory disclosure requirements to office tenancies is likely to impose a significant net cost on the community.</w:t>
      </w:r>
    </w:p>
    <w:p w14:paraId="027B79A7" w14:textId="77777777" w:rsidR="00ED0E85" w:rsidRDefault="00ED0E85" w:rsidP="00ED0E85">
      <w:pPr>
        <w:pStyle w:val="KeyPoint"/>
      </w:pPr>
      <w:r>
        <w:t>We recommend that:</w:t>
      </w:r>
    </w:p>
    <w:p w14:paraId="55F6A88D" w14:textId="77777777" w:rsidR="00ED0E85" w:rsidRDefault="00ED0E85" w:rsidP="00ED0E85">
      <w:pPr>
        <w:pStyle w:val="KeyPoint2"/>
      </w:pPr>
      <w:r>
        <w:t>disclosure of tenancy ratings using the co</w:t>
      </w:r>
      <w:r>
        <w:noBreakHyphen/>
        <w:t>assess tool could be trialled in a state where existing legislation would allow this to occur</w:t>
      </w:r>
    </w:p>
    <w:p w14:paraId="72ACFB7E" w14:textId="77777777" w:rsidR="00ED0E85" w:rsidRDefault="00ED0E85" w:rsidP="00ED0E85">
      <w:pPr>
        <w:pStyle w:val="KeyPoint2"/>
      </w:pPr>
      <w:r>
        <w:t>if the implementation challenges can be overcome, the CBD Program should be expanded to cover office tenancies, replacing the current TLA requirements.</w:t>
      </w:r>
    </w:p>
    <w:p w14:paraId="7139128C" w14:textId="77777777" w:rsidR="00ED0E85" w:rsidRDefault="00ED0E85" w:rsidP="00ED0E85">
      <w:pPr>
        <w:pStyle w:val="KeyPoint"/>
      </w:pPr>
      <w:r>
        <w:t>If the CBD Program is not extended to office tenancies, there is no compelling case to change current disclosure requirements for base buildings.</w:t>
      </w:r>
    </w:p>
    <w:p w14:paraId="358975C7" w14:textId="77777777" w:rsidR="00ED0E85" w:rsidRPr="007347F0" w:rsidRDefault="00ED0E85" w:rsidP="00ED0E85">
      <w:pPr>
        <w:pStyle w:val="Heading2"/>
        <w:numPr>
          <w:ilvl w:val="1"/>
          <w:numId w:val="5"/>
        </w:numPr>
        <w:rPr>
          <w:lang w:bidi="fa-IR"/>
        </w:rPr>
      </w:pPr>
      <w:bookmarkStart w:id="3517" w:name="_Toc16168102"/>
      <w:bookmarkStart w:id="3518" w:name="_Toc19275515"/>
      <w:bookmarkStart w:id="3519" w:name="_Toc19276125"/>
      <w:bookmarkStart w:id="3520" w:name="_Toc19280124"/>
      <w:r w:rsidRPr="007347F0">
        <w:rPr>
          <w:lang w:bidi="fa-IR"/>
        </w:rPr>
        <w:t>Design options for a mandatory disclosure scheme</w:t>
      </w:r>
      <w:bookmarkEnd w:id="3517"/>
      <w:bookmarkEnd w:id="3518"/>
      <w:bookmarkEnd w:id="3519"/>
      <w:bookmarkEnd w:id="3520"/>
    </w:p>
    <w:p w14:paraId="757822F0" w14:textId="77777777" w:rsidR="00ED0E85" w:rsidRPr="007347F0" w:rsidRDefault="00ED0E85" w:rsidP="00ED0E85">
      <w:pPr>
        <w:pStyle w:val="BodyText"/>
        <w:tabs>
          <w:tab w:val="left" w:pos="1217"/>
        </w:tabs>
      </w:pPr>
      <w:r w:rsidRPr="007347F0">
        <w:t>The design elements of a mandatory disclosure program for a particular type of building include:</w:t>
      </w:r>
    </w:p>
    <w:p w14:paraId="1CE1549D" w14:textId="77777777" w:rsidR="00ED0E85" w:rsidRPr="007347F0" w:rsidRDefault="00ED0E85" w:rsidP="00ED0E85">
      <w:pPr>
        <w:pStyle w:val="ListBullet"/>
      </w:pPr>
      <w:r w:rsidRPr="007347F0">
        <w:t>the thresholds that apply</w:t>
      </w:r>
    </w:p>
    <w:p w14:paraId="0B77D598" w14:textId="77777777" w:rsidR="00ED0E85" w:rsidRPr="007347F0" w:rsidRDefault="00ED0E85" w:rsidP="00ED0E85">
      <w:pPr>
        <w:pStyle w:val="ListBullet"/>
      </w:pPr>
      <w:r w:rsidRPr="007347F0">
        <w:t>the trigger for mandatory disclosure (i.e. what triggers the need for a BEEC)</w:t>
      </w:r>
    </w:p>
    <w:p w14:paraId="0F49D16F" w14:textId="77777777" w:rsidR="00ED0E85" w:rsidRPr="007347F0" w:rsidRDefault="00ED0E85" w:rsidP="00ED0E85">
      <w:pPr>
        <w:pStyle w:val="ListBullet"/>
      </w:pPr>
      <w:r w:rsidRPr="007347F0">
        <w:t>what information is disclosed</w:t>
      </w:r>
    </w:p>
    <w:p w14:paraId="1DF43F0E" w14:textId="77777777" w:rsidR="00ED0E85" w:rsidRPr="007347F0" w:rsidRDefault="00ED0E85" w:rsidP="00ED0E85">
      <w:pPr>
        <w:pStyle w:val="ListBullet"/>
      </w:pPr>
      <w:r w:rsidRPr="007347F0">
        <w:t>how the information is disclosed</w:t>
      </w:r>
    </w:p>
    <w:p w14:paraId="3E23CA9C" w14:textId="77777777" w:rsidR="00ED0E85" w:rsidRPr="007347F0" w:rsidRDefault="00ED0E85" w:rsidP="00ED0E85">
      <w:pPr>
        <w:pStyle w:val="ListBullet"/>
      </w:pPr>
      <w:r w:rsidRPr="007347F0">
        <w:t>the administrative arrangements.</w:t>
      </w:r>
    </w:p>
    <w:p w14:paraId="7E20AA4B" w14:textId="23E1F5AB" w:rsidR="00ED0E85" w:rsidRPr="007347F0" w:rsidRDefault="00ED0E85" w:rsidP="00ED0E85">
      <w:pPr>
        <w:pStyle w:val="BodyText"/>
      </w:pPr>
      <w:r w:rsidRPr="007347F0">
        <w:t>The options for each of these design elements are outlined in table </w:t>
      </w:r>
      <w:r w:rsidR="004550CB">
        <w:rPr>
          <w:noProof/>
        </w:rPr>
        <w:fldChar w:fldCharType="begin"/>
      </w:r>
      <w:r w:rsidR="004550CB">
        <w:rPr>
          <w:noProof/>
        </w:rPr>
        <w:instrText xml:space="preserve"> REF _Caption8642 </w:instrText>
      </w:r>
      <w:r w:rsidR="004550CB">
        <w:rPr>
          <w:noProof/>
        </w:rPr>
        <w:fldChar w:fldCharType="separate"/>
      </w:r>
      <w:r w:rsidR="00AD3561">
        <w:rPr>
          <w:noProof/>
        </w:rPr>
        <w:t>6</w:t>
      </w:r>
      <w:r w:rsidR="00AD3561" w:rsidRPr="007347F0">
        <w:rPr>
          <w:noProof/>
        </w:rPr>
        <w:t>.</w:t>
      </w:r>
      <w:r w:rsidR="00AD3561">
        <w:rPr>
          <w:noProof/>
        </w:rPr>
        <w:t>1</w:t>
      </w:r>
      <w:r w:rsidR="004550CB">
        <w:rPr>
          <w:noProof/>
        </w:rPr>
        <w:fldChar w:fldCharType="end"/>
      </w:r>
      <w:r w:rsidRPr="007347F0">
        <w:t>.</w:t>
      </w:r>
    </w:p>
    <w:p w14:paraId="46320777" w14:textId="18560F65" w:rsidR="00ED0E85" w:rsidRPr="007347F0" w:rsidRDefault="00ED0E85" w:rsidP="00ED0E85">
      <w:pPr>
        <w:pStyle w:val="Caption"/>
      </w:pPr>
      <w:r w:rsidRPr="007347F0">
        <w:fldChar w:fldCharType="begin"/>
      </w:r>
      <w:r w:rsidRPr="007347F0">
        <w:instrText xml:space="preserve"> IF 1 = 1 "</w:instrText>
      </w:r>
      <w:r w:rsidRPr="007347F0">
        <w:fldChar w:fldCharType="begin"/>
      </w:r>
      <w:r w:rsidRPr="007347F0">
        <w:instrText xml:space="preserve"> IF </w:instrText>
      </w:r>
      <w:r w:rsidRPr="007347F0">
        <w:rPr>
          <w:noProof/>
        </w:rPr>
        <w:fldChar w:fldCharType="begin"/>
      </w:r>
      <w:r w:rsidRPr="007347F0">
        <w:rPr>
          <w:noProof/>
        </w:rPr>
        <w:instrText xml:space="preserve"> STYLEREF "Heading 6" \l \n </w:instrText>
      </w:r>
      <w:r w:rsidRPr="007347F0">
        <w:rPr>
          <w:noProof/>
        </w:rPr>
        <w:fldChar w:fldCharType="separate"/>
      </w:r>
      <w:r w:rsidR="00AD3561">
        <w:rPr>
          <w:noProof/>
        </w:rPr>
        <w:instrText>0</w:instrText>
      </w:r>
      <w:r w:rsidRPr="007347F0">
        <w:rPr>
          <w:noProof/>
        </w:rPr>
        <w:fldChar w:fldCharType="end"/>
      </w:r>
      <w:r w:rsidRPr="007347F0">
        <w:instrText xml:space="preserve"> = 0 "</w:instrText>
      </w:r>
      <w:r w:rsidRPr="007347F0">
        <w:fldChar w:fldCharType="begin"/>
      </w:r>
      <w:r w:rsidRPr="007347F0">
        <w:instrText xml:space="preserve"> IF </w:instrText>
      </w:r>
      <w:r w:rsidRPr="007347F0">
        <w:rPr>
          <w:noProof/>
        </w:rPr>
        <w:fldChar w:fldCharType="begin"/>
      </w:r>
      <w:r w:rsidRPr="007347F0">
        <w:rPr>
          <w:noProof/>
        </w:rPr>
        <w:instrText xml:space="preserve"> STYLEREF "Heading 1" \l \n </w:instrText>
      </w:r>
      <w:r w:rsidRPr="007347F0">
        <w:rPr>
          <w:noProof/>
        </w:rPr>
        <w:fldChar w:fldCharType="separate"/>
      </w:r>
      <w:r w:rsidR="00AD3561">
        <w:rPr>
          <w:noProof/>
        </w:rPr>
        <w:instrText>6</w:instrText>
      </w:r>
      <w:r w:rsidRPr="007347F0">
        <w:rPr>
          <w:noProof/>
        </w:rPr>
        <w:fldChar w:fldCharType="end"/>
      </w:r>
      <w:r w:rsidRPr="007347F0">
        <w:instrText xml:space="preserve"> = 0 "" "</w:instrText>
      </w:r>
      <w:r w:rsidRPr="007347F0">
        <w:rPr>
          <w:noProof/>
        </w:rPr>
        <w:fldChar w:fldCharType="begin"/>
      </w:r>
      <w:r w:rsidRPr="007347F0">
        <w:rPr>
          <w:noProof/>
        </w:rPr>
        <w:instrText xml:space="preserve"> STYLEREF "Heading 1" \l \n </w:instrText>
      </w:r>
      <w:r w:rsidRPr="007347F0">
        <w:rPr>
          <w:noProof/>
        </w:rPr>
        <w:fldChar w:fldCharType="separate"/>
      </w:r>
      <w:r w:rsidR="00AD3561">
        <w:rPr>
          <w:noProof/>
        </w:rPr>
        <w:instrText>6</w:instrText>
      </w:r>
      <w:r w:rsidRPr="007347F0">
        <w:rPr>
          <w:noProof/>
        </w:rPr>
        <w:fldChar w:fldCharType="end"/>
      </w:r>
      <w:r w:rsidRPr="007347F0">
        <w:instrText xml:space="preserve">." </w:instrText>
      </w:r>
      <w:r w:rsidRPr="007347F0">
        <w:fldChar w:fldCharType="separate"/>
      </w:r>
      <w:r w:rsidR="00AD3561">
        <w:rPr>
          <w:noProof/>
        </w:rPr>
        <w:instrText>6</w:instrText>
      </w:r>
      <w:r w:rsidR="00AD3561" w:rsidRPr="007347F0">
        <w:rPr>
          <w:noProof/>
        </w:rPr>
        <w:instrText>.</w:instrText>
      </w:r>
      <w:r w:rsidRPr="007347F0">
        <w:fldChar w:fldCharType="end"/>
      </w:r>
      <w:r w:rsidRPr="007347F0">
        <w:instrText>" "</w:instrText>
      </w:r>
      <w:r w:rsidR="00C353B5">
        <w:fldChar w:fldCharType="begin"/>
      </w:r>
      <w:r w:rsidR="00C353B5">
        <w:instrText xml:space="preserve"> STYLEREF "Heading 6" \l \n </w:instrText>
      </w:r>
      <w:r w:rsidR="00C353B5">
        <w:fldChar w:fldCharType="separate"/>
      </w:r>
      <w:r w:rsidRPr="007347F0">
        <w:instrText>B</w:instrText>
      </w:r>
      <w:r w:rsidR="00C353B5">
        <w:fldChar w:fldCharType="end"/>
      </w:r>
      <w:r w:rsidRPr="007347F0">
        <w:instrText xml:space="preserve">." </w:instrText>
      </w:r>
      <w:r w:rsidRPr="007347F0">
        <w:fldChar w:fldCharType="separate"/>
      </w:r>
      <w:r w:rsidR="00C353B5">
        <w:rPr>
          <w:noProof/>
        </w:rPr>
        <w:instrText>6</w:instrText>
      </w:r>
      <w:r w:rsidR="00C353B5" w:rsidRPr="007347F0">
        <w:rPr>
          <w:noProof/>
        </w:rPr>
        <w:instrText>.</w:instrText>
      </w:r>
      <w:r w:rsidRPr="007347F0">
        <w:fldChar w:fldCharType="end"/>
      </w:r>
      <w:r w:rsidRPr="007347F0">
        <w:fldChar w:fldCharType="begin"/>
      </w:r>
      <w:r w:rsidRPr="007347F0">
        <w:instrText xml:space="preserve"> SEQ Item \* ARABIC \s </w:instrText>
      </w:r>
      <w:r w:rsidRPr="007347F0">
        <w:fldChar w:fldCharType="begin"/>
      </w:r>
      <w:r w:rsidRPr="007347F0">
        <w:instrText xml:space="preserve"> IF </w:instrText>
      </w:r>
      <w:r w:rsidRPr="007347F0">
        <w:rPr>
          <w:noProof/>
        </w:rPr>
        <w:fldChar w:fldCharType="begin"/>
      </w:r>
      <w:r w:rsidRPr="007347F0">
        <w:rPr>
          <w:noProof/>
        </w:rPr>
        <w:instrText xml:space="preserve"> STYLEREF "Heading 6" \l \n </w:instrText>
      </w:r>
      <w:r w:rsidRPr="007347F0">
        <w:rPr>
          <w:noProof/>
        </w:rPr>
        <w:fldChar w:fldCharType="separate"/>
      </w:r>
      <w:r w:rsidR="00AD3561">
        <w:rPr>
          <w:noProof/>
        </w:rPr>
        <w:instrText>0</w:instrText>
      </w:r>
      <w:r w:rsidRPr="007347F0">
        <w:rPr>
          <w:noProof/>
        </w:rPr>
        <w:fldChar w:fldCharType="end"/>
      </w:r>
      <w:r w:rsidRPr="007347F0">
        <w:instrText xml:space="preserve"> = 0 "</w:instrText>
      </w:r>
      <w:r w:rsidRPr="007347F0">
        <w:fldChar w:fldCharType="begin"/>
      </w:r>
      <w:r w:rsidRPr="007347F0">
        <w:instrText xml:space="preserve"> IF </w:instrText>
      </w:r>
      <w:r w:rsidRPr="007347F0">
        <w:rPr>
          <w:noProof/>
        </w:rPr>
        <w:fldChar w:fldCharType="begin"/>
      </w:r>
      <w:r w:rsidRPr="007347F0">
        <w:rPr>
          <w:noProof/>
        </w:rPr>
        <w:instrText xml:space="preserve"> STYLEREF "Heading 1" \l \n </w:instrText>
      </w:r>
      <w:r w:rsidRPr="007347F0">
        <w:rPr>
          <w:noProof/>
        </w:rPr>
        <w:fldChar w:fldCharType="separate"/>
      </w:r>
      <w:r w:rsidR="00AD3561">
        <w:rPr>
          <w:noProof/>
        </w:rPr>
        <w:instrText>6</w:instrText>
      </w:r>
      <w:r w:rsidRPr="007347F0">
        <w:rPr>
          <w:noProof/>
        </w:rPr>
        <w:fldChar w:fldCharType="end"/>
      </w:r>
      <w:r w:rsidRPr="007347F0">
        <w:instrText xml:space="preserve"> = 0 "" "1" </w:instrText>
      </w:r>
      <w:r w:rsidRPr="007347F0">
        <w:fldChar w:fldCharType="separate"/>
      </w:r>
      <w:r w:rsidR="00C353B5" w:rsidRPr="007347F0">
        <w:rPr>
          <w:noProof/>
        </w:rPr>
        <w:instrText>1</w:instrText>
      </w:r>
      <w:r w:rsidRPr="007347F0">
        <w:fldChar w:fldCharType="end"/>
      </w:r>
      <w:r w:rsidRPr="007347F0">
        <w:instrText xml:space="preserve">" "6" </w:instrText>
      </w:r>
      <w:r w:rsidRPr="007347F0">
        <w:fldChar w:fldCharType="separate"/>
      </w:r>
      <w:r w:rsidR="00C353B5" w:rsidRPr="007347F0">
        <w:rPr>
          <w:noProof/>
        </w:rPr>
        <w:instrText>1</w:instrText>
      </w:r>
      <w:r w:rsidRPr="007347F0">
        <w:fldChar w:fldCharType="end"/>
      </w:r>
      <w:r w:rsidRPr="007347F0">
        <w:instrText xml:space="preserve"> </w:instrText>
      </w:r>
      <w:r w:rsidRPr="007347F0">
        <w:fldChar w:fldCharType="separate"/>
      </w:r>
      <w:r w:rsidR="00AD3561">
        <w:rPr>
          <w:noProof/>
        </w:rPr>
        <w:instrText>1</w:instrText>
      </w:r>
      <w:r w:rsidRPr="007347F0">
        <w:fldChar w:fldCharType="end"/>
      </w:r>
      <w:r w:rsidRPr="007347F0">
        <w:instrText xml:space="preserve">" "" </w:instrText>
      </w:r>
      <w:r w:rsidRPr="007347F0">
        <w:fldChar w:fldCharType="separate"/>
      </w:r>
      <w:bookmarkStart w:id="3521" w:name="_Caption2179"/>
      <w:bookmarkStart w:id="3522" w:name="_Caption4953"/>
      <w:bookmarkStart w:id="3523" w:name="_Caption0379"/>
      <w:bookmarkStart w:id="3524" w:name="_Caption3139"/>
      <w:bookmarkStart w:id="3525" w:name="_Caption1795"/>
      <w:bookmarkStart w:id="3526" w:name="_Caption1418"/>
      <w:bookmarkStart w:id="3527" w:name="_Caption6835"/>
      <w:bookmarkStart w:id="3528" w:name="_Caption9163"/>
      <w:bookmarkStart w:id="3529" w:name="_Caption4085"/>
      <w:bookmarkStart w:id="3530" w:name="_Caption8295"/>
      <w:bookmarkStart w:id="3531" w:name="_Caption9311"/>
      <w:bookmarkStart w:id="3532" w:name="_Caption1624"/>
      <w:bookmarkStart w:id="3533" w:name="_Caption3470"/>
      <w:bookmarkStart w:id="3534" w:name="_Caption1117"/>
      <w:bookmarkStart w:id="3535" w:name="_Caption4542"/>
      <w:bookmarkStart w:id="3536" w:name="_Caption7649"/>
      <w:bookmarkStart w:id="3537" w:name="_Caption8642"/>
      <w:bookmarkStart w:id="3538" w:name="_Caption1740"/>
      <w:bookmarkStart w:id="3539" w:name="_Caption7783"/>
      <w:bookmarkStart w:id="3540" w:name="_Caption3744"/>
      <w:bookmarkStart w:id="3541" w:name="_Caption8195"/>
      <w:bookmarkStart w:id="3542" w:name="_Caption4742"/>
      <w:bookmarkStart w:id="3543" w:name="_Caption7312"/>
      <w:bookmarkStart w:id="3544" w:name="_Caption5993"/>
      <w:bookmarkStart w:id="3545" w:name="_Caption5650"/>
      <w:bookmarkStart w:id="3546" w:name="_Caption7353"/>
      <w:bookmarkStart w:id="3547" w:name="_Caption7097"/>
      <w:bookmarkStart w:id="3548" w:name="_Caption9907"/>
      <w:bookmarkStart w:id="3549" w:name="_Caption2181"/>
      <w:bookmarkStart w:id="3550" w:name="_Caption9777"/>
      <w:bookmarkStart w:id="3551" w:name="_Caption8138"/>
      <w:bookmarkStart w:id="3552" w:name="_Caption5220"/>
      <w:bookmarkStart w:id="3553" w:name="_Caption5296"/>
      <w:bookmarkStart w:id="3554" w:name="_Caption1138"/>
      <w:bookmarkStart w:id="3555" w:name="_Caption3148"/>
      <w:bookmarkStart w:id="3556" w:name="_Caption6134"/>
      <w:bookmarkStart w:id="3557" w:name="_Caption4279"/>
      <w:bookmarkStart w:id="3558" w:name="_Caption3727"/>
      <w:bookmarkStart w:id="3559" w:name="_Caption0606"/>
      <w:bookmarkStart w:id="3560" w:name="_Caption3918"/>
      <w:bookmarkStart w:id="3561" w:name="_Caption6408"/>
      <w:bookmarkStart w:id="3562" w:name="_Caption5613"/>
      <w:bookmarkStart w:id="3563" w:name="_Caption3103"/>
      <w:bookmarkStart w:id="3564" w:name="_Caption9169"/>
      <w:bookmarkStart w:id="3565" w:name="_Toc12633718"/>
      <w:bookmarkStart w:id="3566" w:name="_Toc19275603"/>
      <w:bookmarkStart w:id="3567" w:name="_Toc19276213"/>
      <w:bookmarkStart w:id="3568" w:name="_Toc19280212"/>
      <w:r w:rsidR="00C353B5">
        <w:rPr>
          <w:noProof/>
        </w:rPr>
        <w:t>6</w:t>
      </w:r>
      <w:r w:rsidR="00C353B5" w:rsidRPr="007347F0">
        <w:rPr>
          <w:noProof/>
        </w:rPr>
        <w:t>.</w:t>
      </w:r>
      <w:r w:rsidR="00C353B5">
        <w:rPr>
          <w:noProof/>
        </w:rPr>
        <w:t>1</w:t>
      </w:r>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r w:rsidRPr="007347F0">
        <w:fldChar w:fldCharType="end"/>
      </w:r>
      <w:r w:rsidRPr="007347F0">
        <w:tab/>
        <w:t>Design options</w:t>
      </w:r>
      <w:bookmarkEnd w:id="3565"/>
      <w:bookmarkEnd w:id="3566"/>
      <w:bookmarkEnd w:id="3567"/>
      <w:bookmarkEnd w:id="3568"/>
    </w:p>
    <w:tbl>
      <w:tblPr>
        <w:tblW w:w="0" w:type="auto"/>
        <w:tblLayout w:type="fixed"/>
        <w:tblLook w:val="0000" w:firstRow="0" w:lastRow="0" w:firstColumn="0" w:lastColumn="0" w:noHBand="0" w:noVBand="0"/>
      </w:tblPr>
      <w:tblGrid>
        <w:gridCol w:w="3968"/>
        <w:gridCol w:w="3969"/>
      </w:tblGrid>
      <w:tr w:rsidR="00ED0E85" w:rsidRPr="007347F0" w14:paraId="71F46A52" w14:textId="77777777" w:rsidTr="00ED0E85">
        <w:trPr>
          <w:tblHeader/>
        </w:trPr>
        <w:tc>
          <w:tcPr>
            <w:tcW w:w="3968" w:type="dxa"/>
            <w:tcBorders>
              <w:bottom w:val="single" w:sz="8" w:space="0" w:color="FFFFFF" w:themeColor="background1"/>
            </w:tcBorders>
            <w:shd w:val="clear" w:color="auto" w:fill="6F6652"/>
            <w:tcMar>
              <w:left w:w="57" w:type="dxa"/>
              <w:right w:w="57" w:type="dxa"/>
            </w:tcMar>
          </w:tcPr>
          <w:p w14:paraId="085542C4" w14:textId="77777777" w:rsidR="00ED0E85" w:rsidRPr="007347F0" w:rsidRDefault="00ED0E85" w:rsidP="00ED0E85">
            <w:pPr>
              <w:pStyle w:val="TableTextColumnHeading"/>
            </w:pPr>
            <w:r w:rsidRPr="007347F0">
              <w:t>Design elements</w:t>
            </w:r>
          </w:p>
        </w:tc>
        <w:tc>
          <w:tcPr>
            <w:tcW w:w="3969" w:type="dxa"/>
            <w:tcBorders>
              <w:bottom w:val="single" w:sz="8" w:space="0" w:color="FFFFFF" w:themeColor="background1"/>
            </w:tcBorders>
            <w:shd w:val="clear" w:color="auto" w:fill="6F6652"/>
            <w:tcMar>
              <w:left w:w="57" w:type="dxa"/>
              <w:right w:w="57" w:type="dxa"/>
            </w:tcMar>
          </w:tcPr>
          <w:p w14:paraId="49EF0735" w14:textId="77777777" w:rsidR="00ED0E85" w:rsidRPr="007347F0" w:rsidRDefault="00ED0E85" w:rsidP="00ED0E85">
            <w:pPr>
              <w:pStyle w:val="TableTextColumnHeading"/>
            </w:pPr>
            <w:r w:rsidRPr="007347F0">
              <w:t>Options</w:t>
            </w:r>
          </w:p>
        </w:tc>
      </w:tr>
      <w:tr w:rsidR="00ED0E85" w:rsidRPr="007347F0" w14:paraId="7CFD9A4A" w14:textId="77777777" w:rsidTr="00ED0E85">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9FC579" w14:textId="77777777" w:rsidR="00ED0E85" w:rsidRPr="007347F0" w:rsidRDefault="00ED0E85" w:rsidP="00ED0E85">
            <w:pPr>
              <w:pStyle w:val="TableTextEntries"/>
            </w:pPr>
            <w:r w:rsidRPr="007347F0">
              <w:t>Thresholds</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678C33" w14:textId="77777777" w:rsidR="00ED0E85" w:rsidRPr="007347F0" w:rsidRDefault="00ED0E85" w:rsidP="00ED0E85">
            <w:pPr>
              <w:pStyle w:val="TableListBullet"/>
            </w:pPr>
            <w:r w:rsidRPr="007347F0">
              <w:t>No specific limitations on what threshold should apply.</w:t>
            </w:r>
          </w:p>
          <w:p w14:paraId="037A40D2" w14:textId="77777777" w:rsidR="00ED0E85" w:rsidRPr="007347F0" w:rsidRDefault="00ED0E85" w:rsidP="00ED0E85">
            <w:pPr>
              <w:pStyle w:val="TableListBullet"/>
            </w:pPr>
            <w:r w:rsidRPr="007347F0">
              <w:t>Threshold could apply to (depending on choice of trigger for a BEEC):</w:t>
            </w:r>
          </w:p>
          <w:p w14:paraId="041565ED" w14:textId="77777777" w:rsidR="00ED0E85" w:rsidRPr="007347F0" w:rsidRDefault="00ED0E85" w:rsidP="00ED0E85">
            <w:pPr>
              <w:pStyle w:val="TableListBullet2"/>
            </w:pPr>
            <w:r w:rsidRPr="007347F0">
              <w:t>Space being sold/leased</w:t>
            </w:r>
          </w:p>
          <w:p w14:paraId="43F3D9F6" w14:textId="77777777" w:rsidR="00ED0E85" w:rsidRPr="007347F0" w:rsidRDefault="00ED0E85" w:rsidP="00ED0E85">
            <w:pPr>
              <w:pStyle w:val="TableListBullet2"/>
            </w:pPr>
            <w:r w:rsidRPr="007347F0">
              <w:t>Whole building size</w:t>
            </w:r>
          </w:p>
        </w:tc>
      </w:tr>
      <w:tr w:rsidR="00ED0E85" w:rsidRPr="007347F0" w14:paraId="02881620" w14:textId="77777777" w:rsidTr="00ED0E85">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15069D" w14:textId="77777777" w:rsidR="00ED0E85" w:rsidRPr="007347F0" w:rsidRDefault="00ED0E85" w:rsidP="00ED0E85">
            <w:pPr>
              <w:pStyle w:val="TableTextEntries"/>
            </w:pPr>
            <w:r w:rsidRPr="007347F0">
              <w:t>Trigger for disclosure</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AB8715" w14:textId="77777777" w:rsidR="00ED0E85" w:rsidRPr="007347F0" w:rsidRDefault="00ED0E85" w:rsidP="00ED0E85">
            <w:pPr>
              <w:pStyle w:val="TableListBullet"/>
            </w:pPr>
            <w:r w:rsidRPr="007347F0">
              <w:t>Sale/lease</w:t>
            </w:r>
          </w:p>
          <w:p w14:paraId="546A067F" w14:textId="77777777" w:rsidR="00ED0E85" w:rsidRPr="007347F0" w:rsidRDefault="00ED0E85" w:rsidP="00ED0E85">
            <w:pPr>
              <w:pStyle w:val="TableListBullet"/>
            </w:pPr>
            <w:r w:rsidRPr="007347F0">
              <w:t>Periodic trigger (i.e. every</w:t>
            </w:r>
            <w:r>
              <w:t xml:space="preserve"> year or every</w:t>
            </w:r>
            <w:r w:rsidRPr="007347F0">
              <w:t xml:space="preserve"> two years)</w:t>
            </w:r>
          </w:p>
        </w:tc>
      </w:tr>
      <w:tr w:rsidR="00ED0E85" w:rsidRPr="007347F0" w14:paraId="35AC023E" w14:textId="77777777" w:rsidTr="00ED0E85">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C570E3" w14:textId="77777777" w:rsidR="00ED0E85" w:rsidRPr="007347F0" w:rsidRDefault="00ED0E85" w:rsidP="00ED0E85">
            <w:pPr>
              <w:pStyle w:val="TableTextEntries"/>
            </w:pPr>
            <w:r w:rsidRPr="007347F0">
              <w:t>Information disclosed</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889533" w14:textId="77777777" w:rsidR="00ED0E85" w:rsidRPr="007347F0" w:rsidRDefault="00ED0E85" w:rsidP="00ED0E85">
            <w:pPr>
              <w:pStyle w:val="TableListBullet"/>
            </w:pPr>
            <w:r w:rsidRPr="007347F0">
              <w:t>NABERS Energy without greenpower</w:t>
            </w:r>
          </w:p>
          <w:p w14:paraId="20D0A31D" w14:textId="77777777" w:rsidR="00ED0E85" w:rsidRPr="007347F0" w:rsidRDefault="00ED0E85" w:rsidP="00ED0E85">
            <w:pPr>
              <w:pStyle w:val="TableListBullet"/>
            </w:pPr>
            <w:r w:rsidRPr="007347F0">
              <w:t>NABERS Energy with greenpower</w:t>
            </w:r>
          </w:p>
          <w:p w14:paraId="7F0E645A" w14:textId="77777777" w:rsidR="00ED0E85" w:rsidRPr="007347F0" w:rsidRDefault="00ED0E85" w:rsidP="00ED0E85">
            <w:pPr>
              <w:pStyle w:val="TableListBullet"/>
            </w:pPr>
            <w:r w:rsidRPr="007347F0">
              <w:t>TLA</w:t>
            </w:r>
          </w:p>
          <w:p w14:paraId="662CC236" w14:textId="77777777" w:rsidR="00ED0E85" w:rsidRPr="007347F0" w:rsidRDefault="00ED0E85" w:rsidP="00ED0E85">
            <w:pPr>
              <w:pStyle w:val="TableListBullet"/>
            </w:pPr>
            <w:r w:rsidRPr="007347F0">
              <w:t>Estimated energy bill</w:t>
            </w:r>
          </w:p>
          <w:p w14:paraId="5E2372A6" w14:textId="77777777" w:rsidR="00ED0E85" w:rsidRPr="007347F0" w:rsidRDefault="00ED0E85" w:rsidP="00ED0E85">
            <w:pPr>
              <w:pStyle w:val="TableListBullet"/>
            </w:pPr>
            <w:r w:rsidRPr="007347F0">
              <w:t>Energy consumption per m</w:t>
            </w:r>
            <w:r w:rsidRPr="009253DC">
              <w:rPr>
                <w:vertAlign w:val="superscript"/>
              </w:rPr>
              <w:t>2</w:t>
            </w:r>
          </w:p>
          <w:p w14:paraId="10F22CC3" w14:textId="77777777" w:rsidR="00ED0E85" w:rsidRPr="007347F0" w:rsidRDefault="00ED0E85" w:rsidP="00ED0E85">
            <w:pPr>
              <w:pStyle w:val="TableListBullet"/>
            </w:pPr>
            <w:r w:rsidRPr="007347F0">
              <w:t>Energy cost per m</w:t>
            </w:r>
            <w:r w:rsidRPr="009253DC">
              <w:rPr>
                <w:vertAlign w:val="superscript"/>
              </w:rPr>
              <w:t>2</w:t>
            </w:r>
          </w:p>
        </w:tc>
      </w:tr>
      <w:tr w:rsidR="00ED0E85" w:rsidRPr="007347F0" w14:paraId="50B15C56" w14:textId="77777777" w:rsidTr="00ED0E85">
        <w:tc>
          <w:tcPr>
            <w:tcW w:w="39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DED05A" w14:textId="77777777" w:rsidR="00ED0E85" w:rsidRPr="007347F0" w:rsidRDefault="00ED0E85" w:rsidP="00ED0E85">
            <w:pPr>
              <w:pStyle w:val="TableTextEntries"/>
            </w:pPr>
            <w:r w:rsidRPr="007347F0">
              <w:t>Disclosure arrangements</w:t>
            </w:r>
          </w:p>
        </w:tc>
        <w:tc>
          <w:tcPr>
            <w:tcW w:w="39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EBDFA4" w14:textId="77777777" w:rsidR="00ED0E85" w:rsidRPr="007347F0" w:rsidRDefault="00ED0E85" w:rsidP="00ED0E85">
            <w:pPr>
              <w:pStyle w:val="TableListBullet"/>
            </w:pPr>
            <w:r w:rsidRPr="007347F0">
              <w:t>All advertising material</w:t>
            </w:r>
          </w:p>
          <w:p w14:paraId="6BEF7356" w14:textId="77777777" w:rsidR="00ED0E85" w:rsidRPr="007347F0" w:rsidRDefault="00ED0E85" w:rsidP="00ED0E85">
            <w:pPr>
              <w:pStyle w:val="TableListBullet"/>
            </w:pPr>
            <w:r w:rsidRPr="007347F0">
              <w:t>Leases</w:t>
            </w:r>
          </w:p>
          <w:p w14:paraId="5C28A57F" w14:textId="77777777" w:rsidR="00ED0E85" w:rsidRPr="007347F0" w:rsidRDefault="00ED0E85" w:rsidP="00ED0E85">
            <w:pPr>
              <w:pStyle w:val="TableListBullet"/>
            </w:pPr>
            <w:r w:rsidRPr="007347F0">
              <w:t>Building foyer</w:t>
            </w:r>
          </w:p>
          <w:p w14:paraId="1E61F1B3" w14:textId="77777777" w:rsidR="00ED0E85" w:rsidRPr="007347F0" w:rsidRDefault="00ED0E85" w:rsidP="00ED0E85">
            <w:pPr>
              <w:pStyle w:val="TableListBullet"/>
            </w:pPr>
            <w:r w:rsidRPr="007347F0">
              <w:t>Annual report</w:t>
            </w:r>
          </w:p>
          <w:p w14:paraId="2E821D78" w14:textId="77777777" w:rsidR="00ED0E85" w:rsidRPr="007347F0" w:rsidRDefault="00ED0E85" w:rsidP="00ED0E85">
            <w:pPr>
              <w:pStyle w:val="TableListBullet"/>
            </w:pPr>
            <w:r w:rsidRPr="007347F0">
              <w:t>No external disclosure</w:t>
            </w:r>
          </w:p>
        </w:tc>
      </w:tr>
      <w:tr w:rsidR="00ED0E85" w:rsidRPr="007347F0" w14:paraId="462C9463" w14:textId="77777777" w:rsidTr="00ED0E85">
        <w:tc>
          <w:tcPr>
            <w:tcW w:w="3968" w:type="dxa"/>
            <w:tcBorders>
              <w:top w:val="single" w:sz="8" w:space="0" w:color="FFFFFF" w:themeColor="background1"/>
              <w:bottom w:val="single" w:sz="6" w:space="0" w:color="6F6652"/>
            </w:tcBorders>
            <w:shd w:val="clear" w:color="auto" w:fill="E9E8E5" w:themeFill="background2"/>
            <w:tcMar>
              <w:left w:w="57" w:type="dxa"/>
              <w:right w:w="57" w:type="dxa"/>
            </w:tcMar>
          </w:tcPr>
          <w:p w14:paraId="3F301D9E" w14:textId="77777777" w:rsidR="00ED0E85" w:rsidRPr="007347F0" w:rsidRDefault="00ED0E85" w:rsidP="00ED0E85">
            <w:pPr>
              <w:pStyle w:val="TableTextEntries"/>
            </w:pPr>
            <w:r w:rsidRPr="007347F0">
              <w:t>Other administrative arrangements</w:t>
            </w:r>
          </w:p>
        </w:tc>
        <w:tc>
          <w:tcPr>
            <w:tcW w:w="3969" w:type="dxa"/>
            <w:tcBorders>
              <w:top w:val="single" w:sz="8" w:space="0" w:color="FFFFFF" w:themeColor="background1"/>
              <w:bottom w:val="single" w:sz="6" w:space="0" w:color="6F6652"/>
            </w:tcBorders>
            <w:shd w:val="clear" w:color="auto" w:fill="E9E8E5" w:themeFill="background2"/>
            <w:tcMar>
              <w:left w:w="57" w:type="dxa"/>
              <w:right w:w="57" w:type="dxa"/>
            </w:tcMar>
          </w:tcPr>
          <w:p w14:paraId="33ED1017" w14:textId="77777777" w:rsidR="00ED0E85" w:rsidRPr="007347F0" w:rsidRDefault="00ED0E85" w:rsidP="00ED0E85">
            <w:pPr>
              <w:pStyle w:val="TableListBullet"/>
            </w:pPr>
            <w:r w:rsidRPr="007347F0">
              <w:t>Cost recovery arrangements</w:t>
            </w:r>
          </w:p>
          <w:p w14:paraId="288F0618" w14:textId="77777777" w:rsidR="00ED0E85" w:rsidRPr="007347F0" w:rsidRDefault="00ED0E85" w:rsidP="00ED0E85">
            <w:pPr>
              <w:pStyle w:val="TableListBullet"/>
            </w:pPr>
            <w:r w:rsidRPr="007347F0">
              <w:t>Compliance and enforcement</w:t>
            </w:r>
          </w:p>
          <w:p w14:paraId="11E981FD" w14:textId="77777777" w:rsidR="00ED0E85" w:rsidRPr="007347F0" w:rsidRDefault="00ED0E85" w:rsidP="00ED0E85">
            <w:pPr>
              <w:pStyle w:val="TableListBullet"/>
            </w:pPr>
            <w:r w:rsidRPr="007347F0">
              <w:t>Time periods over which a rating is valid</w:t>
            </w:r>
          </w:p>
        </w:tc>
      </w:tr>
    </w:tbl>
    <w:p w14:paraId="37456CC3" w14:textId="77777777" w:rsidR="00ED0E85" w:rsidRDefault="00ED0E85" w:rsidP="00ED0E85">
      <w:pPr>
        <w:pStyle w:val="Source"/>
      </w:pPr>
      <w:r w:rsidRPr="007347F0">
        <w:rPr>
          <w:i/>
        </w:rPr>
        <w:t>Source:</w:t>
      </w:r>
      <w:r w:rsidRPr="007347F0">
        <w:t xml:space="preserve"> </w:t>
      </w:r>
      <w:r w:rsidR="00D84794">
        <w:t xml:space="preserve">The </w:t>
      </w:r>
      <w:r w:rsidRPr="007347F0">
        <w:t>CIE.</w:t>
      </w:r>
    </w:p>
    <w:p w14:paraId="7D6A43A9" w14:textId="77777777" w:rsidR="00ED0E85" w:rsidRDefault="00ED0E85" w:rsidP="00ED0E85">
      <w:pPr>
        <w:pStyle w:val="Heading2"/>
        <w:numPr>
          <w:ilvl w:val="1"/>
          <w:numId w:val="5"/>
        </w:numPr>
      </w:pPr>
      <w:bookmarkStart w:id="3569" w:name="_Toc19275516"/>
      <w:bookmarkStart w:id="3570" w:name="_Toc19276126"/>
      <w:bookmarkStart w:id="3571" w:name="_Toc19280125"/>
      <w:bookmarkStart w:id="3572" w:name="_Toc16168103"/>
      <w:r>
        <w:t>Mandatory disclosure for office tenancies</w:t>
      </w:r>
      <w:bookmarkEnd w:id="3569"/>
      <w:bookmarkEnd w:id="3570"/>
      <w:bookmarkEnd w:id="3571"/>
    </w:p>
    <w:p w14:paraId="70B2ADE4" w14:textId="77777777" w:rsidR="00ED0E85" w:rsidRPr="00C74E5C" w:rsidRDefault="00ED0E85" w:rsidP="00ED0E85">
      <w:pPr>
        <w:pStyle w:val="BodyText"/>
      </w:pPr>
      <w:r>
        <w:t>As required by the Terms of Reference, a key consideration in reviewing the CBD Program arrangements for office buildings is whether to expand mandatory disclosure requirements to office tenancies.</w:t>
      </w:r>
    </w:p>
    <w:p w14:paraId="11C5FBA4" w14:textId="77777777" w:rsidR="00ED0E85" w:rsidRDefault="00ED0E85" w:rsidP="00ED0E85">
      <w:pPr>
        <w:pStyle w:val="Heading3"/>
        <w:numPr>
          <w:ilvl w:val="2"/>
          <w:numId w:val="5"/>
        </w:numPr>
      </w:pPr>
      <w:r>
        <w:t>Voluntary uptake of the NABERS office tenancy tool</w:t>
      </w:r>
    </w:p>
    <w:p w14:paraId="73538722" w14:textId="72CC1D43" w:rsidR="00ED0E85" w:rsidRDefault="00ED0E85" w:rsidP="00ED0E85">
      <w:pPr>
        <w:pStyle w:val="BodyText"/>
      </w:pPr>
      <w:r>
        <w:t>Based on NABERS data, there were around 200 current office tenancy ratings as at 30 June 2018. This has been broadly steady for several years (chart </w:t>
      </w:r>
      <w:r>
        <w:rPr>
          <w:noProof/>
        </w:rPr>
        <w:fldChar w:fldCharType="begin"/>
      </w:r>
      <w:r>
        <w:rPr>
          <w:noProof/>
        </w:rPr>
        <w:instrText xml:space="preserve"> REF _Caption1432 </w:instrText>
      </w:r>
      <w:r>
        <w:rPr>
          <w:noProof/>
        </w:rPr>
        <w:fldChar w:fldCharType="separate"/>
      </w:r>
      <w:r w:rsidR="00AD3561">
        <w:rPr>
          <w:noProof/>
        </w:rPr>
        <w:t>6</w:t>
      </w:r>
      <w:r w:rsidR="00AD3561" w:rsidRPr="00695C93">
        <w:rPr>
          <w:noProof/>
        </w:rPr>
        <w:t>.</w:t>
      </w:r>
      <w:r w:rsidR="00AD3561">
        <w:rPr>
          <w:noProof/>
        </w:rPr>
        <w:t>2</w:t>
      </w:r>
      <w:r>
        <w:rPr>
          <w:noProof/>
        </w:rPr>
        <w:fldChar w:fldCharType="end"/>
      </w:r>
      <w:r>
        <w:t>).</w:t>
      </w:r>
    </w:p>
    <w:p w14:paraId="66742B45" w14:textId="77777777" w:rsidR="00ED0E85" w:rsidRDefault="00ED0E85" w:rsidP="00ED0E85">
      <w:pPr>
        <w:pStyle w:val="BodyText"/>
      </w:pPr>
      <w:r>
        <w:t>NABERS estimates that of the buildings that have been rated so far, there may be around 35 400 office tenancies</w:t>
      </w:r>
      <w:r>
        <w:rPr>
          <w:rStyle w:val="FootnoteReference"/>
        </w:rPr>
        <w:footnoteReference w:id="34"/>
      </w:r>
      <w:r>
        <w:t>. This would suggest that the current level of voluntary disclosure is quite low for office tenancies.</w:t>
      </w:r>
    </w:p>
    <w:bookmarkStart w:id="3573" w:name="_Hlk17210941"/>
    <w:p w14:paraId="11ACE317" w14:textId="08D70AF8"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6</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6</w:instrText>
      </w:r>
      <w:r>
        <w:rPr>
          <w:noProof/>
        </w:rPr>
        <w:fldChar w:fldCharType="end"/>
      </w:r>
      <w:r w:rsidRPr="00695C93">
        <w:instrText xml:space="preserve">." </w:instrText>
      </w:r>
      <w:r w:rsidRPr="00695C93">
        <w:fldChar w:fldCharType="separate"/>
      </w:r>
      <w:r w:rsidR="00AD3561">
        <w:rPr>
          <w:noProof/>
        </w:rPr>
        <w:instrText>6</w:instrText>
      </w:r>
      <w:r w:rsidR="00AD3561"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sidR="00C353B5">
        <w:rPr>
          <w:noProof/>
        </w:rPr>
        <w:instrText>6</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6</w:instrText>
      </w:r>
      <w:r>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2</w:instrText>
      </w:r>
      <w:r w:rsidRPr="00695C93">
        <w:fldChar w:fldCharType="end"/>
      </w:r>
      <w:r w:rsidRPr="00695C93">
        <w:instrText xml:space="preserve">" "" </w:instrText>
      </w:r>
      <w:r w:rsidRPr="00695C93">
        <w:fldChar w:fldCharType="separate"/>
      </w:r>
      <w:bookmarkStart w:id="3574" w:name="_Caption9295"/>
      <w:bookmarkStart w:id="3575" w:name="_Caption9497"/>
      <w:bookmarkStart w:id="3576" w:name="_Caption2420"/>
      <w:bookmarkStart w:id="3577" w:name="_Caption3271"/>
      <w:bookmarkStart w:id="3578" w:name="_Caption8325"/>
      <w:bookmarkStart w:id="3579" w:name="_Caption1900"/>
      <w:bookmarkStart w:id="3580" w:name="_Caption4219"/>
      <w:bookmarkStart w:id="3581" w:name="_Caption7185"/>
      <w:bookmarkStart w:id="3582" w:name="_Caption2696"/>
      <w:bookmarkStart w:id="3583" w:name="_Caption2502"/>
      <w:bookmarkStart w:id="3584" w:name="_Caption9997"/>
      <w:bookmarkStart w:id="3585" w:name="_Caption6743"/>
      <w:bookmarkStart w:id="3586" w:name="_Caption7849"/>
      <w:bookmarkStart w:id="3587" w:name="_Caption8686"/>
      <w:bookmarkStart w:id="3588" w:name="_Caption2512"/>
      <w:bookmarkStart w:id="3589" w:name="_Caption0336"/>
      <w:bookmarkStart w:id="3590" w:name="_Caption8789"/>
      <w:bookmarkStart w:id="3591" w:name="_Caption9262"/>
      <w:bookmarkStart w:id="3592" w:name="_Caption9533"/>
      <w:bookmarkStart w:id="3593" w:name="_Caption0695"/>
      <w:bookmarkStart w:id="3594" w:name="_Caption6718"/>
      <w:bookmarkStart w:id="3595" w:name="_Caption5505"/>
      <w:bookmarkStart w:id="3596" w:name="_Caption8392"/>
      <w:bookmarkStart w:id="3597" w:name="_Caption2624"/>
      <w:bookmarkStart w:id="3598" w:name="_Caption8622"/>
      <w:bookmarkStart w:id="3599" w:name="_Caption7026"/>
      <w:bookmarkStart w:id="3600" w:name="_Caption3664"/>
      <w:bookmarkStart w:id="3601" w:name="_Caption9935"/>
      <w:bookmarkStart w:id="3602" w:name="_Caption8374"/>
      <w:bookmarkStart w:id="3603" w:name="_Caption5890"/>
      <w:bookmarkStart w:id="3604" w:name="_Caption8406"/>
      <w:bookmarkStart w:id="3605" w:name="_Caption2597"/>
      <w:bookmarkStart w:id="3606" w:name="_Caption3393"/>
      <w:bookmarkStart w:id="3607" w:name="_Caption9661"/>
      <w:bookmarkStart w:id="3608" w:name="_Caption7737"/>
      <w:bookmarkStart w:id="3609" w:name="_Caption0523"/>
      <w:bookmarkStart w:id="3610" w:name="_Caption7474"/>
      <w:bookmarkStart w:id="3611" w:name="_Caption1306"/>
      <w:bookmarkStart w:id="3612" w:name="_Caption0610"/>
      <w:bookmarkStart w:id="3613" w:name="_Caption3382"/>
      <w:bookmarkStart w:id="3614" w:name="_Caption9586"/>
      <w:bookmarkStart w:id="3615" w:name="_Caption8578"/>
      <w:bookmarkStart w:id="3616" w:name="_Caption5852"/>
      <w:bookmarkStart w:id="3617" w:name="_Caption9151"/>
      <w:bookmarkStart w:id="3618" w:name="_Caption3314"/>
      <w:bookmarkStart w:id="3619" w:name="_Caption6387"/>
      <w:bookmarkStart w:id="3620" w:name="_Caption3633"/>
      <w:bookmarkStart w:id="3621" w:name="_Caption1008"/>
      <w:bookmarkStart w:id="3622" w:name="_Caption7805"/>
      <w:bookmarkStart w:id="3623" w:name="_Caption0618"/>
      <w:bookmarkStart w:id="3624" w:name="_Caption1432"/>
      <w:bookmarkStart w:id="3625" w:name="_Caption6884"/>
      <w:bookmarkStart w:id="3626" w:name="_Caption5804"/>
      <w:bookmarkStart w:id="3627" w:name="_Caption3048"/>
      <w:bookmarkStart w:id="3628" w:name="_Caption2258"/>
      <w:bookmarkStart w:id="3629" w:name="_Caption9393"/>
      <w:bookmarkStart w:id="3630" w:name="_Caption7424"/>
      <w:bookmarkStart w:id="3631" w:name="_Caption8354"/>
      <w:bookmarkStart w:id="3632" w:name="_Caption8880"/>
      <w:bookmarkStart w:id="3633" w:name="_Caption9638"/>
      <w:bookmarkStart w:id="3634" w:name="_Caption1313"/>
      <w:bookmarkStart w:id="3635" w:name="_Caption9535"/>
      <w:bookmarkStart w:id="3636" w:name="_Caption7033"/>
      <w:bookmarkStart w:id="3637" w:name="_Caption0740"/>
      <w:bookmarkStart w:id="3638" w:name="_Caption5387"/>
      <w:bookmarkStart w:id="3639" w:name="_Caption1398"/>
      <w:bookmarkStart w:id="3640" w:name="_Caption7580"/>
      <w:bookmarkStart w:id="3641" w:name="_Caption2195"/>
      <w:bookmarkStart w:id="3642" w:name="_Caption3615"/>
      <w:bookmarkStart w:id="3643" w:name="_Caption1503"/>
      <w:bookmarkStart w:id="3644" w:name="_Caption8297"/>
      <w:bookmarkStart w:id="3645" w:name="_Caption7894"/>
      <w:bookmarkStart w:id="3646" w:name="_Caption2279"/>
      <w:bookmarkStart w:id="3647" w:name="_Caption5838"/>
      <w:bookmarkStart w:id="3648" w:name="_Caption4537"/>
      <w:bookmarkStart w:id="3649" w:name="_Caption0259"/>
      <w:bookmarkStart w:id="3650" w:name="_Caption7709"/>
      <w:bookmarkStart w:id="3651" w:name="_Caption8947"/>
      <w:bookmarkStart w:id="3652" w:name="_Caption0124"/>
      <w:bookmarkStart w:id="3653" w:name="_Caption5867"/>
      <w:bookmarkStart w:id="3654" w:name="_Caption1722"/>
      <w:bookmarkStart w:id="3655" w:name="_Caption3344"/>
      <w:bookmarkStart w:id="3656" w:name="_Caption5784"/>
      <w:bookmarkStart w:id="3657" w:name="_Caption2985"/>
      <w:bookmarkStart w:id="3658" w:name="_Toc8329472"/>
      <w:bookmarkStart w:id="3659" w:name="_Toc12633731"/>
      <w:bookmarkStart w:id="3660" w:name="_Toc19275604"/>
      <w:bookmarkStart w:id="3661" w:name="_Toc19276214"/>
      <w:bookmarkStart w:id="3662" w:name="_Toc19280213"/>
      <w:r w:rsidR="00C353B5">
        <w:rPr>
          <w:noProof/>
        </w:rPr>
        <w:t>6</w:t>
      </w:r>
      <w:r w:rsidR="00C353B5" w:rsidRPr="00695C93">
        <w:rPr>
          <w:noProof/>
        </w:rPr>
        <w:t>.</w:t>
      </w:r>
      <w:r w:rsidR="00C353B5">
        <w:rPr>
          <w:noProof/>
        </w:rPr>
        <w:t>2</w:t>
      </w:r>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r w:rsidRPr="00695C93">
        <w:fldChar w:fldCharType="end"/>
      </w:r>
      <w:r w:rsidRPr="00695C93">
        <w:tab/>
      </w:r>
      <w:r>
        <w:t>Number of NABERS ratings over time</w:t>
      </w:r>
      <w:bookmarkEnd w:id="3658"/>
      <w:bookmarkEnd w:id="3659"/>
      <w:bookmarkEnd w:id="3660"/>
      <w:bookmarkEnd w:id="3661"/>
      <w:bookmarkEnd w:id="3662"/>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3883F60A" w14:textId="77777777" w:rsidTr="00ED0E85">
        <w:trPr>
          <w:cantSplit/>
        </w:trPr>
        <w:tc>
          <w:tcPr>
            <w:tcW w:w="7938" w:type="dxa"/>
            <w:shd w:val="clear" w:color="auto" w:fill="E9E8E5" w:themeFill="background2"/>
          </w:tcPr>
          <w:p w14:paraId="3090A7D9" w14:textId="77777777" w:rsidR="00ED0E85" w:rsidRDefault="00ED0E85" w:rsidP="00ED0E85">
            <w:pPr>
              <w:pStyle w:val="Chart"/>
              <w:spacing w:after="120"/>
              <w:jc w:val="center"/>
            </w:pPr>
            <w:r w:rsidRPr="00156D79">
              <w:rPr>
                <w:noProof/>
                <w:lang w:eastAsia="en-AU"/>
              </w:rPr>
              <w:drawing>
                <wp:inline distT="0" distB="0" distL="0" distR="0" wp14:anchorId="21B67F0C" wp14:editId="7134A24F">
                  <wp:extent cx="4846320" cy="246888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846320" cy="2468880"/>
                          </a:xfrm>
                          <a:prstGeom prst="rect">
                            <a:avLst/>
                          </a:prstGeom>
                          <a:noFill/>
                          <a:ln>
                            <a:noFill/>
                          </a:ln>
                        </pic:spPr>
                      </pic:pic>
                    </a:graphicData>
                  </a:graphic>
                </wp:inline>
              </w:drawing>
            </w:r>
          </w:p>
        </w:tc>
      </w:tr>
    </w:tbl>
    <w:p w14:paraId="3982BF0A" w14:textId="77777777" w:rsidR="00ED0E85" w:rsidRDefault="00ED0E85" w:rsidP="00ED0E85">
      <w:pPr>
        <w:pStyle w:val="Source"/>
      </w:pPr>
      <w:r>
        <w:rPr>
          <w:i/>
        </w:rPr>
        <w:t>Data source</w:t>
      </w:r>
      <w:r w:rsidRPr="00A67576">
        <w:rPr>
          <w:i/>
        </w:rPr>
        <w:t>:</w:t>
      </w:r>
      <w:r>
        <w:t xml:space="preserve"> The CIE, CBD dataset</w:t>
      </w:r>
    </w:p>
    <w:p w14:paraId="67E7C191" w14:textId="77777777" w:rsidR="00ED0E85" w:rsidRDefault="00ED0E85" w:rsidP="00ED0E85">
      <w:pPr>
        <w:pStyle w:val="Heading3"/>
        <w:numPr>
          <w:ilvl w:val="2"/>
          <w:numId w:val="5"/>
        </w:numPr>
      </w:pPr>
      <w:bookmarkStart w:id="3663" w:name="_Toc8329432"/>
      <w:bookmarkStart w:id="3664" w:name="_Toc16168112"/>
      <w:bookmarkEnd w:id="3573"/>
      <w:r>
        <w:t>Market and behavioural failures</w:t>
      </w:r>
      <w:bookmarkEnd w:id="3663"/>
      <w:bookmarkEnd w:id="3664"/>
    </w:p>
    <w:p w14:paraId="40F9B6D6" w14:textId="77777777" w:rsidR="00ED0E85" w:rsidRDefault="00ED0E85" w:rsidP="00ED0E85">
      <w:pPr>
        <w:pStyle w:val="BodyText"/>
      </w:pPr>
      <w:r>
        <w:t xml:space="preserve">Office tenants on net leases have access to their energy bills and would therefore be aware of the private financial costs associated with their energy usage. It is possible, however, that energy bills (and the resulting greenhouse gas emissions) are higher than they need to be, due to the following market and behavioural failures. </w:t>
      </w:r>
    </w:p>
    <w:p w14:paraId="46E7FD71" w14:textId="77777777" w:rsidR="00ED0E85" w:rsidRDefault="00ED0E85" w:rsidP="00ED0E85">
      <w:pPr>
        <w:pStyle w:val="ListBullet"/>
      </w:pPr>
      <w:r>
        <w:t>Split incentives and information asymmetries in relation to lighting — split incentive arise in relation to lighting because the landlord is responsible for the providing the lighting, while the tenants pays for the associated energy consumption (under net leases). The landlord would therefore bear the cost of a lighting upgrade, while the tenant would receive the benefit. In principle, the landlord would have an incentive to install more energy efficient lighting (where cost-effective) if they are able to recover the costs from tenants (such as through higher rents). However, there may be some underlying barriers, which prevent this from occurring.</w:t>
      </w:r>
    </w:p>
    <w:p w14:paraId="4CF2BFC0" w14:textId="77777777" w:rsidR="00ED0E85" w:rsidRDefault="00ED0E85" w:rsidP="00ED0E85">
      <w:pPr>
        <w:pStyle w:val="ListBullet2"/>
      </w:pPr>
      <w:r>
        <w:t>Leasing arrangements may make it difficult for the landlord to increase rents to recover the cost of a lighting upgrade mid</w:t>
      </w:r>
      <w:r>
        <w:noBreakHyphen/>
        <w:t xml:space="preserve">lease (or the cost of negotiating with tenants may be too high). We note that some leases do require periodic lighting upgrades although landlords typically conduct these between leases. </w:t>
      </w:r>
    </w:p>
    <w:p w14:paraId="17B31194" w14:textId="77777777" w:rsidR="00ED0E85" w:rsidRDefault="00ED0E85" w:rsidP="00ED0E85">
      <w:pPr>
        <w:pStyle w:val="ListBullet2"/>
      </w:pPr>
      <w:r>
        <w:t xml:space="preserve">Information asymmetries when the lease is entered into – this occurs where the tenant does not have information on the efficiency of the lighting when they enter into the lease. This means that the relative efficiency of lighting may not be reflected in rents. The TLA is designed to address this information asymmetry. Whilst the TLA may affect landlord behaviour (by conducting upgrades between leases),  most stakeholders argued that the TLA is rarely looked at by the tenant. Furthermore, the TLA provide technical information on the efficiency of the lighting and the controls; however, it will not always be clear to tenants how those efficiency measures translate into energy costs. </w:t>
      </w:r>
    </w:p>
    <w:p w14:paraId="4BB612A9" w14:textId="77777777" w:rsidR="00ED0E85" w:rsidRDefault="00ED0E85" w:rsidP="00ED0E85">
      <w:pPr>
        <w:pStyle w:val="ListBullet"/>
      </w:pPr>
      <w:r>
        <w:t>Lack of information and bounded rationality — while tenants on a net lease would have full knowledge of their energy costs, they may make sub-optimal decisions for several reasons including the following.</w:t>
      </w:r>
    </w:p>
    <w:p w14:paraId="22F6CA91" w14:textId="77777777" w:rsidR="00ED0E85" w:rsidRDefault="00ED0E85" w:rsidP="00ED0E85">
      <w:pPr>
        <w:pStyle w:val="ListBullet2"/>
      </w:pPr>
      <w:r>
        <w:t>Tenants are unaware how their energy consumption compares to other similar office tenants.</w:t>
      </w:r>
    </w:p>
    <w:p w14:paraId="70C5E91A" w14:textId="77777777" w:rsidR="00ED0E85" w:rsidRDefault="00ED0E85" w:rsidP="00ED0E85">
      <w:pPr>
        <w:pStyle w:val="ListBullet2"/>
      </w:pPr>
      <w:r>
        <w:t>Tenant energy costs may be a relatively small share of overall business costs and therefore receive little attention (i.e. insalience of energy costs).</w:t>
      </w:r>
    </w:p>
    <w:p w14:paraId="738C6EC5" w14:textId="77777777" w:rsidR="00ED0E85" w:rsidRDefault="00ED0E85" w:rsidP="00ED0E85">
      <w:pPr>
        <w:pStyle w:val="ListBullet2"/>
      </w:pPr>
      <w:r>
        <w:t>Tenants may not understand the consequences of their decisions that affect energy consumption and therefore not understand how to reduce energy consumption.</w:t>
      </w:r>
    </w:p>
    <w:p w14:paraId="6D828429" w14:textId="77777777" w:rsidR="00ED0E85" w:rsidRDefault="00ED0E85" w:rsidP="00ED0E85">
      <w:pPr>
        <w:pStyle w:val="Heading3"/>
        <w:numPr>
          <w:ilvl w:val="2"/>
          <w:numId w:val="5"/>
        </w:numPr>
      </w:pPr>
      <w:bookmarkStart w:id="3665" w:name="_Toc8329433"/>
      <w:bookmarkStart w:id="3666" w:name="_Toc16168113"/>
      <w:r>
        <w:t>Would mandatory disclosure drive behavioural change?</w:t>
      </w:r>
      <w:bookmarkEnd w:id="3665"/>
      <w:bookmarkEnd w:id="3666"/>
    </w:p>
    <w:p w14:paraId="4314F7D4" w14:textId="77777777" w:rsidR="00ED0E85" w:rsidRDefault="00ED0E85" w:rsidP="00ED0E85">
      <w:pPr>
        <w:pStyle w:val="BodyText"/>
      </w:pPr>
      <w:r>
        <w:t>Mandatory disclosure would generally only be effective if it overcomes a market or behavioural failure. For office tenancies, a mandatory NABERS rating could help overcome the information barriers associated with reducing energy consumption and greenhouse emissions. Mandatory disclosure would serve to set a benchmark that tenants can measure themselves against. Poor performers may be incentivised (due to realising that lower costs are possible) to improve their overall energy efficiency.</w:t>
      </w:r>
    </w:p>
    <w:p w14:paraId="16745F41" w14:textId="77777777" w:rsidR="00ED0E85" w:rsidRDefault="00ED0E85" w:rsidP="00ED0E85">
      <w:pPr>
        <w:pStyle w:val="BodyText"/>
      </w:pPr>
      <w:r>
        <w:t>This of course, hinges on overall materiality of the energy savings. The private benefits of reduced energy consumption need to outweigh any costs associated with enacting a behavioural change. If energy costs are a small proportion of overall tenants’ costs, then they may lack the incentive to reduce energy consumption.</w:t>
      </w:r>
    </w:p>
    <w:p w14:paraId="0976EEEC" w14:textId="02896D1B" w:rsidR="00ED0E85" w:rsidRDefault="00ED0E85" w:rsidP="00ED0E85">
      <w:pPr>
        <w:pStyle w:val="BodyText"/>
      </w:pPr>
      <w:r>
        <w:t xml:space="preserve">For those tenants that have rate voluntarily, the average NABERS rating for office tenancies rated multiple times has improved; however, the number of tenants that acquire additional ratings after the first rating falls significantly (chart </w:t>
      </w:r>
      <w:r>
        <w:rPr>
          <w:noProof/>
        </w:rPr>
        <w:fldChar w:fldCharType="begin"/>
      </w:r>
      <w:r>
        <w:rPr>
          <w:noProof/>
        </w:rPr>
        <w:instrText xml:space="preserve"> REF _Caption0236 </w:instrText>
      </w:r>
      <w:r>
        <w:rPr>
          <w:noProof/>
        </w:rPr>
        <w:fldChar w:fldCharType="separate"/>
      </w:r>
      <w:r w:rsidR="00AD3561">
        <w:rPr>
          <w:noProof/>
        </w:rPr>
        <w:t>6</w:t>
      </w:r>
      <w:r w:rsidR="00AD3561" w:rsidRPr="000143AD">
        <w:rPr>
          <w:noProof/>
        </w:rPr>
        <w:t>.</w:t>
      </w:r>
      <w:r w:rsidR="00AD3561">
        <w:rPr>
          <w:noProof/>
        </w:rPr>
        <w:t>3</w:t>
      </w:r>
      <w:r>
        <w:rPr>
          <w:noProof/>
        </w:rPr>
        <w:fldChar w:fldCharType="end"/>
      </w:r>
      <w:r>
        <w:t>).</w:t>
      </w:r>
    </w:p>
    <w:p w14:paraId="32B890F4" w14:textId="01E7AE52" w:rsidR="00ED0E85" w:rsidRPr="00695C93" w:rsidRDefault="00ED0E85" w:rsidP="00ED0E85">
      <w:pPr>
        <w:pStyle w:val="Caption"/>
      </w:pPr>
      <w:r w:rsidRPr="000143AD">
        <w:fldChar w:fldCharType="begin"/>
      </w:r>
      <w:r w:rsidRPr="000143AD">
        <w:instrText xml:space="preserve"> IF 1 = 1 "</w:instrText>
      </w:r>
      <w:r w:rsidRPr="000143AD">
        <w:fldChar w:fldCharType="begin"/>
      </w:r>
      <w:r w:rsidRPr="000143AD">
        <w:instrText xml:space="preserve"> IF </w:instrText>
      </w:r>
      <w:r w:rsidRPr="000143AD">
        <w:rPr>
          <w:noProof/>
        </w:rPr>
        <w:fldChar w:fldCharType="begin"/>
      </w:r>
      <w:r w:rsidRPr="000143AD">
        <w:rPr>
          <w:noProof/>
        </w:rPr>
        <w:instrText xml:space="preserve"> STYLEREF "Heading 6" \l \n </w:instrText>
      </w:r>
      <w:r w:rsidRPr="000143AD">
        <w:rPr>
          <w:noProof/>
        </w:rPr>
        <w:fldChar w:fldCharType="separate"/>
      </w:r>
      <w:r w:rsidR="00AD3561">
        <w:rPr>
          <w:noProof/>
        </w:rPr>
        <w:instrText>0</w:instrText>
      </w:r>
      <w:r w:rsidRPr="000143AD">
        <w:rPr>
          <w:noProof/>
        </w:rPr>
        <w:fldChar w:fldCharType="end"/>
      </w:r>
      <w:r w:rsidRPr="000143AD">
        <w:instrText xml:space="preserve"> = 0 "</w:instrText>
      </w:r>
      <w:r w:rsidRPr="000143AD">
        <w:fldChar w:fldCharType="begin"/>
      </w:r>
      <w:r w:rsidRPr="000143AD">
        <w:instrText xml:space="preserve"> IF </w:instrText>
      </w:r>
      <w:r w:rsidRPr="000143AD">
        <w:rPr>
          <w:noProof/>
        </w:rPr>
        <w:fldChar w:fldCharType="begin"/>
      </w:r>
      <w:r w:rsidRPr="000143AD">
        <w:rPr>
          <w:noProof/>
        </w:rPr>
        <w:instrText xml:space="preserve"> STYLEREF "Heading 1" \l \n </w:instrText>
      </w:r>
      <w:r w:rsidRPr="000143AD">
        <w:rPr>
          <w:noProof/>
        </w:rPr>
        <w:fldChar w:fldCharType="separate"/>
      </w:r>
      <w:r w:rsidR="00AD3561">
        <w:rPr>
          <w:noProof/>
        </w:rPr>
        <w:instrText>6</w:instrText>
      </w:r>
      <w:r w:rsidRPr="000143AD">
        <w:rPr>
          <w:noProof/>
        </w:rPr>
        <w:fldChar w:fldCharType="end"/>
      </w:r>
      <w:r w:rsidRPr="000143AD">
        <w:instrText xml:space="preserve"> = 0 "" "</w:instrText>
      </w:r>
      <w:r w:rsidRPr="000143AD">
        <w:rPr>
          <w:noProof/>
        </w:rPr>
        <w:fldChar w:fldCharType="begin"/>
      </w:r>
      <w:r w:rsidRPr="000143AD">
        <w:rPr>
          <w:noProof/>
        </w:rPr>
        <w:instrText xml:space="preserve"> STYLEREF "Heading 1" \l \n </w:instrText>
      </w:r>
      <w:r w:rsidRPr="000143AD">
        <w:rPr>
          <w:noProof/>
        </w:rPr>
        <w:fldChar w:fldCharType="separate"/>
      </w:r>
      <w:r w:rsidR="00AD3561">
        <w:rPr>
          <w:noProof/>
        </w:rPr>
        <w:instrText>6</w:instrText>
      </w:r>
      <w:r w:rsidRPr="000143AD">
        <w:rPr>
          <w:noProof/>
        </w:rPr>
        <w:fldChar w:fldCharType="end"/>
      </w:r>
      <w:r w:rsidRPr="000143AD">
        <w:instrText xml:space="preserve">." </w:instrText>
      </w:r>
      <w:r w:rsidRPr="000143AD">
        <w:fldChar w:fldCharType="separate"/>
      </w:r>
      <w:r w:rsidR="00AD3561">
        <w:rPr>
          <w:noProof/>
        </w:rPr>
        <w:instrText>6</w:instrText>
      </w:r>
      <w:r w:rsidR="00AD3561" w:rsidRPr="000143AD">
        <w:rPr>
          <w:noProof/>
        </w:rPr>
        <w:instrText>.</w:instrText>
      </w:r>
      <w:r w:rsidRPr="000143AD">
        <w:fldChar w:fldCharType="end"/>
      </w:r>
      <w:r w:rsidRPr="000143AD">
        <w:instrText>" "</w:instrText>
      </w:r>
      <w:r w:rsidRPr="000143AD">
        <w:rPr>
          <w:noProof/>
        </w:rPr>
        <w:fldChar w:fldCharType="begin"/>
      </w:r>
      <w:r w:rsidRPr="000143AD">
        <w:rPr>
          <w:noProof/>
        </w:rPr>
        <w:instrText xml:space="preserve"> STYLEREF "Heading 6" \l \n </w:instrText>
      </w:r>
      <w:r w:rsidRPr="000143AD">
        <w:rPr>
          <w:noProof/>
        </w:rPr>
        <w:fldChar w:fldCharType="separate"/>
      </w:r>
      <w:r w:rsidRPr="000143AD">
        <w:rPr>
          <w:noProof/>
        </w:rPr>
        <w:instrText>A</w:instrText>
      </w:r>
      <w:r w:rsidRPr="000143AD">
        <w:rPr>
          <w:noProof/>
        </w:rPr>
        <w:fldChar w:fldCharType="end"/>
      </w:r>
      <w:r w:rsidRPr="000143AD">
        <w:instrText xml:space="preserve">." </w:instrText>
      </w:r>
      <w:r w:rsidRPr="000143AD">
        <w:fldChar w:fldCharType="separate"/>
      </w:r>
      <w:r w:rsidR="00C353B5">
        <w:rPr>
          <w:noProof/>
        </w:rPr>
        <w:instrText>6</w:instrText>
      </w:r>
      <w:r w:rsidR="00C353B5" w:rsidRPr="000143AD">
        <w:rPr>
          <w:noProof/>
        </w:rPr>
        <w:instrText>.</w:instrText>
      </w:r>
      <w:r w:rsidRPr="000143AD">
        <w:fldChar w:fldCharType="end"/>
      </w:r>
      <w:r w:rsidRPr="000143AD">
        <w:fldChar w:fldCharType="begin"/>
      </w:r>
      <w:r w:rsidRPr="000143AD">
        <w:instrText xml:space="preserve"> SEQ Item \* ARABIC \s </w:instrText>
      </w:r>
      <w:r w:rsidRPr="000143AD">
        <w:fldChar w:fldCharType="begin"/>
      </w:r>
      <w:r w:rsidRPr="000143AD">
        <w:instrText xml:space="preserve"> IF </w:instrText>
      </w:r>
      <w:r w:rsidRPr="000143AD">
        <w:rPr>
          <w:noProof/>
        </w:rPr>
        <w:fldChar w:fldCharType="begin"/>
      </w:r>
      <w:r w:rsidRPr="000143AD">
        <w:rPr>
          <w:noProof/>
        </w:rPr>
        <w:instrText xml:space="preserve"> STYLEREF "Heading 6" \l \n </w:instrText>
      </w:r>
      <w:r w:rsidRPr="000143AD">
        <w:rPr>
          <w:noProof/>
        </w:rPr>
        <w:fldChar w:fldCharType="separate"/>
      </w:r>
      <w:r w:rsidR="00AD3561">
        <w:rPr>
          <w:noProof/>
        </w:rPr>
        <w:instrText>0</w:instrText>
      </w:r>
      <w:r w:rsidRPr="000143AD">
        <w:rPr>
          <w:noProof/>
        </w:rPr>
        <w:fldChar w:fldCharType="end"/>
      </w:r>
      <w:r w:rsidRPr="000143AD">
        <w:instrText xml:space="preserve"> = 0 "</w:instrText>
      </w:r>
      <w:r w:rsidRPr="000143AD">
        <w:fldChar w:fldCharType="begin"/>
      </w:r>
      <w:r w:rsidRPr="000143AD">
        <w:instrText xml:space="preserve"> IF </w:instrText>
      </w:r>
      <w:r w:rsidRPr="000143AD">
        <w:rPr>
          <w:noProof/>
        </w:rPr>
        <w:fldChar w:fldCharType="begin"/>
      </w:r>
      <w:r w:rsidRPr="000143AD">
        <w:rPr>
          <w:noProof/>
        </w:rPr>
        <w:instrText xml:space="preserve"> STYLEREF "Heading 1" \l \n </w:instrText>
      </w:r>
      <w:r w:rsidRPr="000143AD">
        <w:rPr>
          <w:noProof/>
        </w:rPr>
        <w:fldChar w:fldCharType="separate"/>
      </w:r>
      <w:r w:rsidR="00AD3561">
        <w:rPr>
          <w:noProof/>
        </w:rPr>
        <w:instrText>6</w:instrText>
      </w:r>
      <w:r w:rsidRPr="000143AD">
        <w:rPr>
          <w:noProof/>
        </w:rPr>
        <w:fldChar w:fldCharType="end"/>
      </w:r>
      <w:r w:rsidRPr="000143AD">
        <w:instrText xml:space="preserve"> = 0 "" "1" </w:instrText>
      </w:r>
      <w:r w:rsidRPr="000143AD">
        <w:fldChar w:fldCharType="separate"/>
      </w:r>
      <w:r w:rsidR="00C353B5" w:rsidRPr="000143AD">
        <w:rPr>
          <w:noProof/>
        </w:rPr>
        <w:instrText>1</w:instrText>
      </w:r>
      <w:r w:rsidRPr="000143AD">
        <w:fldChar w:fldCharType="end"/>
      </w:r>
      <w:r w:rsidRPr="000143AD">
        <w:instrText xml:space="preserve">" "6" </w:instrText>
      </w:r>
      <w:r w:rsidRPr="000143AD">
        <w:fldChar w:fldCharType="separate"/>
      </w:r>
      <w:r w:rsidR="00C353B5" w:rsidRPr="000143AD">
        <w:rPr>
          <w:noProof/>
        </w:rPr>
        <w:instrText>1</w:instrText>
      </w:r>
      <w:r w:rsidRPr="000143AD">
        <w:fldChar w:fldCharType="end"/>
      </w:r>
      <w:r w:rsidRPr="000143AD">
        <w:instrText xml:space="preserve"> </w:instrText>
      </w:r>
      <w:r w:rsidRPr="000143AD">
        <w:fldChar w:fldCharType="separate"/>
      </w:r>
      <w:r w:rsidR="00AD3561">
        <w:rPr>
          <w:noProof/>
        </w:rPr>
        <w:instrText>3</w:instrText>
      </w:r>
      <w:r w:rsidRPr="000143AD">
        <w:fldChar w:fldCharType="end"/>
      </w:r>
      <w:r w:rsidRPr="000143AD">
        <w:instrText xml:space="preserve">" "" </w:instrText>
      </w:r>
      <w:r w:rsidRPr="000143AD">
        <w:fldChar w:fldCharType="separate"/>
      </w:r>
      <w:bookmarkStart w:id="3667" w:name="_Caption0603"/>
      <w:bookmarkStart w:id="3668" w:name="_Caption2049"/>
      <w:bookmarkStart w:id="3669" w:name="_Caption3341"/>
      <w:bookmarkStart w:id="3670" w:name="_Caption1187"/>
      <w:bookmarkStart w:id="3671" w:name="_Caption1677"/>
      <w:bookmarkStart w:id="3672" w:name="_Caption8416"/>
      <w:bookmarkStart w:id="3673" w:name="_Caption0652"/>
      <w:bookmarkStart w:id="3674" w:name="_Caption4879"/>
      <w:bookmarkStart w:id="3675" w:name="_Caption2896"/>
      <w:bookmarkStart w:id="3676" w:name="_Caption4571"/>
      <w:bookmarkStart w:id="3677" w:name="_Caption8903"/>
      <w:bookmarkStart w:id="3678" w:name="_Caption1550"/>
      <w:bookmarkStart w:id="3679" w:name="_Caption9437"/>
      <w:bookmarkStart w:id="3680" w:name="_Caption3920"/>
      <w:bookmarkStart w:id="3681" w:name="_Caption8601"/>
      <w:bookmarkStart w:id="3682" w:name="_Caption5316"/>
      <w:bookmarkStart w:id="3683" w:name="_Caption2848"/>
      <w:bookmarkStart w:id="3684" w:name="_Caption4069"/>
      <w:bookmarkStart w:id="3685" w:name="_Caption0562"/>
      <w:bookmarkStart w:id="3686" w:name="_Caption8265"/>
      <w:bookmarkStart w:id="3687" w:name="_Caption5243"/>
      <w:bookmarkStart w:id="3688" w:name="_Caption6225"/>
      <w:bookmarkStart w:id="3689" w:name="_Caption6998"/>
      <w:bookmarkStart w:id="3690" w:name="_Caption0883"/>
      <w:bookmarkStart w:id="3691" w:name="_Caption7909"/>
      <w:bookmarkStart w:id="3692" w:name="_Caption1504"/>
      <w:bookmarkStart w:id="3693" w:name="_Caption4786"/>
      <w:bookmarkStart w:id="3694" w:name="_Caption5542"/>
      <w:bookmarkStart w:id="3695" w:name="_Caption9144"/>
      <w:bookmarkStart w:id="3696" w:name="_Caption9642"/>
      <w:bookmarkStart w:id="3697" w:name="_Caption8668"/>
      <w:bookmarkStart w:id="3698" w:name="_Caption5089"/>
      <w:bookmarkStart w:id="3699" w:name="_Caption8147"/>
      <w:bookmarkStart w:id="3700" w:name="_Caption9916"/>
      <w:bookmarkStart w:id="3701" w:name="_Caption8685"/>
      <w:bookmarkStart w:id="3702" w:name="_Caption8281"/>
      <w:bookmarkStart w:id="3703" w:name="_Caption9768"/>
      <w:bookmarkStart w:id="3704" w:name="_Caption0234"/>
      <w:bookmarkStart w:id="3705" w:name="_Caption7146"/>
      <w:bookmarkStart w:id="3706" w:name="_Caption8715"/>
      <w:bookmarkStart w:id="3707" w:name="_Caption4765"/>
      <w:bookmarkStart w:id="3708" w:name="_Caption8580"/>
      <w:bookmarkStart w:id="3709" w:name="_Caption6306"/>
      <w:bookmarkStart w:id="3710" w:name="_Caption5940"/>
      <w:bookmarkStart w:id="3711" w:name="_Caption6421"/>
      <w:bookmarkStart w:id="3712" w:name="_Caption8696"/>
      <w:bookmarkStart w:id="3713" w:name="_Caption2422"/>
      <w:bookmarkStart w:id="3714" w:name="_Caption0546"/>
      <w:bookmarkStart w:id="3715" w:name="_Caption1113"/>
      <w:bookmarkStart w:id="3716" w:name="_Caption3312"/>
      <w:bookmarkStart w:id="3717" w:name="_Caption4868"/>
      <w:bookmarkStart w:id="3718" w:name="_Caption9887"/>
      <w:bookmarkStart w:id="3719" w:name="_Caption1406"/>
      <w:bookmarkStart w:id="3720" w:name="_Caption2393"/>
      <w:bookmarkStart w:id="3721" w:name="_Caption0236"/>
      <w:bookmarkStart w:id="3722" w:name="_Caption2574"/>
      <w:bookmarkStart w:id="3723" w:name="_Caption6839"/>
      <w:bookmarkStart w:id="3724" w:name="_Caption5610"/>
      <w:bookmarkStart w:id="3725" w:name="_Caption2329"/>
      <w:bookmarkStart w:id="3726" w:name="_Caption5049"/>
      <w:bookmarkStart w:id="3727" w:name="_Caption2225"/>
      <w:bookmarkStart w:id="3728" w:name="_Caption9587"/>
      <w:bookmarkStart w:id="3729" w:name="_Caption2562"/>
      <w:bookmarkStart w:id="3730" w:name="_Caption7828"/>
      <w:bookmarkStart w:id="3731" w:name="_Caption7760"/>
      <w:bookmarkStart w:id="3732" w:name="_Caption2267"/>
      <w:bookmarkStart w:id="3733" w:name="_Caption4947"/>
      <w:bookmarkStart w:id="3734" w:name="_Caption8657"/>
      <w:bookmarkStart w:id="3735" w:name="_Caption1078"/>
      <w:bookmarkStart w:id="3736" w:name="_Caption2733"/>
      <w:bookmarkStart w:id="3737" w:name="_Caption9230"/>
      <w:bookmarkStart w:id="3738" w:name="_Caption2016"/>
      <w:bookmarkStart w:id="3739" w:name="_Caption3531"/>
      <w:bookmarkStart w:id="3740" w:name="_Caption7666"/>
      <w:bookmarkStart w:id="3741" w:name="_Caption5053"/>
      <w:bookmarkStart w:id="3742" w:name="_Caption9189"/>
      <w:bookmarkStart w:id="3743" w:name="_Caption7995"/>
      <w:bookmarkStart w:id="3744" w:name="_Caption3250"/>
      <w:bookmarkStart w:id="3745" w:name="_Caption9203"/>
      <w:bookmarkStart w:id="3746" w:name="_Caption3805"/>
      <w:bookmarkStart w:id="3747" w:name="_Caption3328"/>
      <w:bookmarkStart w:id="3748" w:name="_Caption2714"/>
      <w:bookmarkStart w:id="3749" w:name="_Caption3126"/>
      <w:bookmarkStart w:id="3750" w:name="_Caption6604"/>
      <w:bookmarkStart w:id="3751" w:name="_Caption3732"/>
      <w:bookmarkStart w:id="3752" w:name="_Caption2919"/>
      <w:bookmarkStart w:id="3753" w:name="_Toc8329473"/>
      <w:bookmarkStart w:id="3754" w:name="_Toc12633732"/>
      <w:bookmarkStart w:id="3755" w:name="_Toc19275605"/>
      <w:bookmarkStart w:id="3756" w:name="_Toc19276215"/>
      <w:bookmarkStart w:id="3757" w:name="_Toc19280214"/>
      <w:r w:rsidR="00C353B5">
        <w:rPr>
          <w:noProof/>
        </w:rPr>
        <w:t>6</w:t>
      </w:r>
      <w:r w:rsidR="00C353B5" w:rsidRPr="000143AD">
        <w:rPr>
          <w:noProof/>
        </w:rPr>
        <w:t>.</w:t>
      </w:r>
      <w:r w:rsidR="00C353B5">
        <w:rPr>
          <w:noProof/>
        </w:rPr>
        <w:t>3</w:t>
      </w:r>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r w:rsidRPr="000143AD">
        <w:fldChar w:fldCharType="end"/>
      </w:r>
      <w:r w:rsidRPr="000143AD">
        <w:tab/>
      </w:r>
      <w:bookmarkEnd w:id="3753"/>
      <w:r w:rsidRPr="000143AD">
        <w:t>Average NABERS rating over time</w:t>
      </w:r>
      <w:bookmarkEnd w:id="3754"/>
      <w:bookmarkEnd w:id="3755"/>
      <w:bookmarkEnd w:id="3756"/>
      <w:bookmarkEnd w:id="3757"/>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53955A0F" w14:textId="77777777" w:rsidTr="00ED0E85">
        <w:trPr>
          <w:cantSplit/>
        </w:trPr>
        <w:tc>
          <w:tcPr>
            <w:tcW w:w="7938" w:type="dxa"/>
            <w:shd w:val="clear" w:color="auto" w:fill="E9E8E5" w:themeFill="background2"/>
          </w:tcPr>
          <w:p w14:paraId="6D9DA379" w14:textId="77777777" w:rsidR="00ED0E85" w:rsidRDefault="00D84794" w:rsidP="00D84794">
            <w:pPr>
              <w:pStyle w:val="Chart"/>
              <w:spacing w:after="120"/>
              <w:jc w:val="center"/>
            </w:pPr>
            <w:r w:rsidRPr="00C72733">
              <w:rPr>
                <w:noProof/>
                <w:lang w:eastAsia="en-AU"/>
              </w:rPr>
              <w:drawing>
                <wp:inline distT="0" distB="0" distL="0" distR="0" wp14:anchorId="0B439E53" wp14:editId="3C1D7FBD">
                  <wp:extent cx="5040630" cy="2450465"/>
                  <wp:effectExtent l="0" t="0" r="7620" b="698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40630" cy="2450465"/>
                          </a:xfrm>
                          <a:prstGeom prst="rect">
                            <a:avLst/>
                          </a:prstGeom>
                          <a:noFill/>
                          <a:ln>
                            <a:noFill/>
                          </a:ln>
                        </pic:spPr>
                      </pic:pic>
                    </a:graphicData>
                  </a:graphic>
                </wp:inline>
              </w:drawing>
            </w:r>
          </w:p>
        </w:tc>
      </w:tr>
    </w:tbl>
    <w:p w14:paraId="23ACCA17" w14:textId="77777777" w:rsidR="00ED0E85" w:rsidRDefault="00ED0E85" w:rsidP="00ED0E85">
      <w:pPr>
        <w:pStyle w:val="Source"/>
      </w:pPr>
      <w:r>
        <w:rPr>
          <w:i/>
        </w:rPr>
        <w:t>Data source</w:t>
      </w:r>
      <w:r w:rsidRPr="00A67576">
        <w:rPr>
          <w:i/>
        </w:rPr>
        <w:t>:</w:t>
      </w:r>
      <w:r>
        <w:t xml:space="preserve"> The CIE, CBD dataset</w:t>
      </w:r>
    </w:p>
    <w:p w14:paraId="36D1A9A0" w14:textId="75BA8E83" w:rsidR="00ED0E85" w:rsidRDefault="00ED0E85" w:rsidP="00ED0E85">
      <w:pPr>
        <w:pStyle w:val="ListBullet"/>
        <w:numPr>
          <w:ilvl w:val="0"/>
          <w:numId w:val="0"/>
        </w:numPr>
      </w:pPr>
      <w:r>
        <w:t>Nevertheless, around 40 per cent of office tenancies that have rated multiple times had no change in rating, while those that improved mainly saw increases in their rating by 0.5 to 1 star (chart </w:t>
      </w:r>
      <w:r w:rsidR="004550CB">
        <w:rPr>
          <w:noProof/>
        </w:rPr>
        <w:fldChar w:fldCharType="begin"/>
      </w:r>
      <w:r w:rsidR="004550CB">
        <w:rPr>
          <w:noProof/>
        </w:rPr>
        <w:instrText xml:space="preserve"> REF _Caption2247 </w:instrText>
      </w:r>
      <w:r w:rsidR="004550CB">
        <w:rPr>
          <w:noProof/>
        </w:rPr>
        <w:fldChar w:fldCharType="separate"/>
      </w:r>
      <w:r w:rsidR="00AD3561">
        <w:rPr>
          <w:noProof/>
        </w:rPr>
        <w:t>6</w:t>
      </w:r>
      <w:r w:rsidR="00AD3561" w:rsidRPr="00695C93">
        <w:rPr>
          <w:noProof/>
        </w:rPr>
        <w:t>.</w:t>
      </w:r>
      <w:r w:rsidR="00AD3561">
        <w:rPr>
          <w:noProof/>
        </w:rPr>
        <w:t>4</w:t>
      </w:r>
      <w:r w:rsidR="004550CB">
        <w:rPr>
          <w:noProof/>
        </w:rPr>
        <w:fldChar w:fldCharType="end"/>
      </w:r>
      <w:r>
        <w:t>).</w:t>
      </w:r>
    </w:p>
    <w:bookmarkStart w:id="3758" w:name="_Hlk17210977"/>
    <w:p w14:paraId="24652DBA" w14:textId="0ED50C06"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6</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6</w:instrText>
      </w:r>
      <w:r>
        <w:rPr>
          <w:noProof/>
        </w:rPr>
        <w:fldChar w:fldCharType="end"/>
      </w:r>
      <w:r w:rsidRPr="00695C93">
        <w:instrText xml:space="preserve">." </w:instrText>
      </w:r>
      <w:r w:rsidRPr="00695C93">
        <w:fldChar w:fldCharType="separate"/>
      </w:r>
      <w:r w:rsidR="00AD3561">
        <w:rPr>
          <w:noProof/>
        </w:rPr>
        <w:instrText>6</w:instrText>
      </w:r>
      <w:r w:rsidR="00AD3561"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sidR="00C353B5">
        <w:rPr>
          <w:noProof/>
        </w:rPr>
        <w:instrText>6</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6</w:instrText>
      </w:r>
      <w:r>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4</w:instrText>
      </w:r>
      <w:r w:rsidRPr="00695C93">
        <w:fldChar w:fldCharType="end"/>
      </w:r>
      <w:r w:rsidRPr="00695C93">
        <w:instrText xml:space="preserve">" "" </w:instrText>
      </w:r>
      <w:r w:rsidRPr="00695C93">
        <w:fldChar w:fldCharType="separate"/>
      </w:r>
      <w:bookmarkStart w:id="3759" w:name="_Caption1992"/>
      <w:bookmarkStart w:id="3760" w:name="_Caption6602"/>
      <w:bookmarkStart w:id="3761" w:name="_Caption1072"/>
      <w:bookmarkStart w:id="3762" w:name="_Caption9157"/>
      <w:bookmarkStart w:id="3763" w:name="_Caption9301"/>
      <w:bookmarkStart w:id="3764" w:name="_Caption2983"/>
      <w:bookmarkStart w:id="3765" w:name="_Caption2670"/>
      <w:bookmarkStart w:id="3766" w:name="_Caption5240"/>
      <w:bookmarkStart w:id="3767" w:name="_Caption0266"/>
      <w:bookmarkStart w:id="3768" w:name="_Caption5706"/>
      <w:bookmarkStart w:id="3769" w:name="_Caption4697"/>
      <w:bookmarkStart w:id="3770" w:name="_Caption4474"/>
      <w:bookmarkStart w:id="3771" w:name="_Caption7916"/>
      <w:bookmarkStart w:id="3772" w:name="_Caption1095"/>
      <w:bookmarkStart w:id="3773" w:name="_Caption8410"/>
      <w:bookmarkStart w:id="3774" w:name="_Caption2539"/>
      <w:bookmarkStart w:id="3775" w:name="_Caption8255"/>
      <w:bookmarkStart w:id="3776" w:name="_Caption2507"/>
      <w:bookmarkStart w:id="3777" w:name="_Caption9774"/>
      <w:bookmarkStart w:id="3778" w:name="_Caption6154"/>
      <w:bookmarkStart w:id="3779" w:name="_Caption4616"/>
      <w:bookmarkStart w:id="3780" w:name="_Caption8814"/>
      <w:bookmarkStart w:id="3781" w:name="_Caption8600"/>
      <w:bookmarkStart w:id="3782" w:name="_Caption8897"/>
      <w:bookmarkStart w:id="3783" w:name="_Caption9220"/>
      <w:bookmarkStart w:id="3784" w:name="_Caption3611"/>
      <w:bookmarkStart w:id="3785" w:name="_Caption2912"/>
      <w:bookmarkStart w:id="3786" w:name="_Caption7413"/>
      <w:bookmarkStart w:id="3787" w:name="_Caption3450"/>
      <w:bookmarkStart w:id="3788" w:name="_Caption0095"/>
      <w:bookmarkStart w:id="3789" w:name="_Caption6999"/>
      <w:bookmarkStart w:id="3790" w:name="_Caption0996"/>
      <w:bookmarkStart w:id="3791" w:name="_Caption7676"/>
      <w:bookmarkStart w:id="3792" w:name="_Caption7286"/>
      <w:bookmarkStart w:id="3793" w:name="_Caption9904"/>
      <w:bookmarkStart w:id="3794" w:name="_Caption5651"/>
      <w:bookmarkStart w:id="3795" w:name="_Caption6792"/>
      <w:bookmarkStart w:id="3796" w:name="_Caption7431"/>
      <w:bookmarkStart w:id="3797" w:name="_Caption1017"/>
      <w:bookmarkStart w:id="3798" w:name="_Caption0785"/>
      <w:bookmarkStart w:id="3799" w:name="_Caption5539"/>
      <w:bookmarkStart w:id="3800" w:name="_Caption7325"/>
      <w:bookmarkStart w:id="3801" w:name="_Caption4877"/>
      <w:bookmarkStart w:id="3802" w:name="_Caption4846"/>
      <w:bookmarkStart w:id="3803" w:name="_Caption8664"/>
      <w:bookmarkStart w:id="3804" w:name="_Caption0445"/>
      <w:bookmarkStart w:id="3805" w:name="_Caption9670"/>
      <w:bookmarkStart w:id="3806" w:name="_Caption7143"/>
      <w:bookmarkStart w:id="3807" w:name="_Caption2247"/>
      <w:bookmarkStart w:id="3808" w:name="_Caption1618"/>
      <w:bookmarkStart w:id="3809" w:name="_Caption5321"/>
      <w:bookmarkStart w:id="3810" w:name="_Caption4266"/>
      <w:bookmarkStart w:id="3811" w:name="_Caption6385"/>
      <w:bookmarkStart w:id="3812" w:name="_Caption9509"/>
      <w:bookmarkStart w:id="3813" w:name="_Caption7525"/>
      <w:bookmarkStart w:id="3814" w:name="_Caption3674"/>
      <w:bookmarkStart w:id="3815" w:name="_Caption6091"/>
      <w:bookmarkStart w:id="3816" w:name="_Caption1032"/>
      <w:bookmarkStart w:id="3817" w:name="_Caption4145"/>
      <w:bookmarkStart w:id="3818" w:name="_Caption6864"/>
      <w:bookmarkStart w:id="3819" w:name="_Caption5923"/>
      <w:bookmarkStart w:id="3820" w:name="_Caption5863"/>
      <w:bookmarkStart w:id="3821" w:name="_Caption3789"/>
      <w:bookmarkStart w:id="3822" w:name="_Caption5626"/>
      <w:bookmarkStart w:id="3823" w:name="_Caption3086"/>
      <w:bookmarkStart w:id="3824" w:name="_Caption6565"/>
      <w:bookmarkStart w:id="3825" w:name="_Caption0295"/>
      <w:bookmarkStart w:id="3826" w:name="_Caption1501"/>
      <w:bookmarkStart w:id="3827" w:name="_Caption2039"/>
      <w:bookmarkStart w:id="3828" w:name="_Caption2586"/>
      <w:bookmarkStart w:id="3829" w:name="_Caption6092"/>
      <w:bookmarkStart w:id="3830" w:name="_Caption6676"/>
      <w:bookmarkStart w:id="3831" w:name="_Caption9987"/>
      <w:bookmarkStart w:id="3832" w:name="_Caption2087"/>
      <w:bookmarkStart w:id="3833" w:name="_Caption6318"/>
      <w:bookmarkStart w:id="3834" w:name="_Caption6549"/>
      <w:bookmarkStart w:id="3835" w:name="_Caption0693"/>
      <w:bookmarkStart w:id="3836" w:name="_Caption8769"/>
      <w:bookmarkStart w:id="3837" w:name="_Caption9404"/>
      <w:bookmarkStart w:id="3838" w:name="_Caption8655"/>
      <w:bookmarkStart w:id="3839" w:name="_Caption2925"/>
      <w:bookmarkStart w:id="3840" w:name="_Caption5236"/>
      <w:bookmarkStart w:id="3841" w:name="_Caption4663"/>
      <w:bookmarkStart w:id="3842" w:name="_Caption6076"/>
      <w:bookmarkStart w:id="3843" w:name="_Caption2611"/>
      <w:bookmarkStart w:id="3844" w:name="_Caption2395"/>
      <w:bookmarkStart w:id="3845" w:name="_Caption1876"/>
      <w:bookmarkStart w:id="3846" w:name="_Toc8329474"/>
      <w:bookmarkStart w:id="3847" w:name="_Toc12633733"/>
      <w:bookmarkStart w:id="3848" w:name="_Toc19275606"/>
      <w:bookmarkStart w:id="3849" w:name="_Toc19276216"/>
      <w:bookmarkStart w:id="3850" w:name="_Toc19280215"/>
      <w:r w:rsidR="00C353B5">
        <w:rPr>
          <w:noProof/>
        </w:rPr>
        <w:t>6</w:t>
      </w:r>
      <w:r w:rsidR="00C353B5" w:rsidRPr="00695C93">
        <w:rPr>
          <w:noProof/>
        </w:rPr>
        <w:t>.</w:t>
      </w:r>
      <w:r w:rsidR="00C353B5">
        <w:rPr>
          <w:noProof/>
        </w:rPr>
        <w:t>4</w:t>
      </w:r>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r w:rsidRPr="00695C93">
        <w:fldChar w:fldCharType="end"/>
      </w:r>
      <w:r w:rsidRPr="00695C93">
        <w:tab/>
      </w:r>
      <w:bookmarkEnd w:id="3846"/>
      <w:r>
        <w:t>Comparing first NABERS rating to last rating</w:t>
      </w:r>
      <w:bookmarkEnd w:id="3847"/>
      <w:bookmarkEnd w:id="3848"/>
      <w:bookmarkEnd w:id="3849"/>
      <w:bookmarkEnd w:id="3850"/>
      <w:r>
        <w:t xml:space="preserve"> </w:t>
      </w: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D84794" w14:paraId="5A639635" w14:textId="77777777" w:rsidTr="00EE1042">
        <w:trPr>
          <w:cantSplit/>
        </w:trPr>
        <w:tc>
          <w:tcPr>
            <w:tcW w:w="7938" w:type="dxa"/>
            <w:shd w:val="clear" w:color="auto" w:fill="E9E8E5" w:themeFill="background2"/>
          </w:tcPr>
          <w:p w14:paraId="589800CD" w14:textId="77777777" w:rsidR="00D84794" w:rsidRDefault="00D84794" w:rsidP="00EE1042">
            <w:pPr>
              <w:pStyle w:val="Chart"/>
              <w:spacing w:after="120"/>
              <w:jc w:val="center"/>
            </w:pPr>
            <w:r w:rsidRPr="00E74AB4">
              <w:rPr>
                <w:noProof/>
                <w:lang w:eastAsia="en-AU"/>
              </w:rPr>
              <w:drawing>
                <wp:inline distT="0" distB="0" distL="0" distR="0" wp14:anchorId="52BA483B" wp14:editId="2E188639">
                  <wp:extent cx="4862946" cy="2430145"/>
                  <wp:effectExtent l="0" t="0" r="0" b="825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62946" cy="2430145"/>
                          </a:xfrm>
                          <a:prstGeom prst="rect">
                            <a:avLst/>
                          </a:prstGeom>
                          <a:noFill/>
                          <a:ln>
                            <a:noFill/>
                          </a:ln>
                        </pic:spPr>
                      </pic:pic>
                    </a:graphicData>
                  </a:graphic>
                </wp:inline>
              </w:drawing>
            </w:r>
          </w:p>
        </w:tc>
      </w:tr>
    </w:tbl>
    <w:p w14:paraId="39865203" w14:textId="77777777" w:rsidR="00ED0E85" w:rsidRDefault="00ED0E85" w:rsidP="00ED0E85">
      <w:pPr>
        <w:pStyle w:val="Source"/>
      </w:pPr>
      <w:r>
        <w:rPr>
          <w:i/>
        </w:rPr>
        <w:t>Data source</w:t>
      </w:r>
      <w:r w:rsidRPr="00A67576">
        <w:rPr>
          <w:i/>
        </w:rPr>
        <w:t>:</w:t>
      </w:r>
      <w:r>
        <w:t xml:space="preserve"> The CIE, CBD dataset</w:t>
      </w:r>
    </w:p>
    <w:bookmarkEnd w:id="3758"/>
    <w:p w14:paraId="71050000" w14:textId="77777777" w:rsidR="00ED0E85" w:rsidRDefault="00ED0E85" w:rsidP="00ED0E85">
      <w:pPr>
        <w:pStyle w:val="BodyText"/>
      </w:pPr>
      <w:r>
        <w:t>In terms of energy intensity, tenancies with more than 1 voluntary NABERS Office Tenancy rating improved by around 23.5 MJ per m</w:t>
      </w:r>
      <w:r w:rsidRPr="00043D7F">
        <w:rPr>
          <w:vertAlign w:val="superscript"/>
        </w:rPr>
        <w:t>2</w:t>
      </w:r>
      <w:r>
        <w:t xml:space="preserve"> or around 6.5 Kwh per m</w:t>
      </w:r>
      <w:r w:rsidRPr="00800106">
        <w:rPr>
          <w:vertAlign w:val="superscript"/>
        </w:rPr>
        <w:t>2</w:t>
      </w:r>
      <w:r>
        <w:t xml:space="preserve"> on average. Note that (unlike the NABERS star rating), this measure would not take into account any changes in the number of people per m</w:t>
      </w:r>
      <w:r w:rsidRPr="00043D7F">
        <w:rPr>
          <w:vertAlign w:val="superscript"/>
        </w:rPr>
        <w:t>2</w:t>
      </w:r>
      <w:r>
        <w:t xml:space="preserve"> accommodated in the office space.</w:t>
      </w:r>
    </w:p>
    <w:p w14:paraId="67DDE1B4" w14:textId="77777777" w:rsidR="00ED0E85" w:rsidRDefault="00ED0E85" w:rsidP="00ED0E85">
      <w:pPr>
        <w:pStyle w:val="BodyText"/>
      </w:pPr>
      <w:r>
        <w:t>We also compare the change in energy intensity of tenants with a voluntary NABERS rating with:</w:t>
      </w:r>
    </w:p>
    <w:p w14:paraId="4628B133" w14:textId="77777777" w:rsidR="00ED0E85" w:rsidRDefault="00ED0E85" w:rsidP="00ED0E85">
      <w:pPr>
        <w:pStyle w:val="ListBullet"/>
      </w:pPr>
      <w:r>
        <w:t>data from participants in the CitySwitch program (provided by the City of Sydney).</w:t>
      </w:r>
    </w:p>
    <w:p w14:paraId="2222C034" w14:textId="77777777" w:rsidR="00ED0E85" w:rsidRDefault="00ED0E85" w:rsidP="00ED0E85">
      <w:pPr>
        <w:pStyle w:val="ListBullet"/>
      </w:pPr>
      <w:r>
        <w:t xml:space="preserve">exclusions from base building ratings — in some states, metering arrangements mean that base building ratings are estimated based on the energy consumption of the whole building, less any energy consumption excluded from the base building rating (this could include energy consumed by tenants and any retail areas of the building). These ‘exclusions’ are reported to NABERS. This data may provide some indication of trends in the energy consumption of tenants that do not voluntarily obtain NABERS office tenancy ratings. </w:t>
      </w:r>
    </w:p>
    <w:p w14:paraId="2A345A17" w14:textId="6FAE2106" w:rsidR="00ED0E85" w:rsidRDefault="00ED0E85" w:rsidP="00ED0E85">
      <w:pPr>
        <w:pStyle w:val="BodyText"/>
      </w:pPr>
      <w:r>
        <w:t>A frequency distribution of the change in energy intensity (between the first and last rating) across the 3 datasets is shown in chart </w:t>
      </w:r>
      <w:r w:rsidR="004550CB">
        <w:rPr>
          <w:noProof/>
        </w:rPr>
        <w:fldChar w:fldCharType="begin"/>
      </w:r>
      <w:r w:rsidR="004550CB">
        <w:rPr>
          <w:noProof/>
        </w:rPr>
        <w:instrText xml:space="preserve"> REF _Caption4047 </w:instrText>
      </w:r>
      <w:r w:rsidR="004550CB">
        <w:rPr>
          <w:noProof/>
        </w:rPr>
        <w:fldChar w:fldCharType="separate"/>
      </w:r>
      <w:r w:rsidR="00AD3561">
        <w:rPr>
          <w:noProof/>
        </w:rPr>
        <w:t>6</w:t>
      </w:r>
      <w:r w:rsidR="00AD3561" w:rsidRPr="00695C93">
        <w:rPr>
          <w:noProof/>
        </w:rPr>
        <w:t>.</w:t>
      </w:r>
      <w:r w:rsidR="00AD3561">
        <w:rPr>
          <w:noProof/>
        </w:rPr>
        <w:t>5</w:t>
      </w:r>
      <w:r w:rsidR="004550CB">
        <w:rPr>
          <w:noProof/>
        </w:rPr>
        <w:fldChar w:fldCharType="end"/>
      </w:r>
      <w:r>
        <w:t>.</w:t>
      </w:r>
    </w:p>
    <w:p w14:paraId="3570FDF8" w14:textId="77777777" w:rsidR="00ED0E85" w:rsidRDefault="00ED0E85" w:rsidP="00ED0E85">
      <w:pPr>
        <w:pStyle w:val="ListBullet"/>
      </w:pPr>
      <w:r>
        <w:t>Participants in the CitySwitch Program made more progress in reducing energy intensity (compared to tenants with a voluntary NABERS ratings), having reduced energy intensity by around 98 Kwh per m</w:t>
      </w:r>
      <w:r w:rsidRPr="00C06837">
        <w:rPr>
          <w:vertAlign w:val="superscript"/>
        </w:rPr>
        <w:t>2</w:t>
      </w:r>
      <w:r>
        <w:t xml:space="preserve"> on average.</w:t>
      </w:r>
    </w:p>
    <w:p w14:paraId="4ACBF639" w14:textId="77777777" w:rsidR="00ED0E85" w:rsidRDefault="00ED0E85" w:rsidP="00ED0E85">
      <w:pPr>
        <w:pStyle w:val="ListBullet"/>
      </w:pPr>
      <w:r>
        <w:t>The exclusions data suggests an average increase in energy intensity. However, this dataset is highly variable and as it includes some energy consumption unrelated to office tenants (such as retail). As such, we have little confidence in this finding. That said, it is plausible that the energy intensity of office tenants has increased if average number of employees per m</w:t>
      </w:r>
      <w:r w:rsidRPr="00800106">
        <w:rPr>
          <w:vertAlign w:val="superscript"/>
        </w:rPr>
        <w:t>2</w:t>
      </w:r>
      <w:r>
        <w:t xml:space="preserve"> has increased over time. This would increase a tenant’s energy intensity (although this would be accounted for in the NABERS tenancy star rating).</w:t>
      </w:r>
    </w:p>
    <w:p w14:paraId="0DB1CE77" w14:textId="5B192AAB" w:rsidR="00D84794"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6</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6</w:instrText>
      </w:r>
      <w:r w:rsidR="004550CB">
        <w:rPr>
          <w:noProof/>
        </w:rPr>
        <w:fldChar w:fldCharType="end"/>
      </w:r>
      <w:r w:rsidRPr="00695C93">
        <w:instrText xml:space="preserve">." </w:instrText>
      </w:r>
      <w:r w:rsidRPr="00695C93">
        <w:fldChar w:fldCharType="separate"/>
      </w:r>
      <w:r w:rsidR="00AD3561">
        <w:rPr>
          <w:noProof/>
        </w:rPr>
        <w:instrText>6</w:instrText>
      </w:r>
      <w:r w:rsidR="00AD3561"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rsidRPr="00695C93">
        <w:instrText xml:space="preserve">." </w:instrText>
      </w:r>
      <w:r w:rsidRPr="00695C93">
        <w:fldChar w:fldCharType="separate"/>
      </w:r>
      <w:r w:rsidR="00C353B5">
        <w:rPr>
          <w:noProof/>
        </w:rPr>
        <w:instrText>6</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6</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5</w:instrText>
      </w:r>
      <w:r w:rsidRPr="00695C93">
        <w:fldChar w:fldCharType="end"/>
      </w:r>
      <w:r w:rsidRPr="00695C93">
        <w:instrText xml:space="preserve">" "" </w:instrText>
      </w:r>
      <w:r w:rsidRPr="00695C93">
        <w:fldChar w:fldCharType="separate"/>
      </w:r>
      <w:bookmarkStart w:id="3851" w:name="_Caption8890"/>
      <w:bookmarkStart w:id="3852" w:name="_Caption2439"/>
      <w:bookmarkStart w:id="3853" w:name="_Caption9643"/>
      <w:bookmarkStart w:id="3854" w:name="_Caption3496"/>
      <w:bookmarkStart w:id="3855" w:name="_Caption2866"/>
      <w:bookmarkStart w:id="3856" w:name="_Caption5333"/>
      <w:bookmarkStart w:id="3857" w:name="_Caption1602"/>
      <w:bookmarkStart w:id="3858" w:name="_Caption8029"/>
      <w:bookmarkStart w:id="3859" w:name="_Caption9798"/>
      <w:bookmarkStart w:id="3860" w:name="_Caption5065"/>
      <w:bookmarkStart w:id="3861" w:name="_Caption7459"/>
      <w:bookmarkStart w:id="3862" w:name="_Caption7332"/>
      <w:bookmarkStart w:id="3863" w:name="_Caption2682"/>
      <w:bookmarkStart w:id="3864" w:name="_Caption6502"/>
      <w:bookmarkStart w:id="3865" w:name="_Caption9051"/>
      <w:bookmarkStart w:id="3866" w:name="_Caption4265"/>
      <w:bookmarkStart w:id="3867" w:name="_Caption4690"/>
      <w:bookmarkStart w:id="3868" w:name="_Caption9476"/>
      <w:bookmarkStart w:id="3869" w:name="_Caption0135"/>
      <w:bookmarkStart w:id="3870" w:name="_Caption9829"/>
      <w:bookmarkStart w:id="3871" w:name="_Caption4509"/>
      <w:bookmarkStart w:id="3872" w:name="_Caption0087"/>
      <w:bookmarkStart w:id="3873" w:name="_Caption8106"/>
      <w:bookmarkStart w:id="3874" w:name="_Caption9766"/>
      <w:bookmarkStart w:id="3875" w:name="_Caption7136"/>
      <w:bookmarkStart w:id="3876" w:name="_Caption8146"/>
      <w:bookmarkStart w:id="3877" w:name="_Caption1655"/>
      <w:bookmarkStart w:id="3878" w:name="_Caption4412"/>
      <w:bookmarkStart w:id="3879" w:name="_Caption4047"/>
      <w:bookmarkStart w:id="3880" w:name="_Caption2728"/>
      <w:bookmarkStart w:id="3881" w:name="_Caption2759"/>
      <w:bookmarkStart w:id="3882" w:name="_Caption0836"/>
      <w:bookmarkStart w:id="3883" w:name="_Caption3363"/>
      <w:bookmarkStart w:id="3884" w:name="_Caption8084"/>
      <w:bookmarkStart w:id="3885" w:name="_Caption6277"/>
      <w:bookmarkStart w:id="3886" w:name="_Caption0497"/>
      <w:bookmarkStart w:id="3887" w:name="_Caption0026"/>
      <w:bookmarkStart w:id="3888" w:name="_Caption7719"/>
      <w:bookmarkStart w:id="3889" w:name="_Caption3849"/>
      <w:bookmarkStart w:id="3890" w:name="_Caption7866"/>
      <w:bookmarkStart w:id="3891" w:name="_Caption9462"/>
      <w:bookmarkStart w:id="3892" w:name="_Caption0620"/>
      <w:bookmarkStart w:id="3893" w:name="_Caption7991"/>
      <w:bookmarkStart w:id="3894" w:name="_Toc19275607"/>
      <w:bookmarkStart w:id="3895" w:name="_Toc19276217"/>
      <w:bookmarkStart w:id="3896" w:name="_Toc19280216"/>
      <w:r w:rsidR="00C353B5">
        <w:rPr>
          <w:noProof/>
        </w:rPr>
        <w:t>6</w:t>
      </w:r>
      <w:r w:rsidR="00C353B5" w:rsidRPr="00695C93">
        <w:rPr>
          <w:noProof/>
        </w:rPr>
        <w:t>.</w:t>
      </w:r>
      <w:r w:rsidR="00C353B5">
        <w:rPr>
          <w:noProof/>
        </w:rPr>
        <w:t>5</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r w:rsidRPr="00695C93">
        <w:fldChar w:fldCharType="end"/>
      </w:r>
      <w:r w:rsidRPr="00695C93">
        <w:tab/>
      </w:r>
      <w:r>
        <w:t>Change in energy consumption</w:t>
      </w:r>
      <w:bookmarkEnd w:id="3894"/>
      <w:bookmarkEnd w:id="3895"/>
      <w:bookmarkEnd w:id="3896"/>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30FDF" w14:paraId="00FCE4BC" w14:textId="77777777" w:rsidTr="00333B61">
        <w:trPr>
          <w:cantSplit/>
        </w:trPr>
        <w:tc>
          <w:tcPr>
            <w:tcW w:w="7938" w:type="dxa"/>
            <w:shd w:val="clear" w:color="auto" w:fill="E9E8E5" w:themeFill="background2"/>
          </w:tcPr>
          <w:p w14:paraId="39AEC65E" w14:textId="7753569C" w:rsidR="00E30FDF" w:rsidRDefault="00E30FDF" w:rsidP="00333B61">
            <w:pPr>
              <w:pStyle w:val="Chart"/>
              <w:spacing w:after="120"/>
              <w:jc w:val="center"/>
            </w:pPr>
            <w:r w:rsidRPr="00E30FDF">
              <w:rPr>
                <w:noProof/>
                <w:lang w:eastAsia="en-AU"/>
              </w:rPr>
              <w:drawing>
                <wp:inline distT="0" distB="0" distL="0" distR="0" wp14:anchorId="532E87DF" wp14:editId="3B1F50C0">
                  <wp:extent cx="4879340" cy="252730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79340" cy="2527300"/>
                          </a:xfrm>
                          <a:prstGeom prst="rect">
                            <a:avLst/>
                          </a:prstGeom>
                          <a:noFill/>
                          <a:ln>
                            <a:noFill/>
                          </a:ln>
                        </pic:spPr>
                      </pic:pic>
                    </a:graphicData>
                  </a:graphic>
                </wp:inline>
              </w:drawing>
            </w:r>
          </w:p>
        </w:tc>
      </w:tr>
    </w:tbl>
    <w:p w14:paraId="19342639" w14:textId="77777777" w:rsidR="00E30FDF" w:rsidRDefault="00E30FDF" w:rsidP="00E30FDF">
      <w:pPr>
        <w:pStyle w:val="Source"/>
      </w:pPr>
      <w:r>
        <w:rPr>
          <w:i/>
        </w:rPr>
        <w:t>Data source</w:t>
      </w:r>
      <w:r w:rsidRPr="00A67576">
        <w:rPr>
          <w:i/>
        </w:rPr>
        <w:t>:</w:t>
      </w:r>
      <w:r>
        <w:t xml:space="preserve"> NABERS database, City Switch data.</w:t>
      </w:r>
    </w:p>
    <w:p w14:paraId="29203AAB" w14:textId="77777777" w:rsidR="00ED0E85" w:rsidRPr="008D0580" w:rsidRDefault="00ED0E85" w:rsidP="00ED0E85">
      <w:pPr>
        <w:pStyle w:val="KeyPoint"/>
      </w:pPr>
      <w:r>
        <w:t>In summary, the available (albeit limited) evidence suggests that mandatory disclosure for office tenants could encourage some modest reductions in energy intensity.</w:t>
      </w:r>
    </w:p>
    <w:p w14:paraId="54776EE3" w14:textId="77777777" w:rsidR="00ED0E85" w:rsidRDefault="00ED0E85" w:rsidP="00ED0E85">
      <w:pPr>
        <w:pStyle w:val="Heading2"/>
        <w:numPr>
          <w:ilvl w:val="1"/>
          <w:numId w:val="5"/>
        </w:numPr>
      </w:pPr>
      <w:bookmarkStart w:id="3897" w:name="_Toc19275517"/>
      <w:bookmarkStart w:id="3898" w:name="_Toc19276127"/>
      <w:bookmarkStart w:id="3899" w:name="_Toc19280126"/>
      <w:r>
        <w:t xml:space="preserve">Review of the CBD Program </w:t>
      </w:r>
      <w:bookmarkEnd w:id="3572"/>
      <w:r>
        <w:t>for offices</w:t>
      </w:r>
      <w:bookmarkEnd w:id="3897"/>
      <w:bookmarkEnd w:id="3898"/>
      <w:bookmarkEnd w:id="3899"/>
    </w:p>
    <w:p w14:paraId="04E5E039" w14:textId="77777777" w:rsidR="00ED0E85" w:rsidRDefault="00ED0E85" w:rsidP="00ED0E85">
      <w:pPr>
        <w:pStyle w:val="BodyText"/>
      </w:pPr>
      <w:r>
        <w:t>In this section we review the key design features of the CBD Program as it applies to office buildings. As discussed above, a key issue considered is the expansion of mandatory disclosure requirements to office tenancies. As there are likely to be significant advantages in aligning any mandatory disclosure requirements for office tenancies with the requirements for base buildings, our review has been undertaken in this context.</w:t>
      </w:r>
    </w:p>
    <w:p w14:paraId="01D79173" w14:textId="77777777" w:rsidR="00ED0E85" w:rsidRDefault="00ED0E85" w:rsidP="00ED0E85">
      <w:pPr>
        <w:pStyle w:val="BodyText"/>
      </w:pPr>
      <w:r>
        <w:t>Other considerations include the alignment of the design features with the recommended objectives of the CBD Program and the market and behavioural failures that prevail in the office market.</w:t>
      </w:r>
    </w:p>
    <w:p w14:paraId="45F398BB" w14:textId="77777777" w:rsidR="00ED0E85" w:rsidRDefault="00ED0E85" w:rsidP="00ED0E85">
      <w:pPr>
        <w:pStyle w:val="Heading3"/>
        <w:numPr>
          <w:ilvl w:val="2"/>
          <w:numId w:val="5"/>
        </w:numPr>
      </w:pPr>
      <w:r>
        <w:t>Trigger for a BEEC</w:t>
      </w:r>
    </w:p>
    <w:p w14:paraId="2D37215E" w14:textId="77777777" w:rsidR="00ED0E85" w:rsidRDefault="00ED0E85" w:rsidP="00ED0E85">
      <w:pPr>
        <w:pStyle w:val="BodyText"/>
      </w:pPr>
      <w:r>
        <w:t>The options for the trigger for a BEEC include:</w:t>
      </w:r>
    </w:p>
    <w:p w14:paraId="3707DF0D" w14:textId="77777777" w:rsidR="00ED0E85" w:rsidRDefault="00ED0E85" w:rsidP="00ED0E85">
      <w:pPr>
        <w:pStyle w:val="ListBullet"/>
      </w:pPr>
      <w:r>
        <w:t>sale and lease — currently, the requirement to obtain a BEEC is triggered when an office space greater than 1000 m</w:t>
      </w:r>
      <w:r w:rsidRPr="0040100C">
        <w:rPr>
          <w:vertAlign w:val="superscript"/>
        </w:rPr>
        <w:t>2</w:t>
      </w:r>
      <w:r>
        <w:t xml:space="preserve"> is offered for sale or lease.</w:t>
      </w:r>
    </w:p>
    <w:p w14:paraId="4404CFA3" w14:textId="77777777" w:rsidR="00ED0E85" w:rsidRDefault="00ED0E85" w:rsidP="00ED0E85">
      <w:pPr>
        <w:pStyle w:val="ListBullet"/>
      </w:pPr>
      <w:r>
        <w:t>periodic ratings — the main alternative to sale and lease is a periodic trigger where a BEEC must be obtained periodically (such as annually or biennially).</w:t>
      </w:r>
    </w:p>
    <w:p w14:paraId="079E78DC" w14:textId="77777777" w:rsidR="00ED0E85" w:rsidRDefault="00ED0E85" w:rsidP="00ED0E85">
      <w:pPr>
        <w:pStyle w:val="BodyText"/>
      </w:pPr>
      <w:r>
        <w:t>If mandatory disclosure requirements are to be extended to office tenancies, a periodic trigger is preferable to the current sale and lease trigger (note that current sale and lease disclosure requirements could still be maintained – see below).</w:t>
      </w:r>
    </w:p>
    <w:p w14:paraId="658F3ED3" w14:textId="77777777" w:rsidR="00ED0E85" w:rsidRDefault="00ED0E85" w:rsidP="00ED0E85">
      <w:pPr>
        <w:pStyle w:val="ListBullet"/>
      </w:pPr>
      <w:r>
        <w:t>A sale and lease trigger makes little sense for office tenancies.</w:t>
      </w:r>
    </w:p>
    <w:p w14:paraId="436A199E" w14:textId="77777777" w:rsidR="00ED0E85" w:rsidRDefault="00ED0E85" w:rsidP="00ED0E85">
      <w:pPr>
        <w:pStyle w:val="ListBullet2"/>
      </w:pPr>
      <w:r>
        <w:t>A rating would be of little use to an incoming tenant as it would reflect the previous occupant’s energy usage.</w:t>
      </w:r>
    </w:p>
    <w:p w14:paraId="58658AA1" w14:textId="77777777" w:rsidR="00ED0E85" w:rsidRDefault="00ED0E85" w:rsidP="00ED0E85">
      <w:pPr>
        <w:pStyle w:val="ListBullet2"/>
      </w:pPr>
      <w:r>
        <w:t>A rating would also be of little use to the outgoing tenant as they are vacating the office space and therefore could not use the rating to improve their performance.</w:t>
      </w:r>
    </w:p>
    <w:p w14:paraId="4A842039" w14:textId="77777777" w:rsidR="00ED0E85" w:rsidRDefault="00ED0E85" w:rsidP="00ED0E85">
      <w:pPr>
        <w:pStyle w:val="ListBullet2"/>
      </w:pPr>
      <w:r>
        <w:t>A periodic trigger would allow existing tenants can track their performance over time.</w:t>
      </w:r>
    </w:p>
    <w:p w14:paraId="49D50D76" w14:textId="77777777" w:rsidR="00ED0E85" w:rsidRDefault="00ED0E85" w:rsidP="00ED0E85">
      <w:pPr>
        <w:pStyle w:val="ListBullet"/>
      </w:pPr>
      <w:r>
        <w:t>As there are likely to be significant advantages in aligning the tenancy and base building requirements, extending mandatory disclosure to office tenancies is likely to also mean moving to a periodic trigger for base buildings. A periodic trigger for base buildings would also align better with the market/behavioural failure that mandatory disclosure is addressing.</w:t>
      </w:r>
    </w:p>
    <w:p w14:paraId="0D725125" w14:textId="77777777" w:rsidR="00ED0E85" w:rsidRDefault="00ED0E85" w:rsidP="00ED0E85">
      <w:pPr>
        <w:pStyle w:val="ListBullet2"/>
      </w:pPr>
      <w:r>
        <w:t>Requiring a BEEC when office space is offered for sale and lease is a logical trigger where the main market failure that information disclosure is seeking to address is an information asymmetry problem in relation to energy costs. However, there is little evidence of an information asymmetry problem in relation to tenant energy bills, as expected outgoings are revealed to prospective tenants (see above).</w:t>
      </w:r>
    </w:p>
    <w:p w14:paraId="759FB3C8" w14:textId="77777777" w:rsidR="00ED0E85" w:rsidRDefault="00ED0E85" w:rsidP="00ED0E85">
      <w:pPr>
        <w:pStyle w:val="ListBullet2"/>
      </w:pPr>
      <w:r>
        <w:t>Rather, the main behavioural failure that the requirement to obtain a NABERS rating is a lack of awareness of poor performance for some building owners/managers. A periodic trigger is better aligned with this behavioural failure.</w:t>
      </w:r>
    </w:p>
    <w:p w14:paraId="0AC0FA78" w14:textId="77777777" w:rsidR="00ED0E85" w:rsidRDefault="00ED0E85" w:rsidP="00ED0E85">
      <w:pPr>
        <w:pStyle w:val="ListBullet2"/>
      </w:pPr>
      <w:r>
        <w:t>Furthermore, given that a NABERS rating (but not necessarily the TLA) relates to the building, rather than the tenanted area, it makes more sense for the trigger to relate to the total floor space (i.e. total net lettable area), rather than the area being leased at any given time.</w:t>
      </w:r>
    </w:p>
    <w:p w14:paraId="285575FB" w14:textId="77777777" w:rsidR="00ED0E85" w:rsidRDefault="00ED0E85" w:rsidP="00ED0E85">
      <w:pPr>
        <w:pStyle w:val="BodyText"/>
      </w:pPr>
      <w:r>
        <w:t>The current trigger also means that some office buildings with significant total floor area can avoid obtaining a BEEC (not necessarily deliberately), where the space leased at any one time is less than 1000 m</w:t>
      </w:r>
      <w:r w:rsidRPr="00D24537">
        <w:rPr>
          <w:vertAlign w:val="superscript"/>
        </w:rPr>
        <w:t>2</w:t>
      </w:r>
      <w:r>
        <w:t>. That said, our analysis of the Sydney and Melbourne central business districts suggest that the CBD Program and/or voluntary NABERS ratings provides good coverage of buildings, with few buildings with a significant size not having a rating. Where larger buildings are not rated, this seems to be largely because they are strata titled and therefore outside the scope of the CBD Program.</w:t>
      </w:r>
    </w:p>
    <w:p w14:paraId="719BF459" w14:textId="77777777" w:rsidR="00ED0E85" w:rsidRDefault="00ED0E85" w:rsidP="00ED0E85">
      <w:pPr>
        <w:pStyle w:val="BodyText"/>
      </w:pPr>
      <w:r>
        <w:t>There were generally mixed views from stakeholders on the appropriate timeframe for a periodic trigger.</w:t>
      </w:r>
    </w:p>
    <w:p w14:paraId="06F9F631" w14:textId="77777777" w:rsidR="00ED0E85" w:rsidRDefault="00ED0E85" w:rsidP="00ED0E85">
      <w:pPr>
        <w:pStyle w:val="ListBullet"/>
      </w:pPr>
      <w:r>
        <w:t>Some stakeholders suggested an annual NABERS rating would be necessary to drive energy improvements.</w:t>
      </w:r>
    </w:p>
    <w:p w14:paraId="3E667305" w14:textId="77777777" w:rsidR="00ED0E85" w:rsidRDefault="00ED0E85" w:rsidP="00ED0E85">
      <w:pPr>
        <w:pStyle w:val="ListBullet2"/>
      </w:pPr>
      <w:r>
        <w:t xml:space="preserve">On the downside, this would impose higher regulatory costs on some buildings. </w:t>
      </w:r>
    </w:p>
    <w:p w14:paraId="7B5749A6" w14:textId="77777777" w:rsidR="00ED0E85" w:rsidRDefault="00ED0E85" w:rsidP="00ED0E85">
      <w:pPr>
        <w:pStyle w:val="ListBullet3"/>
      </w:pPr>
      <w:r>
        <w:t>We estimate that buildings that have obtained a NABERS rating, average around 0.6 ratings per year (implying 6 ratings across a ten</w:t>
      </w:r>
      <w:r>
        <w:noBreakHyphen/>
        <w:t>year timeframe).</w:t>
      </w:r>
    </w:p>
    <w:p w14:paraId="5EB16668" w14:textId="77777777" w:rsidR="00ED0E85" w:rsidRDefault="00ED0E85" w:rsidP="00ED0E85">
      <w:pPr>
        <w:pStyle w:val="ListBullet3"/>
      </w:pPr>
      <w:r>
        <w:t>Weighted by floor space, the average is around 0.74 ratings per year.</w:t>
      </w:r>
    </w:p>
    <w:p w14:paraId="56B27C6C" w14:textId="77777777" w:rsidR="00ED0E85" w:rsidRDefault="00ED0E85" w:rsidP="00ED0E85">
      <w:pPr>
        <w:pStyle w:val="ListBullet3"/>
      </w:pPr>
      <w:r>
        <w:t>This reflects the fact that many larger office buildings obtain a NABERS rating every year to ensure that a current BEEC is available when office space within the building becomes vacant. Other buildings obtain a NABERS rating only when required. There may be some increase in cost for these buildings.</w:t>
      </w:r>
    </w:p>
    <w:p w14:paraId="185C1081" w14:textId="77777777" w:rsidR="00ED0E85" w:rsidRDefault="00ED0E85" w:rsidP="00ED0E85">
      <w:pPr>
        <w:pStyle w:val="ListBullet2"/>
      </w:pPr>
      <w:r>
        <w:t>Furthermore, changes in NABERS ratings from one year to the next are generally relatively small, but can change significantly over longer periods.</w:t>
      </w:r>
    </w:p>
    <w:p w14:paraId="1EF1F377" w14:textId="77777777" w:rsidR="00ED0E85" w:rsidRDefault="00ED0E85" w:rsidP="00ED0E85">
      <w:pPr>
        <w:pStyle w:val="ListBullet"/>
      </w:pPr>
      <w:r>
        <w:t>Less frequent NABERS ratings could significantly reduce the regulatory burden. However, NABERS ratings less frequently than every second year may not drive the intended behavioural change.</w:t>
      </w:r>
    </w:p>
    <w:p w14:paraId="4315E476" w14:textId="77777777" w:rsidR="00ED0E85" w:rsidRDefault="00ED0E85" w:rsidP="00ED0E85">
      <w:pPr>
        <w:pStyle w:val="BodyText"/>
      </w:pPr>
      <w:r>
        <w:t>We consider it plausible that a requirement to obtain a rating every second year could still drive improvements in energy efficiency (note that this is not much less than the current average). On the other hand, it seems less likely that a rating every 3 years or less would drive behavioural change.</w:t>
      </w:r>
    </w:p>
    <w:p w14:paraId="39EA609A" w14:textId="77777777" w:rsidR="00ED0E85" w:rsidRDefault="00ED0E85" w:rsidP="00ED0E85">
      <w:pPr>
        <w:pStyle w:val="Heading3"/>
        <w:numPr>
          <w:ilvl w:val="2"/>
          <w:numId w:val="5"/>
        </w:numPr>
      </w:pPr>
      <w:r>
        <w:br w:type="page"/>
      </w:r>
    </w:p>
    <w:p w14:paraId="6F88D6B3" w14:textId="77777777" w:rsidR="00ED0E85" w:rsidRDefault="00ED0E85" w:rsidP="00ED0E85">
      <w:pPr>
        <w:pStyle w:val="Heading3"/>
        <w:numPr>
          <w:ilvl w:val="2"/>
          <w:numId w:val="5"/>
        </w:numPr>
      </w:pPr>
      <w:r>
        <w:t>Information disclosed</w:t>
      </w:r>
    </w:p>
    <w:p w14:paraId="6FA17A4D" w14:textId="77777777" w:rsidR="00ED0E85" w:rsidRDefault="00ED0E85" w:rsidP="00ED0E85">
      <w:pPr>
        <w:pStyle w:val="BodyText"/>
      </w:pPr>
      <w:r>
        <w:t>The information currently disclosed on a BEEC includes:</w:t>
      </w:r>
    </w:p>
    <w:p w14:paraId="20DDBDC2" w14:textId="77777777" w:rsidR="00ED0E85" w:rsidRDefault="00ED0E85" w:rsidP="00ED0E85">
      <w:pPr>
        <w:pStyle w:val="ListBullet"/>
      </w:pPr>
      <w:r>
        <w:t>a NABERS Energy rating (without GreenPower):</w:t>
      </w:r>
    </w:p>
    <w:p w14:paraId="75C57099" w14:textId="77777777" w:rsidR="00ED0E85" w:rsidRDefault="00ED0E85" w:rsidP="00ED0E85">
      <w:pPr>
        <w:pStyle w:val="ListBullet2"/>
      </w:pPr>
      <w:r>
        <w:t xml:space="preserve">base building rating (where possible); or </w:t>
      </w:r>
    </w:p>
    <w:p w14:paraId="327D9578" w14:textId="77777777" w:rsidR="00ED0E85" w:rsidRDefault="00ED0E85" w:rsidP="00ED0E85">
      <w:pPr>
        <w:pStyle w:val="ListBullet2"/>
      </w:pPr>
      <w:r>
        <w:t>a whole building rating (where a base building rating is not possible)</w:t>
      </w:r>
    </w:p>
    <w:p w14:paraId="16DBE80D" w14:textId="77777777" w:rsidR="00ED0E85" w:rsidRDefault="00ED0E85" w:rsidP="00ED0E85">
      <w:pPr>
        <w:pStyle w:val="ListBullet"/>
      </w:pPr>
      <w:r>
        <w:t>a Tenancy Lighting Assessment.</w:t>
      </w:r>
    </w:p>
    <w:p w14:paraId="0D61EAD4" w14:textId="77777777" w:rsidR="00ED0E85" w:rsidRDefault="00ED0E85" w:rsidP="00ED0E85">
      <w:pPr>
        <w:pStyle w:val="BodyText"/>
      </w:pPr>
      <w:r>
        <w:t>We also consider the most appropriate metric to be disclosed in relation to office tenancies.</w:t>
      </w:r>
    </w:p>
    <w:p w14:paraId="007A9206" w14:textId="77777777" w:rsidR="00ED0E85" w:rsidRDefault="00ED0E85" w:rsidP="00ED0E85">
      <w:pPr>
        <w:pStyle w:val="Heading4"/>
        <w:numPr>
          <w:ilvl w:val="3"/>
          <w:numId w:val="5"/>
        </w:numPr>
        <w:spacing w:before="480"/>
      </w:pPr>
      <w:r>
        <w:t>NABERS Energy rating</w:t>
      </w:r>
    </w:p>
    <w:p w14:paraId="79409CD5" w14:textId="156901A2" w:rsidR="00ED0E85" w:rsidRDefault="00ED0E85" w:rsidP="00ED0E85">
      <w:pPr>
        <w:pStyle w:val="BodyText"/>
      </w:pPr>
      <w:r>
        <w:t>In reviewing the information that is disclosed through the CBD Program, the focus is on whether a NABERS Energy rating is an appropriate metric (or the most appropriate metric) that is disclosed. In considering these questions it is important to understand how the NABERS Energy rating is constructed (see box </w:t>
      </w:r>
      <w:r w:rsidR="004550CB">
        <w:rPr>
          <w:noProof/>
        </w:rPr>
        <w:fldChar w:fldCharType="begin"/>
      </w:r>
      <w:r w:rsidR="004550CB">
        <w:rPr>
          <w:noProof/>
        </w:rPr>
        <w:instrText xml:space="preserve"> REF _Caption3691 </w:instrText>
      </w:r>
      <w:r w:rsidR="004550CB">
        <w:rPr>
          <w:noProof/>
        </w:rPr>
        <w:fldChar w:fldCharType="separate"/>
      </w:r>
      <w:r w:rsidR="00AD3561">
        <w:rPr>
          <w:noProof/>
        </w:rPr>
        <w:t>6</w:t>
      </w:r>
      <w:r w:rsidR="00AD3561" w:rsidRPr="00E05C8C">
        <w:rPr>
          <w:noProof/>
        </w:rPr>
        <w:t>.</w:t>
      </w:r>
      <w:r w:rsidR="00AD3561">
        <w:rPr>
          <w:noProof/>
        </w:rPr>
        <w:t>6</w:t>
      </w:r>
      <w:r w:rsidR="004550CB">
        <w:rPr>
          <w:noProof/>
        </w:rPr>
        <w:fldChar w:fldCharType="end"/>
      </w:r>
      <w:r>
        <w:t xml:space="preserve">). However, reviewing the NABERS methodology </w:t>
      </w:r>
      <w:r w:rsidRPr="0040100C">
        <w:rPr>
          <w:i/>
        </w:rPr>
        <w:t>per se</w:t>
      </w:r>
      <w:r>
        <w:t xml:space="preserve"> is not within the scope of this review.</w:t>
      </w:r>
    </w:p>
    <w:p w14:paraId="3ECDA179" w14:textId="77777777" w:rsidR="00ED0E85" w:rsidRDefault="00ED0E85" w:rsidP="00ED0E85">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Pr>
      <w:tblGrid>
        <w:gridCol w:w="7938"/>
      </w:tblGrid>
      <w:tr w:rsidR="00ED0E85" w:rsidRPr="00E05C8C" w14:paraId="4D60B762" w14:textId="77777777" w:rsidTr="00ED0E85">
        <w:trPr>
          <w:cantSplit/>
        </w:trPr>
        <w:tc>
          <w:tcPr>
            <w:tcW w:w="7938" w:type="dxa"/>
            <w:tcBorders>
              <w:top w:val="nil"/>
              <w:left w:val="nil"/>
              <w:bottom w:val="nil"/>
              <w:right w:val="nil"/>
            </w:tcBorders>
            <w:shd w:val="clear" w:color="auto" w:fill="C6BFAB" w:themeFill="accent3"/>
          </w:tcPr>
          <w:p w14:paraId="71B87B57" w14:textId="162FC143" w:rsidR="00ED0E85" w:rsidRPr="00E05C8C" w:rsidRDefault="00ED0E85" w:rsidP="001F5383">
            <w:pPr>
              <w:pStyle w:val="Caption"/>
              <w:numPr>
                <w:ilvl w:val="0"/>
                <w:numId w:val="13"/>
              </w:numPr>
              <w:spacing w:before="120" w:after="100"/>
            </w:pPr>
            <w:r w:rsidRPr="00E05C8C">
              <w:fldChar w:fldCharType="begin"/>
            </w:r>
            <w:r w:rsidRPr="00E05C8C">
              <w:instrText xml:space="preserve"> IF 1 = 1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6</w:instrText>
            </w:r>
            <w:r>
              <w:rPr>
                <w:noProof/>
              </w:rPr>
              <w:fldChar w:fldCharType="end"/>
            </w:r>
            <w:r w:rsidRPr="00E05C8C">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6</w:instrText>
            </w:r>
            <w:r>
              <w:rPr>
                <w:noProof/>
              </w:rPr>
              <w:fldChar w:fldCharType="end"/>
            </w:r>
            <w:r w:rsidRPr="00E05C8C">
              <w:instrText xml:space="preserve">." </w:instrText>
            </w:r>
            <w:r w:rsidRPr="00E05C8C">
              <w:fldChar w:fldCharType="separate"/>
            </w:r>
            <w:r w:rsidR="00AD3561">
              <w:rPr>
                <w:noProof/>
              </w:rPr>
              <w:instrText>6</w:instrText>
            </w:r>
            <w:r w:rsidR="00AD3561" w:rsidRPr="00E05C8C">
              <w:rPr>
                <w:noProof/>
              </w:rPr>
              <w:instrText>.</w:instrText>
            </w:r>
            <w:r w:rsidRPr="00E05C8C">
              <w:fldChar w:fldCharType="end"/>
            </w:r>
            <w:r w:rsidRPr="00E05C8C">
              <w:instrText>" "</w:instrText>
            </w:r>
            <w:r w:rsidR="00C353B5">
              <w:fldChar w:fldCharType="begin"/>
            </w:r>
            <w:r w:rsidR="00C353B5">
              <w:instrText xml:space="preserve"> STYLEREF "Heading 6" \l \n </w:instrText>
            </w:r>
            <w:r w:rsidR="00C353B5">
              <w:fldChar w:fldCharType="separate"/>
            </w:r>
            <w:r w:rsidRPr="00E05C8C">
              <w:instrText>B</w:instrText>
            </w:r>
            <w:r w:rsidR="00C353B5">
              <w:fldChar w:fldCharType="end"/>
            </w:r>
            <w:r w:rsidRPr="00E05C8C">
              <w:instrText xml:space="preserve">." </w:instrText>
            </w:r>
            <w:r w:rsidRPr="00E05C8C">
              <w:fldChar w:fldCharType="separate"/>
            </w:r>
            <w:r w:rsidR="00C353B5">
              <w:rPr>
                <w:noProof/>
              </w:rPr>
              <w:instrText>6</w:instrText>
            </w:r>
            <w:r w:rsidR="00C353B5"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E05C8C">
              <w:instrText xml:space="preserve"> = 0 "</w:instrText>
            </w:r>
            <w:r w:rsidRPr="00E05C8C">
              <w:fldChar w:fldCharType="begin"/>
            </w:r>
            <w:r w:rsidRPr="00E05C8C">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6</w:instrText>
            </w:r>
            <w:r>
              <w:rPr>
                <w:noProof/>
              </w:rPr>
              <w:fldChar w:fldCharType="end"/>
            </w:r>
            <w:r w:rsidRPr="00E05C8C">
              <w:instrText xml:space="preserve"> = 0 "" "1" </w:instrText>
            </w:r>
            <w:r w:rsidRPr="00E05C8C">
              <w:fldChar w:fldCharType="separate"/>
            </w:r>
            <w:r w:rsidR="00C353B5" w:rsidRPr="00E05C8C">
              <w:rPr>
                <w:noProof/>
              </w:rPr>
              <w:instrText>1</w:instrText>
            </w:r>
            <w:r w:rsidRPr="00E05C8C">
              <w:fldChar w:fldCharType="end"/>
            </w:r>
            <w:r w:rsidRPr="00E05C8C">
              <w:instrText xml:space="preserve">" "6" </w:instrText>
            </w:r>
            <w:r w:rsidRPr="00E05C8C">
              <w:fldChar w:fldCharType="separate"/>
            </w:r>
            <w:r w:rsidR="00C353B5" w:rsidRPr="00E05C8C">
              <w:rPr>
                <w:noProof/>
              </w:rPr>
              <w:instrText>1</w:instrText>
            </w:r>
            <w:r w:rsidRPr="00E05C8C">
              <w:fldChar w:fldCharType="end"/>
            </w:r>
            <w:r w:rsidRPr="00E05C8C">
              <w:instrText xml:space="preserve"> </w:instrText>
            </w:r>
            <w:r w:rsidRPr="00E05C8C">
              <w:fldChar w:fldCharType="separate"/>
            </w:r>
            <w:r w:rsidR="00AD3561">
              <w:rPr>
                <w:noProof/>
              </w:rPr>
              <w:instrText>6</w:instrText>
            </w:r>
            <w:r w:rsidRPr="00E05C8C">
              <w:fldChar w:fldCharType="end"/>
            </w:r>
            <w:r w:rsidRPr="00E05C8C">
              <w:instrText xml:space="preserve">" "" </w:instrText>
            </w:r>
            <w:r w:rsidRPr="00E05C8C">
              <w:fldChar w:fldCharType="separate"/>
            </w:r>
            <w:bookmarkStart w:id="3900" w:name="_Caption7287"/>
            <w:bookmarkStart w:id="3901" w:name="_Caption9102"/>
            <w:bookmarkStart w:id="3902" w:name="_Caption7209"/>
            <w:bookmarkStart w:id="3903" w:name="_Caption8528"/>
            <w:bookmarkStart w:id="3904" w:name="_Caption4976"/>
            <w:bookmarkStart w:id="3905" w:name="_Caption2580"/>
            <w:bookmarkStart w:id="3906" w:name="_Caption9223"/>
            <w:bookmarkStart w:id="3907" w:name="_Caption1103"/>
            <w:bookmarkStart w:id="3908" w:name="_Caption4870"/>
            <w:bookmarkStart w:id="3909" w:name="_Caption4225"/>
            <w:bookmarkStart w:id="3910" w:name="_Caption8100"/>
            <w:bookmarkStart w:id="3911" w:name="_Caption4301"/>
            <w:bookmarkStart w:id="3912" w:name="_Caption6299"/>
            <w:bookmarkStart w:id="3913" w:name="_Caption0281"/>
            <w:bookmarkStart w:id="3914" w:name="_Caption9283"/>
            <w:bookmarkStart w:id="3915" w:name="_Caption3691"/>
            <w:bookmarkStart w:id="3916" w:name="_Caption3114"/>
            <w:bookmarkStart w:id="3917" w:name="_Caption6260"/>
            <w:bookmarkStart w:id="3918" w:name="_Caption7612"/>
            <w:bookmarkStart w:id="3919" w:name="_Caption4087"/>
            <w:bookmarkStart w:id="3920" w:name="_Caption9455"/>
            <w:bookmarkStart w:id="3921" w:name="_Caption4357"/>
            <w:bookmarkStart w:id="3922" w:name="_Caption6504"/>
            <w:bookmarkStart w:id="3923" w:name="_Caption7158"/>
            <w:bookmarkStart w:id="3924" w:name="_Caption7260"/>
            <w:bookmarkStart w:id="3925" w:name="_Caption4096"/>
            <w:bookmarkStart w:id="3926" w:name="_Caption7340"/>
            <w:bookmarkStart w:id="3927" w:name="_Caption3163"/>
            <w:bookmarkStart w:id="3928" w:name="_Caption9658"/>
            <w:bookmarkStart w:id="3929" w:name="_Caption4110"/>
            <w:bookmarkStart w:id="3930" w:name="_Caption9142"/>
            <w:bookmarkStart w:id="3931" w:name="_Caption5054"/>
            <w:bookmarkStart w:id="3932" w:name="_Caption2262"/>
            <w:bookmarkStart w:id="3933" w:name="_Caption5319"/>
            <w:bookmarkStart w:id="3934" w:name="_Caption9385"/>
            <w:bookmarkStart w:id="3935" w:name="_Caption5561"/>
            <w:bookmarkStart w:id="3936" w:name="_Caption1083"/>
            <w:bookmarkStart w:id="3937" w:name="_Caption3793"/>
            <w:bookmarkStart w:id="3938" w:name="_Caption1934"/>
            <w:bookmarkStart w:id="3939" w:name="_Caption0655"/>
            <w:bookmarkStart w:id="3940" w:name="_Caption7145"/>
            <w:bookmarkStart w:id="3941" w:name="_Caption0627"/>
            <w:bookmarkStart w:id="3942" w:name="_Caption1252"/>
            <w:bookmarkStart w:id="3943" w:name="_Caption7896"/>
            <w:bookmarkStart w:id="3944" w:name="_Caption7198"/>
            <w:bookmarkStart w:id="3945" w:name="_Toc12633719"/>
            <w:bookmarkStart w:id="3946" w:name="_Toc19275608"/>
            <w:bookmarkStart w:id="3947" w:name="_Toc19276218"/>
            <w:bookmarkStart w:id="3948" w:name="_Toc19280217"/>
            <w:r w:rsidR="00C353B5">
              <w:rPr>
                <w:noProof/>
              </w:rPr>
              <w:t>6</w:t>
            </w:r>
            <w:r w:rsidR="00C353B5" w:rsidRPr="00E05C8C">
              <w:rPr>
                <w:noProof/>
              </w:rPr>
              <w:t>.</w:t>
            </w:r>
            <w:r w:rsidR="00C353B5">
              <w:rPr>
                <w:noProof/>
              </w:rPr>
              <w:t>6</w:t>
            </w:r>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r w:rsidRPr="00E05C8C">
              <w:fldChar w:fldCharType="end"/>
            </w:r>
            <w:r w:rsidRPr="00E05C8C">
              <w:tab/>
            </w:r>
            <w:r>
              <w:t>NABERS Energy ratings</w:t>
            </w:r>
            <w:bookmarkEnd w:id="3945"/>
            <w:bookmarkEnd w:id="3946"/>
            <w:bookmarkEnd w:id="3947"/>
            <w:bookmarkEnd w:id="3948"/>
          </w:p>
        </w:tc>
      </w:tr>
      <w:tr w:rsidR="00ED0E85" w14:paraId="6104B566" w14:textId="77777777" w:rsidTr="00ED0E85">
        <w:tblPrEx>
          <w:tblBorders>
            <w:top w:val="none" w:sz="0" w:space="0" w:color="auto"/>
            <w:left w:val="none" w:sz="0" w:space="0" w:color="auto"/>
            <w:bottom w:val="none" w:sz="0" w:space="0" w:color="auto"/>
            <w:right w:val="none" w:sz="0" w:space="0" w:color="auto"/>
          </w:tblBorders>
          <w:shd w:val="clear" w:color="6F6652" w:fill="F1EFEA"/>
        </w:tblPrEx>
        <w:tc>
          <w:tcPr>
            <w:tcW w:w="7938" w:type="dxa"/>
            <w:shd w:val="clear" w:color="auto" w:fill="E9E8E5" w:themeFill="background2"/>
          </w:tcPr>
          <w:p w14:paraId="12681155" w14:textId="77777777" w:rsidR="00ED0E85" w:rsidRDefault="00ED0E85" w:rsidP="00ED0E85">
            <w:pPr>
              <w:pStyle w:val="BodyText"/>
            </w:pPr>
            <w:r>
              <w:t>A NABERS Energy rating compares the greenhouse gas emissions associated with the energy consumed in a building against a benchmark that represents the performance of similar buildings in the same location.</w:t>
            </w:r>
            <w:r>
              <w:rPr>
                <w:rStyle w:val="FootnoteReference"/>
              </w:rPr>
              <w:footnoteReference w:id="35"/>
            </w:r>
          </w:p>
          <w:p w14:paraId="3D6D9E7B" w14:textId="77777777" w:rsidR="00ED0E85" w:rsidRDefault="00ED0E85" w:rsidP="00ED0E85">
            <w:pPr>
              <w:pStyle w:val="BodyText"/>
            </w:pPr>
            <w:r>
              <w:t>A building’s greenhouse gas emissions is assessed based on actual energy consumption (reflected in energy bills) over a 12 month period. A greenhouse gas emissions factor is then applied based on the energy mix in the relevant location.</w:t>
            </w:r>
          </w:p>
          <w:p w14:paraId="31659BCB" w14:textId="77777777" w:rsidR="00ED0E85" w:rsidRDefault="00ED0E85" w:rsidP="00ED0E85">
            <w:pPr>
              <w:pStyle w:val="BodyText"/>
            </w:pPr>
            <w:r>
              <w:t>To ensure the building’s performance is comparable with other buildings, some adjustments are made to account for some building and use characteristics that have been shown to systematically affect energy performance, specifically:</w:t>
            </w:r>
          </w:p>
          <w:p w14:paraId="22167CAF" w14:textId="77777777" w:rsidR="00ED0E85" w:rsidRDefault="00ED0E85" w:rsidP="00ED0E85">
            <w:pPr>
              <w:pStyle w:val="ListBullet"/>
              <w:spacing w:before="120"/>
            </w:pPr>
            <w:r>
              <w:t>the climate where the building operates</w:t>
            </w:r>
          </w:p>
          <w:p w14:paraId="53BA196B" w14:textId="77777777" w:rsidR="00ED0E85" w:rsidRDefault="00ED0E85" w:rsidP="00ED0E85">
            <w:pPr>
              <w:pStyle w:val="ListBullet"/>
            </w:pPr>
            <w:r>
              <w:t>floor space (large buildings tend to be relatively more energy efficient than small buildings)</w:t>
            </w:r>
          </w:p>
          <w:p w14:paraId="256E0187" w14:textId="77777777" w:rsidR="00ED0E85" w:rsidRDefault="00ED0E85" w:rsidP="00ED0E85">
            <w:pPr>
              <w:pStyle w:val="ListBullet"/>
            </w:pPr>
            <w:r>
              <w:t>hours of operation.</w:t>
            </w:r>
          </w:p>
          <w:p w14:paraId="083D61DA" w14:textId="77777777" w:rsidR="00ED0E85" w:rsidRDefault="00ED0E85" w:rsidP="00ED0E85">
            <w:pPr>
              <w:pStyle w:val="BodyText"/>
              <w:spacing w:before="240"/>
            </w:pPr>
            <w:r>
              <w:t>Based on the comparison between the building’s actual (adjusted) performance and the NABERS benchmark (based on an initial sample of buildings when the relevant tool was developed) a star rating is awarded, with the star rating interpreted as follows:</w:t>
            </w:r>
          </w:p>
          <w:p w14:paraId="35DF9873" w14:textId="77777777" w:rsidR="00ED0E85" w:rsidRDefault="00ED0E85" w:rsidP="00ED0E85">
            <w:pPr>
              <w:pStyle w:val="ListBullet"/>
              <w:spacing w:before="80"/>
            </w:pPr>
            <w:r>
              <w:t>1 star — poor</w:t>
            </w:r>
          </w:p>
          <w:p w14:paraId="5DE84CB7" w14:textId="77777777" w:rsidR="00ED0E85" w:rsidRDefault="00ED0E85" w:rsidP="00ED0E85">
            <w:pPr>
              <w:pStyle w:val="ListBullet"/>
              <w:spacing w:before="80"/>
            </w:pPr>
            <w:r>
              <w:t>2 stars — below average</w:t>
            </w:r>
          </w:p>
          <w:p w14:paraId="33D3F9A0" w14:textId="77777777" w:rsidR="00ED0E85" w:rsidRDefault="00ED0E85" w:rsidP="00ED0E85">
            <w:pPr>
              <w:pStyle w:val="ListBullet"/>
              <w:spacing w:before="80"/>
            </w:pPr>
            <w:r>
              <w:t>3 stars — average</w:t>
            </w:r>
          </w:p>
          <w:p w14:paraId="661C2D3D" w14:textId="77777777" w:rsidR="00ED0E85" w:rsidRDefault="00ED0E85" w:rsidP="00ED0E85">
            <w:pPr>
              <w:pStyle w:val="ListBullet"/>
              <w:spacing w:before="80"/>
            </w:pPr>
            <w:r>
              <w:t>4 stars — good</w:t>
            </w:r>
          </w:p>
          <w:p w14:paraId="62006D40" w14:textId="77777777" w:rsidR="00ED0E85" w:rsidRDefault="00ED0E85" w:rsidP="00ED0E85">
            <w:pPr>
              <w:pStyle w:val="ListBullet"/>
              <w:spacing w:before="80"/>
            </w:pPr>
            <w:r>
              <w:t>5 stars — excellent</w:t>
            </w:r>
          </w:p>
          <w:p w14:paraId="456C2643" w14:textId="77777777" w:rsidR="00ED0E85" w:rsidRPr="00BF2F67" w:rsidRDefault="00ED0E85" w:rsidP="00ED0E85">
            <w:pPr>
              <w:pStyle w:val="ListBullet"/>
              <w:spacing w:before="80"/>
            </w:pPr>
            <w:r>
              <w:t>6 stars — market leading.</w:t>
            </w:r>
            <w:r>
              <w:rPr>
                <w:rStyle w:val="FootnoteReference"/>
              </w:rPr>
              <w:footnoteReference w:id="36"/>
            </w:r>
          </w:p>
        </w:tc>
      </w:tr>
      <w:tr w:rsidR="00ED0E85" w14:paraId="5636324A" w14:textId="77777777" w:rsidTr="00ED0E85">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tcBorders>
              <w:bottom w:val="single" w:sz="6" w:space="0" w:color="9B917E" w:themeColor="accent4"/>
            </w:tcBorders>
            <w:shd w:val="clear" w:color="auto" w:fill="E9E8E5" w:themeFill="background2"/>
          </w:tcPr>
          <w:p w14:paraId="0CAFFAD3" w14:textId="77777777" w:rsidR="00ED0E85" w:rsidRDefault="00ED0E85" w:rsidP="00ED0E85"/>
        </w:tc>
      </w:tr>
      <w:tr w:rsidR="00ED0E85" w14:paraId="029E7520" w14:textId="77777777" w:rsidTr="00ED0E85">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98"/>
        </w:trPr>
        <w:tc>
          <w:tcPr>
            <w:tcW w:w="7938" w:type="dxa"/>
            <w:tcBorders>
              <w:top w:val="single" w:sz="6" w:space="0" w:color="9B917E" w:themeColor="accent4"/>
            </w:tcBorders>
            <w:shd w:val="clear" w:color="6F6652" w:fill="auto"/>
          </w:tcPr>
          <w:p w14:paraId="78341F37" w14:textId="77777777" w:rsidR="00ED0E85" w:rsidRDefault="00ED0E85" w:rsidP="00ED0E85"/>
        </w:tc>
      </w:tr>
    </w:tbl>
    <w:p w14:paraId="13FFEEB8" w14:textId="77777777" w:rsidR="00ED0E85" w:rsidRDefault="00ED0E85" w:rsidP="00ED0E85">
      <w:pPr>
        <w:pStyle w:val="BodyText"/>
      </w:pPr>
      <w:r>
        <w:t>Feedback from stakeholders suggested NABERS ratings and the associated systems are trusted and well respected across the industry. Even if an appropriate commercial tool were available, mandating the use of a privately</w:t>
      </w:r>
      <w:r>
        <w:noBreakHyphen/>
        <w:t>owned tool could create some issues, including the following.</w:t>
      </w:r>
    </w:p>
    <w:p w14:paraId="5C75D51F" w14:textId="77777777" w:rsidR="00ED0E85" w:rsidRDefault="00ED0E85" w:rsidP="00ED0E85">
      <w:pPr>
        <w:pStyle w:val="ListBullet"/>
      </w:pPr>
      <w:r>
        <w:t>The owner of a privately</w:t>
      </w:r>
      <w:r>
        <w:noBreakHyphen/>
        <w:t xml:space="preserve">owned scheme could potentially make changes to the rating approach/methodology that do not align with the government’s regulatory objectives. </w:t>
      </w:r>
    </w:p>
    <w:p w14:paraId="2F7DF3A9" w14:textId="77777777" w:rsidR="00ED0E85" w:rsidRDefault="00ED0E85" w:rsidP="00ED0E85">
      <w:pPr>
        <w:pStyle w:val="ListBullet"/>
      </w:pPr>
      <w:r>
        <w:t>Mandating a privately</w:t>
      </w:r>
      <w:r>
        <w:noBreakHyphen/>
        <w:t>owned scheme could potentially allow the owner to charge prices well-above the cost of running the scheme.</w:t>
      </w:r>
    </w:p>
    <w:p w14:paraId="0DF9555E" w14:textId="77777777" w:rsidR="00ED0E85" w:rsidRDefault="00ED0E85" w:rsidP="00ED0E85">
      <w:pPr>
        <w:pStyle w:val="BodyText"/>
      </w:pPr>
      <w:r>
        <w:t>We therefore consider it appropriate for the government to retain some control over the information to be disclosed and the prices.</w:t>
      </w:r>
    </w:p>
    <w:p w14:paraId="314CA8C1" w14:textId="77777777" w:rsidR="00ED0E85" w:rsidRDefault="00ED0E85" w:rsidP="00ED0E85">
      <w:pPr>
        <w:pStyle w:val="BodyText"/>
      </w:pPr>
      <w:r>
        <w:t>Nevertheless, we make the following observations about the relevance of a NABERS Energy rating in the context the CBD Program objectives and the market and behavioural failures that the CBD Program seeks to address.</w:t>
      </w:r>
    </w:p>
    <w:p w14:paraId="64F2B107" w14:textId="77777777" w:rsidR="00ED0E85" w:rsidRDefault="00ED0E85" w:rsidP="00ED0E85">
      <w:pPr>
        <w:pStyle w:val="BodyText"/>
      </w:pPr>
      <w:r>
        <w:t>The first observation is that the most appropriate metric depends on the CBD Program objectives.</w:t>
      </w:r>
    </w:p>
    <w:p w14:paraId="4D7E4D3B" w14:textId="77777777" w:rsidR="00ED0E85" w:rsidRDefault="00ED0E85" w:rsidP="00ED0E85">
      <w:pPr>
        <w:pStyle w:val="ListBullet"/>
      </w:pPr>
      <w:r>
        <w:t>If the primary objective is to improve energy efficiency (or reduce energy consumption), the metric disclosed under the CBD Program should be based on energy consumption.</w:t>
      </w:r>
    </w:p>
    <w:p w14:paraId="0165BBA9" w14:textId="77777777" w:rsidR="00ED0E85" w:rsidRDefault="00ED0E85" w:rsidP="00ED0E85">
      <w:pPr>
        <w:pStyle w:val="ListBullet"/>
      </w:pPr>
      <w:r>
        <w:t>By contrast, if the primary objective is to reduce greenhouse gas emissions, a metric based on greenhouse gas emissions should be disclosed. This also implies that actions to offset greenhouse gas emissions (such as purchasing GreenPower) should be included in such a metric.</w:t>
      </w:r>
      <w:r>
        <w:rPr>
          <w:rStyle w:val="FootnoteReference"/>
        </w:rPr>
        <w:footnoteReference w:id="37"/>
      </w:r>
    </w:p>
    <w:p w14:paraId="36DCF319" w14:textId="77777777" w:rsidR="00ED0E85" w:rsidRDefault="00ED0E85" w:rsidP="00ED0E85">
      <w:pPr>
        <w:pStyle w:val="ListBullet"/>
      </w:pPr>
      <w:r>
        <w:t>The primary objective could be less prescriptive and focus, for example, on the availability of information. This light touch approach would allow the market to decide how best to comply.</w:t>
      </w:r>
      <w:r>
        <w:rPr>
          <w:rStyle w:val="FootnoteReference"/>
        </w:rPr>
        <w:footnoteReference w:id="38"/>
      </w:r>
      <w:r>
        <w:t xml:space="preserve"> This approach would require a meaningful link between the metric (such as the availability of information) and desirable outcomes (reduction in energy use/less greenhouse gas emissions).  </w:t>
      </w:r>
    </w:p>
    <w:p w14:paraId="5566E278" w14:textId="77777777" w:rsidR="00ED0E85" w:rsidRDefault="00ED0E85" w:rsidP="00ED0E85">
      <w:pPr>
        <w:pStyle w:val="BodyText"/>
      </w:pPr>
      <w:r>
        <w:t>In this regard, we note that the NABERS Energy rating uses greenhouse gas emissions to convert electricity and gas consumption to a common metric. Alternatively, energy consumption (or energy bills) could be the common metric. In theory, a measure based on energy consumption would better align with:</w:t>
      </w:r>
    </w:p>
    <w:p w14:paraId="670AF979" w14:textId="77777777" w:rsidR="00ED0E85" w:rsidRDefault="00ED0E85" w:rsidP="00ED0E85">
      <w:pPr>
        <w:pStyle w:val="ListBullet"/>
      </w:pPr>
      <w:r>
        <w:t>the stated objectives of the CBD Program (to improve energy efficiency)</w:t>
      </w:r>
    </w:p>
    <w:p w14:paraId="2B1175AB" w14:textId="77777777" w:rsidR="00ED0E85" w:rsidRDefault="00ED0E85" w:rsidP="00ED0E85">
      <w:pPr>
        <w:pStyle w:val="ListBullet"/>
      </w:pPr>
      <w:r>
        <w:t>the NEPP targets (which is expressed in terms of the ratio of gross domestic product (GDP) per unit of primary energy).</w:t>
      </w:r>
    </w:p>
    <w:p w14:paraId="57DBEB60" w14:textId="77777777" w:rsidR="00ED0E85" w:rsidRDefault="00ED0E85" w:rsidP="00ED0E85">
      <w:pPr>
        <w:pStyle w:val="BodyText"/>
      </w:pPr>
      <w:r>
        <w:t>That said, the only practical difference between a measure based on greenhouse gas emissions and energy consumption is the weighting between energy sources (i.e. electricity and gas) and there is no compelling reason to change from the status quo.</w:t>
      </w:r>
    </w:p>
    <w:p w14:paraId="2AE19BF1" w14:textId="54950BD0" w:rsidR="00ED0E85" w:rsidRDefault="00ED0E85" w:rsidP="00ED0E85">
      <w:pPr>
        <w:pStyle w:val="BodyText"/>
      </w:pPr>
      <w:r>
        <w:t>A second observation is that no single metric is the most relevant measure for all uses (and all users). Table </w:t>
      </w:r>
      <w:r w:rsidR="004550CB">
        <w:rPr>
          <w:noProof/>
        </w:rPr>
        <w:fldChar w:fldCharType="begin"/>
      </w:r>
      <w:r w:rsidR="004550CB">
        <w:rPr>
          <w:noProof/>
        </w:rPr>
        <w:instrText xml:space="preserve"> REF _Caption6314 </w:instrText>
      </w:r>
      <w:r w:rsidR="004550CB">
        <w:rPr>
          <w:noProof/>
        </w:rPr>
        <w:fldChar w:fldCharType="separate"/>
      </w:r>
      <w:r w:rsidR="00AD3561">
        <w:rPr>
          <w:noProof/>
        </w:rPr>
        <w:t>6</w:t>
      </w:r>
      <w:r w:rsidR="00AD3561" w:rsidRPr="00695C93">
        <w:rPr>
          <w:noProof/>
        </w:rPr>
        <w:t>.</w:t>
      </w:r>
      <w:r w:rsidR="00AD3561">
        <w:rPr>
          <w:noProof/>
        </w:rPr>
        <w:t>7</w:t>
      </w:r>
      <w:r w:rsidR="004550CB">
        <w:rPr>
          <w:noProof/>
        </w:rPr>
        <w:fldChar w:fldCharType="end"/>
      </w:r>
      <w:r>
        <w:t xml:space="preserve"> summarises the most relevant information for different stakeholders with different priorities.</w:t>
      </w:r>
    </w:p>
    <w:p w14:paraId="2C282CC4" w14:textId="2BC03B00"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6</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6</w:instrText>
      </w:r>
      <w:r w:rsidR="004550CB">
        <w:rPr>
          <w:noProof/>
        </w:rPr>
        <w:fldChar w:fldCharType="end"/>
      </w:r>
      <w:r w:rsidRPr="00695C93">
        <w:instrText xml:space="preserve">." </w:instrText>
      </w:r>
      <w:r w:rsidRPr="00695C93">
        <w:fldChar w:fldCharType="separate"/>
      </w:r>
      <w:r w:rsidR="00AD3561">
        <w:rPr>
          <w:noProof/>
        </w:rPr>
        <w:instrText>6</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6</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6</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7</w:instrText>
      </w:r>
      <w:r w:rsidRPr="00695C93">
        <w:fldChar w:fldCharType="end"/>
      </w:r>
      <w:r w:rsidRPr="00695C93">
        <w:instrText xml:space="preserve">" "" </w:instrText>
      </w:r>
      <w:r w:rsidRPr="00695C93">
        <w:fldChar w:fldCharType="separate"/>
      </w:r>
      <w:bookmarkStart w:id="3949" w:name="_Caption2094"/>
      <w:bookmarkStart w:id="3950" w:name="_Caption3617"/>
      <w:bookmarkStart w:id="3951" w:name="_Caption3724"/>
      <w:bookmarkStart w:id="3952" w:name="_Caption4134"/>
      <w:bookmarkStart w:id="3953" w:name="_Caption3282"/>
      <w:bookmarkStart w:id="3954" w:name="_Caption0458"/>
      <w:bookmarkStart w:id="3955" w:name="_Caption1743"/>
      <w:bookmarkStart w:id="3956" w:name="_Caption3291"/>
      <w:bookmarkStart w:id="3957" w:name="_Caption4056"/>
      <w:bookmarkStart w:id="3958" w:name="_Caption6122"/>
      <w:bookmarkStart w:id="3959" w:name="_Caption5473"/>
      <w:bookmarkStart w:id="3960" w:name="_Caption5259"/>
      <w:bookmarkStart w:id="3961" w:name="_Caption0958"/>
      <w:bookmarkStart w:id="3962" w:name="_Caption0922"/>
      <w:bookmarkStart w:id="3963" w:name="_Caption7935"/>
      <w:bookmarkStart w:id="3964" w:name="_Caption7284"/>
      <w:bookmarkStart w:id="3965" w:name="_Caption8175"/>
      <w:bookmarkStart w:id="3966" w:name="_Caption4485"/>
      <w:bookmarkStart w:id="3967" w:name="_Caption0216"/>
      <w:bookmarkStart w:id="3968" w:name="_Caption4783"/>
      <w:bookmarkStart w:id="3969" w:name="_Caption0093"/>
      <w:bookmarkStart w:id="3970" w:name="_Caption6314"/>
      <w:bookmarkStart w:id="3971" w:name="_Caption2771"/>
      <w:bookmarkStart w:id="3972" w:name="_Caption8371"/>
      <w:bookmarkStart w:id="3973" w:name="_Caption2556"/>
      <w:bookmarkStart w:id="3974" w:name="_Caption1975"/>
      <w:bookmarkStart w:id="3975" w:name="_Caption4707"/>
      <w:bookmarkStart w:id="3976" w:name="_Caption0763"/>
      <w:bookmarkStart w:id="3977" w:name="_Caption9440"/>
      <w:bookmarkStart w:id="3978" w:name="_Caption2947"/>
      <w:bookmarkStart w:id="3979" w:name="_Caption5127"/>
      <w:bookmarkStart w:id="3980" w:name="_Caption3286"/>
      <w:bookmarkStart w:id="3981" w:name="_Caption6542"/>
      <w:bookmarkStart w:id="3982" w:name="_Caption0198"/>
      <w:bookmarkStart w:id="3983" w:name="_Caption6643"/>
      <w:bookmarkStart w:id="3984" w:name="_Caption8999"/>
      <w:bookmarkStart w:id="3985" w:name="_Toc19275609"/>
      <w:bookmarkStart w:id="3986" w:name="_Toc19276219"/>
      <w:bookmarkStart w:id="3987" w:name="_Toc19280218"/>
      <w:r w:rsidR="00C353B5">
        <w:rPr>
          <w:noProof/>
        </w:rPr>
        <w:t>6</w:t>
      </w:r>
      <w:r w:rsidR="00C353B5" w:rsidRPr="00695C93">
        <w:rPr>
          <w:noProof/>
        </w:rPr>
        <w:t>.</w:t>
      </w:r>
      <w:r w:rsidR="00C353B5">
        <w:rPr>
          <w:noProof/>
        </w:rPr>
        <w:t>7</w:t>
      </w:r>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r w:rsidRPr="00695C93">
        <w:fldChar w:fldCharType="end"/>
      </w:r>
      <w:r w:rsidRPr="00695C93">
        <w:tab/>
      </w:r>
      <w:r>
        <w:t>Information most relevant to different stakeholders</w:t>
      </w:r>
      <w:bookmarkEnd w:id="3985"/>
      <w:bookmarkEnd w:id="3986"/>
      <w:bookmarkEnd w:id="3987"/>
    </w:p>
    <w:tbl>
      <w:tblPr>
        <w:tblW w:w="7938" w:type="dxa"/>
        <w:tblLayout w:type="fixed"/>
        <w:tblLook w:val="0000" w:firstRow="0" w:lastRow="0" w:firstColumn="0" w:lastColumn="0" w:noHBand="0" w:noVBand="0"/>
      </w:tblPr>
      <w:tblGrid>
        <w:gridCol w:w="2646"/>
        <w:gridCol w:w="2646"/>
        <w:gridCol w:w="2646"/>
      </w:tblGrid>
      <w:tr w:rsidR="00ED0E85" w14:paraId="65284A24" w14:textId="77777777" w:rsidTr="00ED0E85">
        <w:trPr>
          <w:tblHeader/>
        </w:trPr>
        <w:tc>
          <w:tcPr>
            <w:tcW w:w="1984" w:type="dxa"/>
            <w:tcBorders>
              <w:bottom w:val="single" w:sz="8" w:space="0" w:color="FFFFFF" w:themeColor="background1"/>
            </w:tcBorders>
            <w:shd w:val="clear" w:color="auto" w:fill="6F6652"/>
            <w:tcMar>
              <w:left w:w="57" w:type="dxa"/>
              <w:right w:w="57" w:type="dxa"/>
            </w:tcMar>
          </w:tcPr>
          <w:p w14:paraId="1C4A283B" w14:textId="77777777" w:rsidR="00ED0E85" w:rsidRDefault="00ED0E85" w:rsidP="00ED0E85">
            <w:pPr>
              <w:pStyle w:val="TableTextColumnHeading"/>
            </w:pPr>
            <w:r>
              <w:t>Stakeholder</w:t>
            </w:r>
          </w:p>
        </w:tc>
        <w:tc>
          <w:tcPr>
            <w:tcW w:w="1984" w:type="dxa"/>
            <w:tcBorders>
              <w:bottom w:val="single" w:sz="8" w:space="0" w:color="FFFFFF" w:themeColor="background1"/>
            </w:tcBorders>
            <w:shd w:val="clear" w:color="auto" w:fill="6F6652"/>
            <w:tcMar>
              <w:left w:w="57" w:type="dxa"/>
              <w:right w:w="57" w:type="dxa"/>
            </w:tcMar>
          </w:tcPr>
          <w:p w14:paraId="63F62EC8" w14:textId="77777777" w:rsidR="00ED0E85" w:rsidRDefault="00ED0E85" w:rsidP="00ED0E85">
            <w:pPr>
              <w:pStyle w:val="TableTextColumnHeading"/>
            </w:pPr>
            <w:r>
              <w:t>Primary focus</w:t>
            </w:r>
          </w:p>
        </w:tc>
        <w:tc>
          <w:tcPr>
            <w:tcW w:w="1984" w:type="dxa"/>
            <w:tcBorders>
              <w:bottom w:val="single" w:sz="8" w:space="0" w:color="FFFFFF" w:themeColor="background1"/>
            </w:tcBorders>
            <w:shd w:val="clear" w:color="auto" w:fill="6F6652"/>
            <w:tcMar>
              <w:left w:w="57" w:type="dxa"/>
              <w:right w:w="57" w:type="dxa"/>
            </w:tcMar>
          </w:tcPr>
          <w:p w14:paraId="766D9634" w14:textId="77777777" w:rsidR="00ED0E85" w:rsidRDefault="00ED0E85" w:rsidP="00ED0E85">
            <w:pPr>
              <w:pStyle w:val="TableTextColumnHeading"/>
            </w:pPr>
            <w:r>
              <w:t>Relevant information</w:t>
            </w:r>
          </w:p>
        </w:tc>
      </w:tr>
      <w:tr w:rsidR="00ED0E85" w14:paraId="3AB8BAA9" w14:textId="77777777" w:rsidTr="00ED0E85">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B12DA7" w14:textId="77777777" w:rsidR="00ED0E85" w:rsidRDefault="00ED0E85" w:rsidP="00ED0E85">
            <w:pPr>
              <w:pStyle w:val="TableTextEntries"/>
            </w:pPr>
            <w:r>
              <w:t>Tenant</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315310" w14:textId="77777777" w:rsidR="00ED0E85" w:rsidRDefault="00ED0E85" w:rsidP="00ED0E85">
            <w:pPr>
              <w:pStyle w:val="TableTextEntries"/>
            </w:pPr>
            <w:r>
              <w:t>Energy bills</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4C35CC" w14:textId="77777777" w:rsidR="00ED0E85" w:rsidRDefault="00ED0E85" w:rsidP="00ED0E85">
            <w:pPr>
              <w:pStyle w:val="TableTextEntries"/>
            </w:pPr>
            <w:r>
              <w:t>Estimated outgoings (as already disclosed)</w:t>
            </w:r>
          </w:p>
        </w:tc>
      </w:tr>
      <w:tr w:rsidR="00ED0E85" w14:paraId="7B893A9C" w14:textId="77777777" w:rsidTr="00ED0E85">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DDC048" w14:textId="77777777" w:rsidR="00ED0E85" w:rsidRDefault="00ED0E85" w:rsidP="00ED0E85">
            <w:pPr>
              <w:pStyle w:val="TableTextEntries"/>
            </w:pPr>
            <w:r>
              <w:t>Tenant</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2670A8" w14:textId="77777777" w:rsidR="00ED0E85" w:rsidRDefault="00ED0E85" w:rsidP="00ED0E85">
            <w:pPr>
              <w:pStyle w:val="TableTextEntries"/>
            </w:pPr>
            <w:r>
              <w:t>Greenhouse gas emissions (to meet corporate social responsibility objectives)</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BCC975" w14:textId="77777777" w:rsidR="00ED0E85" w:rsidRDefault="00ED0E85" w:rsidP="00ED0E85">
            <w:pPr>
              <w:pStyle w:val="TableTextEntries"/>
            </w:pPr>
            <w:r>
              <w:t>Greenhouse gas emissions (Kg CO</w:t>
            </w:r>
            <w:r w:rsidRPr="00D34354">
              <w:rPr>
                <w:vertAlign w:val="subscript"/>
              </w:rPr>
              <w:t>2-e</w:t>
            </w:r>
            <w:r>
              <w:t>) per m</w:t>
            </w:r>
            <w:r w:rsidRPr="00D34354">
              <w:rPr>
                <w:vertAlign w:val="superscript"/>
              </w:rPr>
              <w:t>2</w:t>
            </w:r>
            <w:r>
              <w:t xml:space="preserve"> (including GreenPower)</w:t>
            </w:r>
          </w:p>
        </w:tc>
      </w:tr>
      <w:tr w:rsidR="00ED0E85" w14:paraId="14464025" w14:textId="77777777" w:rsidTr="00ED0E85">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9A59D9" w14:textId="77777777" w:rsidR="00ED0E85" w:rsidRDefault="00ED0E85" w:rsidP="00ED0E85">
            <w:pPr>
              <w:pStyle w:val="TableTextEntries"/>
            </w:pPr>
            <w:r>
              <w:t>Buyer</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75B850" w14:textId="77777777" w:rsidR="00ED0E85" w:rsidRDefault="00ED0E85" w:rsidP="00ED0E85">
            <w:pPr>
              <w:pStyle w:val="TableTextEntries"/>
            </w:pPr>
            <w:r>
              <w:t>Energy efficiency</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2CD724" w14:textId="77777777" w:rsidR="00ED0E85" w:rsidRDefault="00ED0E85" w:rsidP="00ED0E85">
            <w:pPr>
              <w:pStyle w:val="TableTextEntries"/>
            </w:pPr>
            <w:r>
              <w:t>A measure of energy efficiency benchmarked against similar buildings (i.e. NABERS Energy for offices)</w:t>
            </w:r>
          </w:p>
        </w:tc>
      </w:tr>
      <w:tr w:rsidR="00ED0E85" w14:paraId="4EAFDD9E" w14:textId="77777777" w:rsidTr="00ED0E85">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178A87" w14:textId="77777777" w:rsidR="00ED0E85" w:rsidRDefault="00ED0E85" w:rsidP="00ED0E85">
            <w:pPr>
              <w:pStyle w:val="TableTextEntries"/>
            </w:pPr>
            <w:r>
              <w:t>Building owner/manager</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2A5B00" w14:textId="77777777" w:rsidR="00ED0E85" w:rsidRDefault="00ED0E85" w:rsidP="00ED0E85">
            <w:pPr>
              <w:pStyle w:val="TableTextEntries"/>
            </w:pPr>
            <w:r>
              <w:t>Energy efficiency</w:t>
            </w:r>
          </w:p>
        </w:tc>
        <w:tc>
          <w:tcPr>
            <w:tcW w:w="198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F1CF70" w14:textId="77777777" w:rsidR="00ED0E85" w:rsidRDefault="00ED0E85" w:rsidP="00ED0E85">
            <w:pPr>
              <w:pStyle w:val="TableTextEntries"/>
            </w:pPr>
            <w:r>
              <w:t>A measure of energy efficiency benchmarked against similar buildings (i.e. NABERS Energy for offices)</w:t>
            </w:r>
          </w:p>
        </w:tc>
      </w:tr>
      <w:tr w:rsidR="00ED0E85" w14:paraId="0505CEC5" w14:textId="77777777" w:rsidTr="00ED0E85">
        <w:tc>
          <w:tcPr>
            <w:tcW w:w="1984" w:type="dxa"/>
            <w:tcBorders>
              <w:top w:val="single" w:sz="8" w:space="0" w:color="FFFFFF" w:themeColor="background1"/>
              <w:bottom w:val="single" w:sz="6" w:space="0" w:color="6F6652"/>
            </w:tcBorders>
            <w:shd w:val="clear" w:color="auto" w:fill="E9E8E5" w:themeFill="background2"/>
            <w:tcMar>
              <w:left w:w="57" w:type="dxa"/>
              <w:right w:w="57" w:type="dxa"/>
            </w:tcMar>
          </w:tcPr>
          <w:p w14:paraId="4BD5DFBF" w14:textId="77777777" w:rsidR="00ED0E85" w:rsidRDefault="00ED0E85" w:rsidP="00ED0E85">
            <w:pPr>
              <w:pStyle w:val="TableTextEntries"/>
            </w:pPr>
            <w:r>
              <w:t>Commonwealth Government</w:t>
            </w:r>
          </w:p>
        </w:tc>
        <w:tc>
          <w:tcPr>
            <w:tcW w:w="1984" w:type="dxa"/>
            <w:tcBorders>
              <w:top w:val="single" w:sz="8" w:space="0" w:color="FFFFFF" w:themeColor="background1"/>
              <w:bottom w:val="single" w:sz="6" w:space="0" w:color="6F6652"/>
            </w:tcBorders>
            <w:shd w:val="clear" w:color="auto" w:fill="E9E8E5" w:themeFill="background2"/>
            <w:tcMar>
              <w:left w:w="57" w:type="dxa"/>
              <w:right w:w="57" w:type="dxa"/>
            </w:tcMar>
          </w:tcPr>
          <w:p w14:paraId="66F58B0F" w14:textId="77777777" w:rsidR="00ED0E85" w:rsidRDefault="00ED0E85" w:rsidP="00ED0E85">
            <w:pPr>
              <w:pStyle w:val="TableTextEntries"/>
            </w:pPr>
            <w:r>
              <w:t>Greenhouse gas emissions (to track progress in the sector)</w:t>
            </w:r>
          </w:p>
        </w:tc>
        <w:tc>
          <w:tcPr>
            <w:tcW w:w="1984" w:type="dxa"/>
            <w:tcBorders>
              <w:top w:val="single" w:sz="8" w:space="0" w:color="FFFFFF" w:themeColor="background1"/>
              <w:bottom w:val="single" w:sz="6" w:space="0" w:color="6F6652"/>
            </w:tcBorders>
            <w:shd w:val="clear" w:color="auto" w:fill="E9E8E5" w:themeFill="background2"/>
            <w:tcMar>
              <w:left w:w="57" w:type="dxa"/>
              <w:right w:w="57" w:type="dxa"/>
            </w:tcMar>
          </w:tcPr>
          <w:p w14:paraId="74E4B522" w14:textId="77777777" w:rsidR="00ED0E85" w:rsidRDefault="00ED0E85" w:rsidP="00ED0E85">
            <w:pPr>
              <w:pStyle w:val="TableTextEntries"/>
            </w:pPr>
            <w:r>
              <w:t>Greenhouse gas emissions (Kg CO</w:t>
            </w:r>
            <w:r w:rsidRPr="00D34354">
              <w:rPr>
                <w:vertAlign w:val="subscript"/>
              </w:rPr>
              <w:t>2-e</w:t>
            </w:r>
            <w:r>
              <w:t>) per m</w:t>
            </w:r>
            <w:r w:rsidRPr="00D34354">
              <w:rPr>
                <w:vertAlign w:val="superscript"/>
              </w:rPr>
              <w:t>2</w:t>
            </w:r>
            <w:r>
              <w:t xml:space="preserve"> (including GreenPower)</w:t>
            </w:r>
          </w:p>
        </w:tc>
      </w:tr>
    </w:tbl>
    <w:p w14:paraId="4ADA00F5" w14:textId="77777777" w:rsidR="00ED0E85" w:rsidRDefault="00ED0E85" w:rsidP="00ED0E85">
      <w:pPr>
        <w:pStyle w:val="Source"/>
      </w:pPr>
      <w:r>
        <w:rPr>
          <w:i/>
        </w:rPr>
        <w:t>Source</w:t>
      </w:r>
      <w:r w:rsidRPr="00E4232C">
        <w:rPr>
          <w:i/>
        </w:rPr>
        <w:t>:</w:t>
      </w:r>
      <w:r>
        <w:t xml:space="preserve"> CIE.</w:t>
      </w:r>
    </w:p>
    <w:p w14:paraId="286382FC" w14:textId="77777777" w:rsidR="00ED0E85" w:rsidRDefault="00ED0E85" w:rsidP="00ED0E85">
      <w:pPr>
        <w:pStyle w:val="ListBullet"/>
      </w:pPr>
      <w:r>
        <w:t>For a tenant whose primary focus is on energy bills, the most relevant information is an estimate of future energy bills (as is already disclosed).</w:t>
      </w:r>
    </w:p>
    <w:p w14:paraId="0CA4B812" w14:textId="77777777" w:rsidR="00ED0E85" w:rsidRDefault="00ED0E85" w:rsidP="00ED0E85">
      <w:pPr>
        <w:pStyle w:val="ListBullet2"/>
      </w:pPr>
      <w:r>
        <w:t>Direct information on estimated energy bills allows a tenant to weigh up energy bills against rents and other factors and choose the office space that best meets their needs.</w:t>
      </w:r>
    </w:p>
    <w:p w14:paraId="263638B2" w14:textId="77777777" w:rsidR="00ED0E85" w:rsidRDefault="00ED0E85" w:rsidP="00ED0E85">
      <w:pPr>
        <w:pStyle w:val="ListBullet2"/>
      </w:pPr>
      <w:r>
        <w:t>By contrast, the NABERS Energy rating is designed to benchmark the energy efficiency of the building to other similar buildings. While benchmarking a building’s energy efficiency against similar buildings is useful information for other stakeholders, it is less useful for tenants, where their primary focus is on energy bills. In particular, the energy intensity of a building (and therefore the energy bills) can vary significantly within a star band (and can overlap with other star bands), even within a given climate zone. As such, the NABERS Energy rating is unlikely to be a good indicator of energy bills.</w:t>
      </w:r>
    </w:p>
    <w:p w14:paraId="0929DA50" w14:textId="77777777" w:rsidR="00ED0E85" w:rsidRDefault="00ED0E85" w:rsidP="00ED0E85">
      <w:pPr>
        <w:pStyle w:val="ListBullet"/>
      </w:pPr>
      <w:r>
        <w:t>As the NABERS Energy rating is based on greenhouse gas emissions, it may be more relevant to tenants primarily concerned with greenhouse gas emissions (such as to meet corporate social responsibility objectives). That said, the actual greenhouse gas intensity of office space can also vary significantly within a particular star rating, even within a given climate zone. The NABERS star rating will not necessarily be a good indicator of the actual greenhouse gas emissions associated with a particular office space.</w:t>
      </w:r>
    </w:p>
    <w:p w14:paraId="25A8D3C8" w14:textId="77777777" w:rsidR="00ED0E85" w:rsidRDefault="00ED0E85" w:rsidP="00ED0E85">
      <w:pPr>
        <w:pStyle w:val="ListBullet2"/>
      </w:pPr>
      <w:r>
        <w:t>As tenants will generally be looking for office space within a particular location (i.e. office space in different locations are unlikely to be substitutable), the NABERS Energy rating provides a reasonable comparison of the relative GHG performance within that location. As such, the climate adjustment is unlikely to distort decisions to any great extent. Nor would the hours of operation adjustment.</w:t>
      </w:r>
    </w:p>
    <w:p w14:paraId="58D15348" w14:textId="77777777" w:rsidR="00ED0E85" w:rsidRDefault="00ED0E85" w:rsidP="00ED0E85">
      <w:pPr>
        <w:pStyle w:val="ListBullet2"/>
      </w:pPr>
      <w:r>
        <w:t>On the other hand, office space within different sized buildings is likely to be highly substitutable. As such, any adjustment (or non</w:t>
      </w:r>
      <w:r>
        <w:noBreakHyphen/>
        <w:t xml:space="preserve">linear benchmark) based on building size could potentially distort the decision made by a tenant seeking to minimise their carbon footprint. For example, an office space in a smaller building may have a higher NABERS rating but higher emissions compared to an office space in a larger building with a lower NABERS rating. Therefore any adjustment to the rating based on the size of a building could lead some potential tenants to prefer the office space with higher emissions. </w:t>
      </w:r>
    </w:p>
    <w:p w14:paraId="7174D0C3" w14:textId="77777777" w:rsidR="00ED0E85" w:rsidRDefault="00ED0E85" w:rsidP="00ED0E85">
      <w:pPr>
        <w:pStyle w:val="ListBullet2"/>
      </w:pPr>
      <w:r>
        <w:t>Furthermore, where a tenant’s primary concern is greenhouse gas emissions, a measure including GreenPower may be more relevant, as this is the best indicator of greenhouse gas emissions (that said, this rating would generally be available to tenants even if it is not the primary metric disclosed).</w:t>
      </w:r>
    </w:p>
    <w:p w14:paraId="2979C05A" w14:textId="77777777" w:rsidR="00ED0E85" w:rsidRDefault="00ED0E85" w:rsidP="00ED0E85">
      <w:pPr>
        <w:pStyle w:val="ListBullet"/>
      </w:pPr>
      <w:r>
        <w:t>On the other hand, a NABERS Energy rating (without greenpower) is the most relevant metric for building owners/managers (as well as prospective buyers), as the building’s energy performance is benchmarked against similar buildings.</w:t>
      </w:r>
    </w:p>
    <w:p w14:paraId="3ED50BBF" w14:textId="77777777" w:rsidR="00ED0E85" w:rsidRDefault="00ED0E85" w:rsidP="00ED0E85">
      <w:pPr>
        <w:pStyle w:val="KeyPoint"/>
      </w:pPr>
      <w:r>
        <w:t xml:space="preserve">In summary, no single measure can meet the specific needs of all stakeholders. However, it would be impractical (due to information overload, for example) to disclose multiple measures. </w:t>
      </w:r>
    </w:p>
    <w:p w14:paraId="0E306A11" w14:textId="77777777" w:rsidR="00ED0E85" w:rsidRDefault="00ED0E85" w:rsidP="00ED0E85">
      <w:pPr>
        <w:pStyle w:val="KeyPoint"/>
      </w:pPr>
      <w:r>
        <w:t>The NABERS Energy (without GreenPower) rating is the most appropriate measure for mandatory disclosure, because:</w:t>
      </w:r>
    </w:p>
    <w:p w14:paraId="7261D32F" w14:textId="77777777" w:rsidR="00ED0E85" w:rsidRDefault="00ED0E85" w:rsidP="00ED0E85">
      <w:pPr>
        <w:pStyle w:val="KeyPoint2"/>
      </w:pPr>
      <w:r>
        <w:t>it best aligns with the CBD Program objective of improving energy efficiency</w:t>
      </w:r>
    </w:p>
    <w:p w14:paraId="2DEF9714" w14:textId="77777777" w:rsidR="00ED0E85" w:rsidRDefault="00ED0E85" w:rsidP="00ED0E85">
      <w:pPr>
        <w:pStyle w:val="KeyPoint2"/>
      </w:pPr>
      <w:r>
        <w:t>it is the best measure to overcome a lack of knowledge of poor performance, which is likely to be the main mechanism through which the CBD Program encourages improved performance</w:t>
      </w:r>
    </w:p>
    <w:p w14:paraId="5B83AE69" w14:textId="77777777" w:rsidR="00ED0E85" w:rsidRPr="00882A98" w:rsidRDefault="00ED0E85" w:rsidP="00ED0E85">
      <w:pPr>
        <w:pStyle w:val="KeyPoint2"/>
      </w:pPr>
      <w:r>
        <w:t>the measure most relevant to tenants primarily concerned about energy bills is already disclosed.</w:t>
      </w:r>
    </w:p>
    <w:p w14:paraId="65C6CB4F" w14:textId="77777777" w:rsidR="00ED0E85" w:rsidRDefault="00ED0E85" w:rsidP="00ED0E85">
      <w:pPr>
        <w:pStyle w:val="Heading4"/>
        <w:numPr>
          <w:ilvl w:val="3"/>
          <w:numId w:val="5"/>
        </w:numPr>
      </w:pPr>
      <w:r>
        <w:t>Tenancy Lighting Assessment</w:t>
      </w:r>
    </w:p>
    <w:p w14:paraId="16727563" w14:textId="77777777" w:rsidR="00ED0E85" w:rsidRDefault="00ED0E85" w:rsidP="00ED0E85">
      <w:pPr>
        <w:pStyle w:val="BodyText"/>
      </w:pPr>
      <w:r>
        <w:t>Disclosure of the TLA is intended to overcome the split incentive caused by information asymmetry in relation to lighting (as the efficiency of lighting may not be reflected in rents, see above). However, unlike the NABERS rating, the TLA is not based on actual performance. Rather, it is effectively a description of the lighting technology in place. As such, it is not necessarily a good indicator of tenancy energy bills.</w:t>
      </w:r>
    </w:p>
    <w:p w14:paraId="400E08B8" w14:textId="5D29BDE0" w:rsidR="00ED0E85" w:rsidRDefault="00ED0E85" w:rsidP="00ED0E85">
      <w:pPr>
        <w:pStyle w:val="BodyText"/>
      </w:pPr>
      <w:r>
        <w:t>In particular, the relationship between lighting power density (as measured by the TLA) and tenancy energy intensity appears to be relatively weak (see chart </w:t>
      </w:r>
      <w:r>
        <w:rPr>
          <w:noProof/>
        </w:rPr>
        <w:fldChar w:fldCharType="begin"/>
      </w:r>
      <w:r>
        <w:rPr>
          <w:noProof/>
        </w:rPr>
        <w:instrText xml:space="preserve"> REF _Caption7374 </w:instrText>
      </w:r>
      <w:r>
        <w:rPr>
          <w:noProof/>
        </w:rPr>
        <w:fldChar w:fldCharType="separate"/>
      </w:r>
      <w:r w:rsidR="00AD3561">
        <w:rPr>
          <w:noProof/>
        </w:rPr>
        <w:t>4</w:t>
      </w:r>
      <w:r w:rsidR="00AD3561" w:rsidRPr="00695C93">
        <w:rPr>
          <w:noProof/>
        </w:rPr>
        <w:t>.</w:t>
      </w:r>
      <w:r w:rsidR="00AD3561">
        <w:rPr>
          <w:noProof/>
        </w:rPr>
        <w:t>22</w:t>
      </w:r>
      <w:r>
        <w:rPr>
          <w:noProof/>
        </w:rPr>
        <w:fldChar w:fldCharType="end"/>
      </w:r>
      <w:r>
        <w:rPr>
          <w:noProof/>
        </w:rPr>
        <w:t xml:space="preserve"> in chapter 4 above</w:t>
      </w:r>
      <w:r>
        <w:t>), with a correlation coefficient of 0.25 (note that we have only been able to match a small selection of tenancies from NABERS tenancy assessments and CBD data).</w:t>
      </w:r>
    </w:p>
    <w:p w14:paraId="757145B2" w14:textId="77777777" w:rsidR="00ED0E85" w:rsidRDefault="00ED0E85" w:rsidP="00ED0E85">
      <w:pPr>
        <w:pStyle w:val="BodyText"/>
      </w:pPr>
      <w:r>
        <w:t>Furthermore, a consistent theme from consultations is that (unlike the NABERS rating), the TLA is rarely looked at by tenants or owners. This suggests there is a case to remove the requirement for a TLA, and this would certainly be removed if tenancy ratings were mandatory.</w:t>
      </w:r>
    </w:p>
    <w:p w14:paraId="158BA91D" w14:textId="77777777" w:rsidR="00ED0E85" w:rsidRDefault="00ED0E85" w:rsidP="00ED0E85">
      <w:pPr>
        <w:pStyle w:val="Heading4"/>
        <w:numPr>
          <w:ilvl w:val="3"/>
          <w:numId w:val="5"/>
        </w:numPr>
      </w:pPr>
      <w:r>
        <w:t>Office tenancy rating</w:t>
      </w:r>
    </w:p>
    <w:p w14:paraId="29E3834C" w14:textId="77777777" w:rsidR="00ED0E85" w:rsidRDefault="00ED0E85" w:rsidP="00ED0E85">
      <w:pPr>
        <w:pStyle w:val="BodyText"/>
      </w:pPr>
      <w:r>
        <w:t xml:space="preserve">In practice, there is no viable alternative to the NABERS Office tenancy tool for the reasons outlined above. That said, the NABERS tool benchmarks performance against tenancies with similar characteristics and is therefore the measure most likely to encourage behavioural change because it also aligns with the most likely market/behavioural failure that a mandatory disclosure scheme would be seeking to address. As such, the NABERS office tenancy rating is likely to be of practical use to the tenant themselves and mandatory disclosure would overcome a lack of knowledge of poor performance. Furthermore, NABERS also provides a useful mechanism for Government to track greenhouse gas emissions and formulate policy. </w:t>
      </w:r>
    </w:p>
    <w:p w14:paraId="1830B235" w14:textId="77777777" w:rsidR="00ED0E85" w:rsidRDefault="00ED0E85" w:rsidP="00ED0E85">
      <w:pPr>
        <w:pStyle w:val="Heading3"/>
        <w:numPr>
          <w:ilvl w:val="2"/>
          <w:numId w:val="5"/>
        </w:numPr>
      </w:pPr>
      <w:r>
        <w:t>CBD Program coverage for office tenancies</w:t>
      </w:r>
    </w:p>
    <w:p w14:paraId="1F316C8E" w14:textId="77777777" w:rsidR="00ED0E85" w:rsidRPr="003305CA" w:rsidRDefault="00ED0E85" w:rsidP="00ED0E85">
      <w:pPr>
        <w:pStyle w:val="Heading4"/>
        <w:numPr>
          <w:ilvl w:val="3"/>
          <w:numId w:val="5"/>
        </w:numPr>
      </w:pPr>
      <w:r>
        <w:t>CBD Program coverage</w:t>
      </w:r>
    </w:p>
    <w:p w14:paraId="461E3A22" w14:textId="77777777" w:rsidR="00ED0E85" w:rsidRDefault="00ED0E85" w:rsidP="00ED0E85">
      <w:pPr>
        <w:pStyle w:val="BodyText"/>
      </w:pPr>
      <w:r>
        <w:t>There are broadly 2 ways that the coverage of the CBD Program could be specified in relation to office tenancies.</w:t>
      </w:r>
    </w:p>
    <w:p w14:paraId="10A90D2F" w14:textId="77777777" w:rsidR="00ED0E85" w:rsidRDefault="00ED0E85" w:rsidP="00ED0E85">
      <w:pPr>
        <w:pStyle w:val="ListBullet"/>
      </w:pPr>
      <w:r>
        <w:t xml:space="preserve">The requirement for mandatory disclosure could be specified based on the characteristics of the </w:t>
      </w:r>
      <w:r w:rsidRPr="008C7356">
        <w:rPr>
          <w:b/>
        </w:rPr>
        <w:t>tenancy</w:t>
      </w:r>
      <w:r>
        <w:t>. The most logical criteria would be the floor space of the tenancy (i.e. NLA).</w:t>
      </w:r>
    </w:p>
    <w:p w14:paraId="406B8DF4" w14:textId="77777777" w:rsidR="00ED0E85" w:rsidRPr="00FE5D46" w:rsidRDefault="00ED0E85" w:rsidP="00ED0E85">
      <w:pPr>
        <w:pStyle w:val="ListBullet"/>
      </w:pPr>
      <w:r>
        <w:t xml:space="preserve">Alternatively, the requirement for mandatory disclosure could be specified based on the characteristics of the </w:t>
      </w:r>
      <w:r w:rsidRPr="00260248">
        <w:rPr>
          <w:b/>
        </w:rPr>
        <w:t>building</w:t>
      </w:r>
      <w:r>
        <w:t>. This would provide an opportunity to link the requirement for a tenancy rating to the requirement for a base building rating. Specifically, a NABERS rating would be required for all tenancies within a building where the requirement for a BEEC has been triggered. Linking the requirement for a tenancy rating to a base building rating is likely to have significant benefits by simplifying the administrative arrangements and reducing cost, particularly regulatory costs (i.e. the cost of obtaining a NABERS rating could be minimised by co</w:t>
      </w:r>
      <w:r>
        <w:noBreakHyphen/>
        <w:t xml:space="preserve">assessment for tenants when the base building is rated). </w:t>
      </w:r>
    </w:p>
    <w:p w14:paraId="7931A739" w14:textId="77777777" w:rsidR="00ED0E85" w:rsidRDefault="00ED0E85" w:rsidP="00ED0E85">
      <w:pPr>
        <w:pStyle w:val="Heading4"/>
        <w:numPr>
          <w:ilvl w:val="3"/>
          <w:numId w:val="5"/>
        </w:numPr>
      </w:pPr>
      <w:r>
        <w:t>Legal responsibility</w:t>
      </w:r>
    </w:p>
    <w:p w14:paraId="00E930E5" w14:textId="77777777" w:rsidR="00ED0E85" w:rsidRDefault="00ED0E85" w:rsidP="00ED0E85">
      <w:pPr>
        <w:pStyle w:val="BodyText"/>
      </w:pPr>
      <w:r>
        <w:t>An important related issue that has emerged through stakeholder consultations is to consider what party would bear the legal responsibility for obtaining a tenancy rating.</w:t>
      </w:r>
    </w:p>
    <w:p w14:paraId="0D0565FC" w14:textId="77777777" w:rsidR="00ED0E85" w:rsidRDefault="00ED0E85" w:rsidP="00ED0E85">
      <w:pPr>
        <w:pStyle w:val="ListBullet"/>
      </w:pPr>
      <w:r>
        <w:t>If the requirement for a tenancy rating is specified in terms of the characteristics of the tenancy, it is logical for the tenant to have legal responsibility for obtaining a rating.</w:t>
      </w:r>
    </w:p>
    <w:p w14:paraId="23262F25" w14:textId="77777777" w:rsidR="00ED0E85" w:rsidRDefault="00ED0E85" w:rsidP="00ED0E85">
      <w:pPr>
        <w:pStyle w:val="ListBullet"/>
      </w:pPr>
      <w:r>
        <w:t xml:space="preserve">On the other hand, if the requirement for a tenancy rating is specified in terms of the characteristic of the building, there are likely to be significant cost savings if the building owner/manager has responsibility for arranging the NABERS ratings for all tenants. However, we understand that in some states the building owner/manager cannot legally access the tenants’ energy bills. Some building owners also reported that some tenants have refused to provide energy bills to facilitate a NABERS tenancy rating. Consequently, it would be inappropriate to impose a legal obligation on the building owner/manager to ensure that tenancy ratings are completed unless legislative changes are made to require: the building owner to go to all reasonable lengths to conduct the rating; and tenants disclose all relevant information. </w:t>
      </w:r>
    </w:p>
    <w:p w14:paraId="0AEB5F12" w14:textId="77777777" w:rsidR="00ED0E85" w:rsidRDefault="00ED0E85" w:rsidP="00ED0E85">
      <w:pPr>
        <w:pStyle w:val="BodyText"/>
      </w:pPr>
      <w:r>
        <w:t>To take advantage of the potential cost savings associated with preparing all tenancy ratings in conjunction with the base building rating (such as through the co-assess tool), the building owner/manager (or the assessor acting on their behalf) would need to have direct access to the relevant information. The cost of gathering this information could be minimised by giving the building owner/manager (or the assessor acting on their behalf) direct access to meter information, which we understand would require some legislative changes and/or changes to leases.</w:t>
      </w:r>
    </w:p>
    <w:p w14:paraId="02AAEF5A" w14:textId="77777777" w:rsidR="00ED0E85" w:rsidRDefault="00ED0E85" w:rsidP="00ED0E85">
      <w:pPr>
        <w:pStyle w:val="Heading4"/>
        <w:numPr>
          <w:ilvl w:val="3"/>
          <w:numId w:val="5"/>
        </w:numPr>
      </w:pPr>
      <w:r>
        <w:t>Thresholds</w:t>
      </w:r>
    </w:p>
    <w:p w14:paraId="72ACF532" w14:textId="77777777" w:rsidR="00ED0E85" w:rsidRDefault="00ED0E85" w:rsidP="00ED0E85">
      <w:pPr>
        <w:pStyle w:val="BodyText"/>
      </w:pPr>
      <w:r>
        <w:t>While any minimum threshold could apply, it would make sense to align the minimum threshold to the current trigger for a BEEC (i.e. mandatory disclosure would apply to all office spaces greater than 1000 m</w:t>
      </w:r>
      <w:r w:rsidRPr="005B4AAC">
        <w:rPr>
          <w:vertAlign w:val="superscript"/>
        </w:rPr>
        <w:t>2</w:t>
      </w:r>
      <w:r>
        <w:t>).</w:t>
      </w:r>
    </w:p>
    <w:p w14:paraId="704768C6" w14:textId="77777777" w:rsidR="00ED0E85" w:rsidRDefault="00ED0E85" w:rsidP="00ED0E85">
      <w:pPr>
        <w:pStyle w:val="BodyText"/>
      </w:pPr>
      <w:r>
        <w:t>If appropriate regulatory arrangements for the assessor to obtain access to tenant energy consumption data to allow co</w:t>
      </w:r>
      <w:r>
        <w:noBreakHyphen/>
        <w:t>assessment, the threshold for tenants could also relate to the size of the building, rather than the size of the tenancy.</w:t>
      </w:r>
    </w:p>
    <w:p w14:paraId="7E8B78ED" w14:textId="77777777" w:rsidR="00ED0E85" w:rsidRDefault="00ED0E85" w:rsidP="00ED0E85">
      <w:pPr>
        <w:pStyle w:val="Heading4"/>
        <w:numPr>
          <w:ilvl w:val="3"/>
          <w:numId w:val="5"/>
        </w:numPr>
      </w:pPr>
      <w:r>
        <w:t>Exclusions</w:t>
      </w:r>
    </w:p>
    <w:p w14:paraId="47AB05D2" w14:textId="77777777" w:rsidR="00ED0E85" w:rsidRDefault="00ED0E85" w:rsidP="00ED0E85">
      <w:pPr>
        <w:pStyle w:val="BodyText"/>
      </w:pPr>
      <w:r>
        <w:t>A tenancy rating is relevant to specific tenant only; the performance of previous tenants has no relevance to the existing tenant. Tenants that have not occupied the relevant office space for a full year at the time of the base building rating would therefore be exempt from a tenancy rating.</w:t>
      </w:r>
    </w:p>
    <w:p w14:paraId="070B2E85" w14:textId="77777777" w:rsidR="00ED0E85" w:rsidRDefault="00ED0E85" w:rsidP="00ED0E85">
      <w:pPr>
        <w:pStyle w:val="Heading3"/>
        <w:numPr>
          <w:ilvl w:val="2"/>
          <w:numId w:val="5"/>
        </w:numPr>
      </w:pPr>
      <w:r>
        <w:t>Disclosure arrangements and other issues</w:t>
      </w:r>
    </w:p>
    <w:p w14:paraId="53046700" w14:textId="77777777" w:rsidR="00ED0E85" w:rsidRPr="00EA15BF" w:rsidRDefault="00ED0E85" w:rsidP="00ED0E85">
      <w:pPr>
        <w:pStyle w:val="Heading4"/>
        <w:numPr>
          <w:ilvl w:val="3"/>
          <w:numId w:val="5"/>
        </w:numPr>
      </w:pPr>
      <w:r>
        <w:t>Disclosure arrangements for base buildings</w:t>
      </w:r>
    </w:p>
    <w:p w14:paraId="6AF05E2A" w14:textId="77777777" w:rsidR="00ED0E85" w:rsidRDefault="00ED0E85" w:rsidP="00ED0E85">
      <w:pPr>
        <w:pStyle w:val="BodyText"/>
      </w:pPr>
      <w:r>
        <w:t xml:space="preserve">Currently the NABERS star rating must be disclosed on all advertising material and in the building foyer. These disclosure arrangements were presumably designed to overcome information asymmetries, although we argue that information asymmetries were not a significant issue in the office market (as tenant decisions are typically driven by estimated outgoings rather than energy efficiency ratings. See chapter 4 of this report). </w:t>
      </w:r>
    </w:p>
    <w:p w14:paraId="22595211" w14:textId="77777777" w:rsidR="00ED0E85" w:rsidRDefault="00ED0E85" w:rsidP="00ED0E85">
      <w:pPr>
        <w:pStyle w:val="BodyText"/>
      </w:pPr>
      <w:r>
        <w:t>Nevertheless, several stakeholders argued that disclosure is an important driver of behavioural change, due to the ‘embarrassment factor’ associated with publicly disclosing a very low (i.e. zero or 1 star) rating. That is, it is not the disclosure to tenants that is important, but the disclosure in general.</w:t>
      </w:r>
    </w:p>
    <w:p w14:paraId="57AE23BA" w14:textId="77777777" w:rsidR="00ED0E85" w:rsidRDefault="00ED0E85" w:rsidP="00ED0E85">
      <w:pPr>
        <w:pStyle w:val="BodyText"/>
      </w:pPr>
      <w:r>
        <w:t>Under a periodic trigger, existing sale and lease disclosure requirements should continue to apply.</w:t>
      </w:r>
    </w:p>
    <w:p w14:paraId="4E9D7055" w14:textId="77777777" w:rsidR="00ED0E85" w:rsidRDefault="00ED0E85" w:rsidP="00ED0E85">
      <w:pPr>
        <w:pStyle w:val="Heading4"/>
        <w:numPr>
          <w:ilvl w:val="3"/>
          <w:numId w:val="5"/>
        </w:numPr>
      </w:pPr>
      <w:r>
        <w:t>Disclosure arrangements for office tenancies</w:t>
      </w:r>
    </w:p>
    <w:p w14:paraId="08EB5DF3" w14:textId="77777777" w:rsidR="00ED0E85" w:rsidRDefault="00ED0E85" w:rsidP="00ED0E85">
      <w:pPr>
        <w:pStyle w:val="BodyText"/>
      </w:pPr>
      <w:r>
        <w:t>Although the energy performance of a tenant has little relevance for other stakeholders (other than the tenants themselves), several stakeholders argued that public disclosure of the NABERS rating helps to drive behavioural change. In particular, some form of public disclosure ensures that key decision-makers in the organisation see the rating and hold those responsible accountable.</w:t>
      </w:r>
    </w:p>
    <w:p w14:paraId="487FEA6D" w14:textId="77777777" w:rsidR="00ED0E85" w:rsidRDefault="00ED0E85" w:rsidP="00ED0E85">
      <w:pPr>
        <w:pStyle w:val="BodyText"/>
      </w:pPr>
      <w:r>
        <w:t>Disclosure options identified through consultation include:</w:t>
      </w:r>
    </w:p>
    <w:p w14:paraId="6E512572" w14:textId="77777777" w:rsidR="00ED0E85" w:rsidRDefault="00ED0E85" w:rsidP="00ED0E85">
      <w:pPr>
        <w:pStyle w:val="ListBullet"/>
      </w:pPr>
      <w:r>
        <w:t>websites — in addition to the NABERS and CBD Program websites, options include disclosing the tenancy NABERS rating on the businesses or the building’s website</w:t>
      </w:r>
    </w:p>
    <w:p w14:paraId="3A167C0D" w14:textId="77777777" w:rsidR="00ED0E85" w:rsidRDefault="00ED0E85" w:rsidP="00ED0E85">
      <w:pPr>
        <w:pStyle w:val="ListBullet"/>
      </w:pPr>
      <w:r>
        <w:t>within the building — such as the building foyer (as suggested by many stakeholders)</w:t>
      </w:r>
    </w:p>
    <w:p w14:paraId="0BA1DF75" w14:textId="77777777" w:rsidR="00ED0E85" w:rsidRDefault="00ED0E85" w:rsidP="00ED0E85">
      <w:pPr>
        <w:pStyle w:val="ListBullet"/>
      </w:pPr>
      <w:r>
        <w:t>annual reports (for those organisations required to prepare one).</w:t>
      </w:r>
    </w:p>
    <w:p w14:paraId="5C065216" w14:textId="77777777" w:rsidR="00ED0E85" w:rsidRDefault="00ED0E85" w:rsidP="00ED0E85">
      <w:pPr>
        <w:pStyle w:val="BodyText"/>
      </w:pPr>
      <w:r>
        <w:t>Information disclosed on websites is likely to be accessed by those members of the community with a specific interest in comparing NABERS ratings across tenancies. As such, there is likely to be more value in disclosing all NABERS office tenancy ratings in the same place, as is already the case on the NABERS (and the CBD Program) website. There appears to be little additional value in disclosing NABERS tenancy ratings on other websites.</w:t>
      </w:r>
    </w:p>
    <w:p w14:paraId="7987F3E0" w14:textId="77777777" w:rsidR="00ED0E85" w:rsidRDefault="00ED0E85" w:rsidP="00ED0E85">
      <w:pPr>
        <w:pStyle w:val="BodyText"/>
      </w:pPr>
      <w:r>
        <w:t>Disclosing the tenancy ratings in the relevant building could potentially act as a reminder to tenants, particularly to the extent that tenancy performance relies on tenant behaviour. That said, disclosing the rating of all tenants in the foyer of a building is likely to be impractical, particularly in larger buildings with many tenants. An alternative would be to disclose the relevant rating at the entrance to each tenanted space, although this requirement is likely to be difficult to enforce.</w:t>
      </w:r>
    </w:p>
    <w:p w14:paraId="6FA3C911" w14:textId="77777777" w:rsidR="00ED0E85" w:rsidRDefault="00ED0E85" w:rsidP="00ED0E85">
      <w:pPr>
        <w:pStyle w:val="Heading2"/>
        <w:numPr>
          <w:ilvl w:val="1"/>
          <w:numId w:val="5"/>
        </w:numPr>
      </w:pPr>
      <w:bookmarkStart w:id="3988" w:name="_Toc19275518"/>
      <w:bookmarkStart w:id="3989" w:name="_Toc19276128"/>
      <w:bookmarkStart w:id="3990" w:name="_Toc19280127"/>
      <w:r>
        <w:t>Many publicly-listed companies already prepare ‘sustainability reports’, documenting the business’s environmental performance across a range of measures. We see little value in making the disclosure of tenancy ratings in annual reports mandatory.</w:t>
      </w:r>
      <w:bookmarkStart w:id="3991" w:name="_Hlk8377159"/>
      <w:r>
        <w:t>Reform options</w:t>
      </w:r>
      <w:bookmarkEnd w:id="3988"/>
      <w:bookmarkEnd w:id="3989"/>
      <w:bookmarkEnd w:id="3990"/>
    </w:p>
    <w:p w14:paraId="79657234" w14:textId="77777777" w:rsidR="00ED0E85" w:rsidRDefault="00ED0E85" w:rsidP="00ED0E85">
      <w:pPr>
        <w:pStyle w:val="BodyText"/>
      </w:pPr>
      <w:r>
        <w:t>Although the design of a mandatory disclosure scheme for office tenancies need not align with the design features of the existing scheme that applies to base buildings, in practice there are likely to be significant advantages in doing so.</w:t>
      </w:r>
    </w:p>
    <w:p w14:paraId="43DB3DC9" w14:textId="77777777" w:rsidR="00ED0E85" w:rsidRDefault="00ED0E85" w:rsidP="00ED0E85">
      <w:pPr>
        <w:pStyle w:val="BodyText"/>
      </w:pPr>
      <w:r>
        <w:t>We consider four options as follows.</w:t>
      </w:r>
    </w:p>
    <w:p w14:paraId="4CDE1C77" w14:textId="77777777" w:rsidR="00ED0E85" w:rsidRDefault="00ED0E85" w:rsidP="00ED0E85">
      <w:pPr>
        <w:pStyle w:val="ListBullet"/>
      </w:pPr>
      <w:r>
        <w:t>Under Options 1A and 1B, the expansion of the CBD Program to cover office tenancies would not be aligned to the mandatory disclosure requirements for base buildings.</w:t>
      </w:r>
    </w:p>
    <w:p w14:paraId="7FF6CFE7" w14:textId="77777777" w:rsidR="00ED0E85" w:rsidRDefault="00ED0E85" w:rsidP="00ED0E85">
      <w:pPr>
        <w:pStyle w:val="ListBullet2"/>
      </w:pPr>
      <w:r>
        <w:t>Under Option 1A a NABERS office tenancy assessment would be required every year.</w:t>
      </w:r>
    </w:p>
    <w:p w14:paraId="3A92C67B" w14:textId="77777777" w:rsidR="00ED0E85" w:rsidRDefault="00ED0E85" w:rsidP="00ED0E85">
      <w:pPr>
        <w:pStyle w:val="ListBullet2"/>
      </w:pPr>
      <w:r>
        <w:t>Under Option 1B, A NABERS office tenancy assessment would be required every second year.</w:t>
      </w:r>
    </w:p>
    <w:p w14:paraId="2BD53660" w14:textId="77777777" w:rsidR="00ED0E85" w:rsidRDefault="00ED0E85" w:rsidP="00ED0E85">
      <w:pPr>
        <w:pStyle w:val="ListBullet"/>
      </w:pPr>
      <w:r>
        <w:t>Under Options 2A and 2B, the expansion of the CBD Program to cover office tenancies would be aligned to the requirements of base buildings to minimise compliance costs (through the use of the co-assess tool).</w:t>
      </w:r>
    </w:p>
    <w:p w14:paraId="2D93C49D" w14:textId="77777777" w:rsidR="00ED0E85" w:rsidRDefault="00ED0E85" w:rsidP="00ED0E85">
      <w:pPr>
        <w:pStyle w:val="ListBullet2"/>
      </w:pPr>
      <w:r>
        <w:t>Under Option 2A, NABERS base building and office tenancy assessments would be required every year.</w:t>
      </w:r>
    </w:p>
    <w:p w14:paraId="18EA764E" w14:textId="77777777" w:rsidR="00ED0E85" w:rsidRDefault="00ED0E85" w:rsidP="00ED0E85">
      <w:pPr>
        <w:pStyle w:val="ListBullet2"/>
      </w:pPr>
      <w:r>
        <w:t>Under Option 2B, NABERS base building and office tenancy assessments would be required every second year.</w:t>
      </w:r>
    </w:p>
    <w:p w14:paraId="75C95BCF" w14:textId="24C19230" w:rsidR="00ED0E85" w:rsidRDefault="00ED0E85" w:rsidP="00ED0E85">
      <w:pPr>
        <w:pStyle w:val="BodyText"/>
      </w:pPr>
      <w:r>
        <w:t>Table </w:t>
      </w:r>
      <w:r w:rsidR="004550CB">
        <w:rPr>
          <w:noProof/>
        </w:rPr>
        <w:fldChar w:fldCharType="begin"/>
      </w:r>
      <w:r w:rsidR="004550CB">
        <w:rPr>
          <w:noProof/>
        </w:rPr>
        <w:instrText xml:space="preserve"> REF _Caption2969 </w:instrText>
      </w:r>
      <w:r w:rsidR="004550CB">
        <w:rPr>
          <w:noProof/>
        </w:rPr>
        <w:fldChar w:fldCharType="separate"/>
      </w:r>
      <w:r w:rsidR="00AD3561">
        <w:rPr>
          <w:noProof/>
        </w:rPr>
        <w:t>6</w:t>
      </w:r>
      <w:r w:rsidR="00AD3561" w:rsidRPr="00695C93">
        <w:rPr>
          <w:noProof/>
        </w:rPr>
        <w:t>.</w:t>
      </w:r>
      <w:r w:rsidR="00AD3561">
        <w:rPr>
          <w:noProof/>
        </w:rPr>
        <w:t>8</w:t>
      </w:r>
      <w:r w:rsidR="004550CB">
        <w:rPr>
          <w:noProof/>
        </w:rPr>
        <w:fldChar w:fldCharType="end"/>
      </w:r>
      <w:r>
        <w:t xml:space="preserve"> summarises the options that to be considered in the CBA. </w:t>
      </w:r>
    </w:p>
    <w:p w14:paraId="48D40D5C" w14:textId="7BAE4A8C"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6</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6</w:instrText>
      </w:r>
      <w:r w:rsidR="004550CB">
        <w:rPr>
          <w:noProof/>
        </w:rPr>
        <w:fldChar w:fldCharType="end"/>
      </w:r>
      <w:r w:rsidRPr="00695C93">
        <w:instrText xml:space="preserve">." </w:instrText>
      </w:r>
      <w:r w:rsidRPr="00695C93">
        <w:fldChar w:fldCharType="separate"/>
      </w:r>
      <w:r w:rsidR="00AD3561">
        <w:rPr>
          <w:noProof/>
        </w:rPr>
        <w:instrText>6</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6</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6</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8</w:instrText>
      </w:r>
      <w:r w:rsidRPr="00695C93">
        <w:fldChar w:fldCharType="end"/>
      </w:r>
      <w:r w:rsidRPr="00695C93">
        <w:instrText xml:space="preserve">" "" </w:instrText>
      </w:r>
      <w:r w:rsidRPr="00695C93">
        <w:fldChar w:fldCharType="separate"/>
      </w:r>
      <w:bookmarkStart w:id="3992" w:name="_Caption0830"/>
      <w:bookmarkStart w:id="3993" w:name="_Caption1811"/>
      <w:bookmarkStart w:id="3994" w:name="_Caption4241"/>
      <w:bookmarkStart w:id="3995" w:name="_Caption4050"/>
      <w:bookmarkStart w:id="3996" w:name="_Caption5291"/>
      <w:bookmarkStart w:id="3997" w:name="_Caption6941"/>
      <w:bookmarkStart w:id="3998" w:name="_Caption4811"/>
      <w:bookmarkStart w:id="3999" w:name="_Caption0328"/>
      <w:bookmarkStart w:id="4000" w:name="_Caption8304"/>
      <w:bookmarkStart w:id="4001" w:name="_Caption8567"/>
      <w:bookmarkStart w:id="4002" w:name="_Caption4111"/>
      <w:bookmarkStart w:id="4003" w:name="_Caption1362"/>
      <w:bookmarkStart w:id="4004" w:name="_Caption8121"/>
      <w:bookmarkStart w:id="4005" w:name="_Caption0795"/>
      <w:bookmarkStart w:id="4006" w:name="_Caption4591"/>
      <w:bookmarkStart w:id="4007" w:name="_Caption8846"/>
      <w:bookmarkStart w:id="4008" w:name="_Caption8834"/>
      <w:bookmarkStart w:id="4009" w:name="_Caption7556"/>
      <w:bookmarkStart w:id="4010" w:name="_Caption9225"/>
      <w:bookmarkStart w:id="4011" w:name="_Caption0904"/>
      <w:bookmarkStart w:id="4012" w:name="_Caption2969"/>
      <w:bookmarkStart w:id="4013" w:name="_Caption1348"/>
      <w:bookmarkStart w:id="4014" w:name="_Caption9067"/>
      <w:bookmarkStart w:id="4015" w:name="_Caption7997"/>
      <w:bookmarkStart w:id="4016" w:name="_Caption7511"/>
      <w:bookmarkStart w:id="4017" w:name="_Caption0977"/>
      <w:bookmarkStart w:id="4018" w:name="_Caption2347"/>
      <w:bookmarkStart w:id="4019" w:name="_Caption1838"/>
      <w:bookmarkStart w:id="4020" w:name="_Caption5040"/>
      <w:bookmarkStart w:id="4021" w:name="_Caption2667"/>
      <w:bookmarkStart w:id="4022" w:name="_Caption9555"/>
      <w:bookmarkStart w:id="4023" w:name="_Caption5518"/>
      <w:bookmarkStart w:id="4024" w:name="_Caption3467"/>
      <w:bookmarkStart w:id="4025" w:name="_Caption4420"/>
      <w:bookmarkStart w:id="4026" w:name="_Caption0802"/>
      <w:bookmarkStart w:id="4027" w:name="_Toc19275610"/>
      <w:bookmarkStart w:id="4028" w:name="_Toc19276220"/>
      <w:bookmarkStart w:id="4029" w:name="_Toc19280219"/>
      <w:r w:rsidR="00C353B5">
        <w:rPr>
          <w:noProof/>
        </w:rPr>
        <w:t>6</w:t>
      </w:r>
      <w:r w:rsidR="00C353B5" w:rsidRPr="00695C93">
        <w:rPr>
          <w:noProof/>
        </w:rPr>
        <w:t>.</w:t>
      </w:r>
      <w:r w:rsidR="00C353B5">
        <w:rPr>
          <w:noProof/>
        </w:rPr>
        <w:t>8</w:t>
      </w:r>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r w:rsidRPr="00695C93">
        <w:fldChar w:fldCharType="end"/>
      </w:r>
      <w:r w:rsidRPr="00695C93">
        <w:tab/>
      </w:r>
      <w:r>
        <w:t>Options for expanding the CBD Program to office tenancies</w:t>
      </w:r>
      <w:bookmarkEnd w:id="4027"/>
      <w:bookmarkEnd w:id="4028"/>
      <w:bookmarkEnd w:id="4029"/>
    </w:p>
    <w:tbl>
      <w:tblPr>
        <w:tblW w:w="0" w:type="auto"/>
        <w:tblLayout w:type="fixed"/>
        <w:tblLook w:val="0000" w:firstRow="0" w:lastRow="0" w:firstColumn="0" w:lastColumn="0" w:noHBand="0" w:noVBand="0"/>
      </w:tblPr>
      <w:tblGrid>
        <w:gridCol w:w="1587"/>
        <w:gridCol w:w="1587"/>
        <w:gridCol w:w="1587"/>
        <w:gridCol w:w="1588"/>
        <w:gridCol w:w="1588"/>
      </w:tblGrid>
      <w:tr w:rsidR="00ED0E85" w14:paraId="5D676AB1" w14:textId="77777777" w:rsidTr="00ED0E85">
        <w:trPr>
          <w:tblHeader/>
        </w:trPr>
        <w:tc>
          <w:tcPr>
            <w:tcW w:w="1587" w:type="dxa"/>
            <w:tcBorders>
              <w:bottom w:val="single" w:sz="8" w:space="0" w:color="FFFFFF" w:themeColor="background1"/>
            </w:tcBorders>
            <w:shd w:val="clear" w:color="auto" w:fill="6F6652"/>
            <w:tcMar>
              <w:left w:w="57" w:type="dxa"/>
              <w:right w:w="57" w:type="dxa"/>
            </w:tcMar>
          </w:tcPr>
          <w:p w14:paraId="0A115153" w14:textId="77777777" w:rsidR="00ED0E85" w:rsidRDefault="00ED0E85" w:rsidP="00ED0E85">
            <w:pPr>
              <w:pStyle w:val="TableTextColumnHeading"/>
            </w:pPr>
          </w:p>
        </w:tc>
        <w:tc>
          <w:tcPr>
            <w:tcW w:w="1587" w:type="dxa"/>
            <w:tcBorders>
              <w:bottom w:val="single" w:sz="8" w:space="0" w:color="FFFFFF" w:themeColor="background1"/>
            </w:tcBorders>
            <w:shd w:val="clear" w:color="auto" w:fill="6F6652"/>
            <w:tcMar>
              <w:left w:w="57" w:type="dxa"/>
              <w:right w:w="57" w:type="dxa"/>
            </w:tcMar>
          </w:tcPr>
          <w:p w14:paraId="55699AE4" w14:textId="77777777" w:rsidR="00ED0E85" w:rsidRDefault="00ED0E85" w:rsidP="00ED0E85">
            <w:pPr>
              <w:pStyle w:val="TableTextColumnHeading"/>
            </w:pPr>
            <w:r>
              <w:t>Option 1A</w:t>
            </w:r>
          </w:p>
        </w:tc>
        <w:tc>
          <w:tcPr>
            <w:tcW w:w="1587" w:type="dxa"/>
            <w:tcBorders>
              <w:bottom w:val="single" w:sz="8" w:space="0" w:color="FFFFFF" w:themeColor="background1"/>
            </w:tcBorders>
            <w:shd w:val="clear" w:color="auto" w:fill="6F6652"/>
            <w:tcMar>
              <w:left w:w="57" w:type="dxa"/>
              <w:right w:w="57" w:type="dxa"/>
            </w:tcMar>
          </w:tcPr>
          <w:p w14:paraId="4F681071" w14:textId="77777777" w:rsidR="00ED0E85" w:rsidRDefault="00ED0E85" w:rsidP="00ED0E85">
            <w:pPr>
              <w:pStyle w:val="TableTextColumnHeading"/>
            </w:pPr>
            <w:r>
              <w:t>Option 1B</w:t>
            </w:r>
          </w:p>
        </w:tc>
        <w:tc>
          <w:tcPr>
            <w:tcW w:w="1588" w:type="dxa"/>
            <w:tcBorders>
              <w:bottom w:val="single" w:sz="8" w:space="0" w:color="FFFFFF" w:themeColor="background1"/>
            </w:tcBorders>
            <w:shd w:val="clear" w:color="auto" w:fill="6F6652"/>
            <w:tcMar>
              <w:left w:w="57" w:type="dxa"/>
              <w:right w:w="57" w:type="dxa"/>
            </w:tcMar>
          </w:tcPr>
          <w:p w14:paraId="664BA34E" w14:textId="77777777" w:rsidR="00ED0E85" w:rsidRDefault="00ED0E85" w:rsidP="00ED0E85">
            <w:pPr>
              <w:pStyle w:val="TableTextColumnHeading"/>
            </w:pPr>
            <w:r>
              <w:t>Option 2A</w:t>
            </w:r>
          </w:p>
        </w:tc>
        <w:tc>
          <w:tcPr>
            <w:tcW w:w="1588" w:type="dxa"/>
            <w:tcBorders>
              <w:bottom w:val="single" w:sz="8" w:space="0" w:color="FFFFFF" w:themeColor="background1"/>
            </w:tcBorders>
            <w:shd w:val="clear" w:color="auto" w:fill="6F6652"/>
            <w:tcMar>
              <w:left w:w="57" w:type="dxa"/>
              <w:right w:w="57" w:type="dxa"/>
            </w:tcMar>
          </w:tcPr>
          <w:p w14:paraId="7EC4C285" w14:textId="77777777" w:rsidR="00ED0E85" w:rsidRDefault="00ED0E85" w:rsidP="00ED0E85">
            <w:pPr>
              <w:pStyle w:val="TableTextColumnHeading"/>
            </w:pPr>
            <w:r>
              <w:t>Option 2B</w:t>
            </w:r>
          </w:p>
        </w:tc>
      </w:tr>
      <w:tr w:rsidR="00ED0E85" w14:paraId="0A4B11B7" w14:textId="77777777" w:rsidTr="00ED0E85">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74E43C" w14:textId="77777777" w:rsidR="00ED0E85" w:rsidRDefault="00ED0E85" w:rsidP="00ED0E85">
            <w:pPr>
              <w:pStyle w:val="TableTextEntries"/>
            </w:pPr>
            <w:r>
              <w:t>Aligned to disclosure requirements for base buildings?</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64CD22" w14:textId="77777777" w:rsidR="00ED0E85" w:rsidRDefault="00ED0E85" w:rsidP="00ED0E85">
            <w:pPr>
              <w:pStyle w:val="TableTextEntries"/>
            </w:pPr>
            <w:r>
              <w:t>No</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1E4414" w14:textId="77777777" w:rsidR="00ED0E85" w:rsidRDefault="00ED0E85" w:rsidP="00ED0E85">
            <w:pPr>
              <w:pStyle w:val="TableTextEntries"/>
            </w:pPr>
            <w:r>
              <w:t>No</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268BFC" w14:textId="77777777" w:rsidR="00ED0E85" w:rsidRDefault="00ED0E85" w:rsidP="00ED0E85">
            <w:pPr>
              <w:pStyle w:val="TableTextEntries"/>
            </w:pPr>
            <w:r>
              <w:t>Yes</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D4F86C" w14:textId="77777777" w:rsidR="00ED0E85" w:rsidRDefault="00ED0E85" w:rsidP="00ED0E85">
            <w:pPr>
              <w:pStyle w:val="TableTextEntries"/>
            </w:pPr>
            <w:r>
              <w:t>Yes</w:t>
            </w:r>
          </w:p>
        </w:tc>
      </w:tr>
      <w:tr w:rsidR="00ED0E85" w14:paraId="28490843" w14:textId="77777777" w:rsidTr="00ED0E85">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F36215" w14:textId="77777777" w:rsidR="00ED0E85" w:rsidRDefault="00ED0E85" w:rsidP="00ED0E85">
            <w:pPr>
              <w:pStyle w:val="TableTextEntries"/>
            </w:pPr>
            <w:r>
              <w:t>Information disclosed</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06C035" w14:textId="77777777" w:rsidR="00ED0E85" w:rsidRDefault="00ED0E85" w:rsidP="00ED0E85">
            <w:pPr>
              <w:pStyle w:val="TableListBullet"/>
            </w:pPr>
            <w:r>
              <w:t>NABERS tenancy rating</w:t>
            </w:r>
          </w:p>
          <w:p w14:paraId="3E087F68" w14:textId="77777777" w:rsidR="00ED0E85" w:rsidRDefault="00ED0E85" w:rsidP="00ED0E85">
            <w:pPr>
              <w:pStyle w:val="TableListBullet"/>
            </w:pPr>
            <w:r>
              <w:t>TLA no longer required</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0C7D90" w14:textId="77777777" w:rsidR="00ED0E85" w:rsidRDefault="00ED0E85" w:rsidP="00ED0E85">
            <w:pPr>
              <w:pStyle w:val="TableListBullet"/>
            </w:pPr>
            <w:r>
              <w:t>NABERS tenancy rating</w:t>
            </w:r>
          </w:p>
          <w:p w14:paraId="6539F3C6" w14:textId="77777777" w:rsidR="00ED0E85" w:rsidRDefault="00ED0E85" w:rsidP="00ED0E85">
            <w:pPr>
              <w:pStyle w:val="TableListBullet"/>
            </w:pPr>
            <w:r>
              <w:t>TLA no longer required</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49D36F" w14:textId="77777777" w:rsidR="00ED0E85" w:rsidRDefault="00ED0E85" w:rsidP="00ED0E85">
            <w:pPr>
              <w:pStyle w:val="TableListBullet"/>
            </w:pPr>
            <w:r>
              <w:t>NABERS tenancy rating</w:t>
            </w:r>
          </w:p>
          <w:p w14:paraId="5A4147BA" w14:textId="77777777" w:rsidR="00ED0E85" w:rsidRDefault="00ED0E85" w:rsidP="00ED0E85">
            <w:pPr>
              <w:pStyle w:val="TableListBullet"/>
            </w:pPr>
            <w:r>
              <w:t>TLA no longer required</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6994E5" w14:textId="77777777" w:rsidR="00ED0E85" w:rsidRDefault="00ED0E85" w:rsidP="00ED0E85">
            <w:pPr>
              <w:pStyle w:val="TableListBullet"/>
            </w:pPr>
            <w:r>
              <w:t>NABERS tenancy rating</w:t>
            </w:r>
          </w:p>
          <w:p w14:paraId="0E81E55E" w14:textId="77777777" w:rsidR="00ED0E85" w:rsidRDefault="00ED0E85" w:rsidP="00ED0E85">
            <w:pPr>
              <w:pStyle w:val="TableListBullet"/>
            </w:pPr>
            <w:r>
              <w:t>TLA no longer required</w:t>
            </w:r>
          </w:p>
        </w:tc>
      </w:tr>
      <w:tr w:rsidR="00ED0E85" w14:paraId="2B12C241" w14:textId="77777777" w:rsidTr="00ED0E85">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CEC643" w14:textId="77777777" w:rsidR="00ED0E85" w:rsidRDefault="00ED0E85" w:rsidP="00ED0E85">
            <w:pPr>
              <w:pStyle w:val="TableTextEntries"/>
            </w:pPr>
            <w:r>
              <w:t>Trigger for disclosure</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98BC99" w14:textId="77777777" w:rsidR="00ED0E85" w:rsidRDefault="00ED0E85" w:rsidP="00ED0E85">
            <w:pPr>
              <w:pStyle w:val="TableListBullet"/>
            </w:pPr>
            <w:r>
              <w:t>Sale/lease would remain the trigger for base buildings</w:t>
            </w:r>
          </w:p>
          <w:p w14:paraId="0D8825A2" w14:textId="77777777" w:rsidR="00ED0E85" w:rsidRDefault="00ED0E85" w:rsidP="00ED0E85">
            <w:pPr>
              <w:pStyle w:val="TableListBullet"/>
            </w:pPr>
            <w:r>
              <w:t>Tenancy rating would be required every year</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18687B" w14:textId="77777777" w:rsidR="00ED0E85" w:rsidRDefault="00ED0E85" w:rsidP="00ED0E85">
            <w:pPr>
              <w:pStyle w:val="TableListBullet"/>
            </w:pPr>
            <w:r>
              <w:t>Sale/lease would remain the trigger for base buildings</w:t>
            </w:r>
          </w:p>
          <w:p w14:paraId="326D0C1A" w14:textId="77777777" w:rsidR="00ED0E85" w:rsidRDefault="00ED0E85" w:rsidP="00ED0E85">
            <w:pPr>
              <w:pStyle w:val="TableListBullet"/>
            </w:pPr>
            <w:r>
              <w:t>Tenancy rating would be required every 2 years.</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761DFC" w14:textId="77777777" w:rsidR="00ED0E85" w:rsidRDefault="00ED0E85" w:rsidP="00ED0E85">
            <w:pPr>
              <w:pStyle w:val="TableTextEntries"/>
            </w:pPr>
            <w:r>
              <w:t>Base building and tenancy ratings would be required every year.</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690C88" w14:textId="77777777" w:rsidR="00ED0E85" w:rsidRDefault="00ED0E85" w:rsidP="00ED0E85">
            <w:pPr>
              <w:pStyle w:val="TableTextEntries"/>
            </w:pPr>
            <w:r>
              <w:t>Base building and tenancy ratings would be required every second year</w:t>
            </w:r>
          </w:p>
        </w:tc>
      </w:tr>
      <w:tr w:rsidR="00ED0E85" w14:paraId="042F18F7" w14:textId="77777777" w:rsidTr="00ED0E85">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B31367" w14:textId="77777777" w:rsidR="00ED0E85" w:rsidRDefault="00ED0E85" w:rsidP="00ED0E85">
            <w:pPr>
              <w:pStyle w:val="TableTextEntries"/>
            </w:pPr>
            <w:r>
              <w:t>Coverage</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FC1D73" w14:textId="77777777" w:rsidR="00ED0E85" w:rsidRDefault="00ED0E85" w:rsidP="00ED0E85">
            <w:pPr>
              <w:pStyle w:val="TableTextEntries"/>
            </w:pPr>
            <w:r>
              <w:t>All tenancies greater than 1000 m</w:t>
            </w:r>
            <w:r w:rsidRPr="00CF7555">
              <w:rPr>
                <w:vertAlign w:val="superscript"/>
              </w:rPr>
              <w:t>2</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02A61C" w14:textId="77777777" w:rsidR="00ED0E85" w:rsidRDefault="00ED0E85" w:rsidP="00ED0E85">
            <w:pPr>
              <w:pStyle w:val="TableTextEntries"/>
            </w:pPr>
            <w:r>
              <w:t>All tenancies greater than 1000 m</w:t>
            </w:r>
            <w:r w:rsidRPr="00CF7555">
              <w:rPr>
                <w:vertAlign w:val="superscript"/>
              </w:rPr>
              <w:t>2</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AB5824" w14:textId="77777777" w:rsidR="00ED0E85" w:rsidRDefault="00ED0E85" w:rsidP="00ED0E85">
            <w:pPr>
              <w:pStyle w:val="TableTextEntries"/>
            </w:pPr>
            <w:r>
              <w:t xml:space="preserve">All tenancies in buildings that require a base building rating </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611A00" w14:textId="77777777" w:rsidR="00ED0E85" w:rsidRDefault="00ED0E85" w:rsidP="00ED0E85">
            <w:pPr>
              <w:pStyle w:val="TableTextEntries"/>
            </w:pPr>
            <w:r>
              <w:t xml:space="preserve">All tenancies in buildings that require a base building rating </w:t>
            </w:r>
          </w:p>
        </w:tc>
      </w:tr>
      <w:tr w:rsidR="00ED0E85" w14:paraId="48B9775D" w14:textId="77777777" w:rsidTr="00ED0E85">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DD8098" w14:textId="77777777" w:rsidR="00ED0E85" w:rsidRDefault="00ED0E85" w:rsidP="00ED0E85">
            <w:pPr>
              <w:pStyle w:val="TableTextEntries"/>
            </w:pPr>
            <w:r>
              <w:t>Legal responsibility</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9AF7EC" w14:textId="77777777" w:rsidR="00ED0E85" w:rsidRDefault="00ED0E85" w:rsidP="00ED0E85">
            <w:pPr>
              <w:pStyle w:val="TableTextEntries"/>
            </w:pPr>
            <w:r>
              <w:t>Tenant</w:t>
            </w:r>
          </w:p>
        </w:tc>
        <w:tc>
          <w:tcPr>
            <w:tcW w:w="158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25F51F" w14:textId="77777777" w:rsidR="00ED0E85" w:rsidRDefault="00ED0E85" w:rsidP="00ED0E85">
            <w:pPr>
              <w:pStyle w:val="TableTextEntries"/>
            </w:pPr>
            <w:r>
              <w:t>Tenant</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397EAE" w14:textId="77777777" w:rsidR="00ED0E85" w:rsidRDefault="00ED0E85" w:rsidP="00ED0E85">
            <w:pPr>
              <w:pStyle w:val="TableTextEntries"/>
            </w:pPr>
            <w:r>
              <w:t>Building owner/manager (landlord)</w:t>
            </w:r>
          </w:p>
        </w:tc>
        <w:tc>
          <w:tcPr>
            <w:tcW w:w="15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BD9994" w14:textId="77777777" w:rsidR="00ED0E85" w:rsidRDefault="00ED0E85" w:rsidP="00ED0E85">
            <w:pPr>
              <w:pStyle w:val="TableTextEntries"/>
            </w:pPr>
            <w:r>
              <w:t>Building owner/manager (landlord)</w:t>
            </w:r>
          </w:p>
        </w:tc>
      </w:tr>
      <w:tr w:rsidR="00ED0E85" w14:paraId="12393387" w14:textId="77777777" w:rsidTr="00ED0E85">
        <w:tc>
          <w:tcPr>
            <w:tcW w:w="1587" w:type="dxa"/>
            <w:tcBorders>
              <w:top w:val="single" w:sz="8" w:space="0" w:color="FFFFFF" w:themeColor="background1"/>
              <w:bottom w:val="single" w:sz="6" w:space="0" w:color="6F6652"/>
            </w:tcBorders>
            <w:shd w:val="clear" w:color="auto" w:fill="E9E8E5" w:themeFill="background2"/>
            <w:tcMar>
              <w:left w:w="57" w:type="dxa"/>
              <w:right w:w="57" w:type="dxa"/>
            </w:tcMar>
          </w:tcPr>
          <w:p w14:paraId="0E251842" w14:textId="77777777" w:rsidR="00ED0E85" w:rsidRDefault="00ED0E85" w:rsidP="00ED0E85">
            <w:pPr>
              <w:pStyle w:val="TableTextEntries"/>
            </w:pPr>
            <w:r>
              <w:t>Disclosure arrangements</w:t>
            </w:r>
          </w:p>
        </w:tc>
        <w:tc>
          <w:tcPr>
            <w:tcW w:w="1587" w:type="dxa"/>
            <w:tcBorders>
              <w:top w:val="single" w:sz="8" w:space="0" w:color="FFFFFF" w:themeColor="background1"/>
              <w:bottom w:val="single" w:sz="6" w:space="0" w:color="6F6652"/>
            </w:tcBorders>
            <w:shd w:val="clear" w:color="auto" w:fill="E9E8E5" w:themeFill="background2"/>
            <w:tcMar>
              <w:left w:w="57" w:type="dxa"/>
              <w:right w:w="57" w:type="dxa"/>
            </w:tcMar>
          </w:tcPr>
          <w:p w14:paraId="40205DEA" w14:textId="77777777" w:rsidR="00ED0E85" w:rsidRDefault="00ED0E85" w:rsidP="00ED0E85">
            <w:pPr>
              <w:pStyle w:val="TableListBullet"/>
            </w:pPr>
            <w:r>
              <w:t>NABERS website</w:t>
            </w:r>
          </w:p>
          <w:p w14:paraId="34BFADDB" w14:textId="77777777" w:rsidR="00ED0E85" w:rsidRDefault="00ED0E85" w:rsidP="00ED0E85">
            <w:pPr>
              <w:pStyle w:val="TableListBullet"/>
            </w:pPr>
            <w:r>
              <w:t>Prominent position in lift foyer of relevant floor</w:t>
            </w:r>
          </w:p>
        </w:tc>
        <w:tc>
          <w:tcPr>
            <w:tcW w:w="1587" w:type="dxa"/>
            <w:tcBorders>
              <w:top w:val="single" w:sz="8" w:space="0" w:color="FFFFFF" w:themeColor="background1"/>
              <w:bottom w:val="single" w:sz="6" w:space="0" w:color="6F6652"/>
            </w:tcBorders>
            <w:shd w:val="clear" w:color="auto" w:fill="E9E8E5" w:themeFill="background2"/>
            <w:tcMar>
              <w:left w:w="57" w:type="dxa"/>
              <w:right w:w="57" w:type="dxa"/>
            </w:tcMar>
          </w:tcPr>
          <w:p w14:paraId="387D67DA" w14:textId="77777777" w:rsidR="00ED0E85" w:rsidRDefault="00ED0E85" w:rsidP="00ED0E85">
            <w:pPr>
              <w:pStyle w:val="TableListBullet"/>
            </w:pPr>
            <w:r>
              <w:t>NABERS website</w:t>
            </w:r>
          </w:p>
          <w:p w14:paraId="3E05E000" w14:textId="77777777" w:rsidR="00ED0E85" w:rsidRDefault="00ED0E85" w:rsidP="00ED0E85">
            <w:pPr>
              <w:pStyle w:val="TableListBullet"/>
            </w:pPr>
            <w:r>
              <w:t>Prominent position in lift foyer of relevant floor</w:t>
            </w:r>
          </w:p>
        </w:tc>
        <w:tc>
          <w:tcPr>
            <w:tcW w:w="1588" w:type="dxa"/>
            <w:tcBorders>
              <w:top w:val="single" w:sz="8" w:space="0" w:color="FFFFFF" w:themeColor="background1"/>
              <w:bottom w:val="single" w:sz="6" w:space="0" w:color="6F6652"/>
            </w:tcBorders>
            <w:shd w:val="clear" w:color="auto" w:fill="E9E8E5" w:themeFill="background2"/>
            <w:tcMar>
              <w:left w:w="57" w:type="dxa"/>
              <w:right w:w="57" w:type="dxa"/>
            </w:tcMar>
          </w:tcPr>
          <w:p w14:paraId="026F369F" w14:textId="77777777" w:rsidR="00ED0E85" w:rsidRDefault="00ED0E85" w:rsidP="00ED0E85">
            <w:pPr>
              <w:pStyle w:val="TableListBullet"/>
            </w:pPr>
            <w:r>
              <w:t>NABERS website</w:t>
            </w:r>
          </w:p>
          <w:p w14:paraId="7F8F2456" w14:textId="77777777" w:rsidR="00ED0E85" w:rsidRDefault="00ED0E85" w:rsidP="00ED0E85">
            <w:pPr>
              <w:pStyle w:val="TableListBullet"/>
            </w:pPr>
            <w:r>
              <w:t>Prominent position in lift foyer of relevant floor</w:t>
            </w:r>
          </w:p>
        </w:tc>
        <w:tc>
          <w:tcPr>
            <w:tcW w:w="1588" w:type="dxa"/>
            <w:tcBorders>
              <w:top w:val="single" w:sz="8" w:space="0" w:color="FFFFFF" w:themeColor="background1"/>
              <w:bottom w:val="single" w:sz="6" w:space="0" w:color="6F6652"/>
            </w:tcBorders>
            <w:shd w:val="clear" w:color="auto" w:fill="E9E8E5" w:themeFill="background2"/>
            <w:tcMar>
              <w:left w:w="57" w:type="dxa"/>
              <w:right w:w="57" w:type="dxa"/>
            </w:tcMar>
          </w:tcPr>
          <w:p w14:paraId="3171E863" w14:textId="77777777" w:rsidR="00ED0E85" w:rsidRDefault="00ED0E85" w:rsidP="00ED0E85">
            <w:pPr>
              <w:pStyle w:val="TableListBullet"/>
            </w:pPr>
            <w:r>
              <w:t>NABERS website</w:t>
            </w:r>
          </w:p>
          <w:p w14:paraId="79ECF328" w14:textId="77777777" w:rsidR="00ED0E85" w:rsidRDefault="00ED0E85" w:rsidP="00ED0E85">
            <w:pPr>
              <w:pStyle w:val="TableListBullet"/>
            </w:pPr>
            <w:r>
              <w:t>Prominent position in lift foyer of relevant floor</w:t>
            </w:r>
          </w:p>
        </w:tc>
      </w:tr>
    </w:tbl>
    <w:p w14:paraId="377A8E65" w14:textId="77777777" w:rsidR="00ED0E85" w:rsidRDefault="00ED0E85" w:rsidP="00ED0E85">
      <w:pPr>
        <w:pStyle w:val="Source"/>
      </w:pPr>
      <w:r>
        <w:rPr>
          <w:i/>
        </w:rPr>
        <w:t>Source</w:t>
      </w:r>
      <w:r w:rsidRPr="00E4232C">
        <w:rPr>
          <w:i/>
        </w:rPr>
        <w:t>:</w:t>
      </w:r>
      <w:r>
        <w:t xml:space="preserve"> CIE.</w:t>
      </w:r>
    </w:p>
    <w:p w14:paraId="73B5960D" w14:textId="77777777" w:rsidR="00ED0E85" w:rsidRDefault="00ED0E85" w:rsidP="00ED0E85">
      <w:pPr>
        <w:pStyle w:val="Heading2"/>
        <w:numPr>
          <w:ilvl w:val="1"/>
          <w:numId w:val="5"/>
        </w:numPr>
      </w:pPr>
      <w:bookmarkStart w:id="4030" w:name="_Toc16168115"/>
      <w:bookmarkStart w:id="4031" w:name="_Toc19275519"/>
      <w:bookmarkStart w:id="4032" w:name="_Toc19276129"/>
      <w:bookmarkStart w:id="4033" w:name="_Toc19280128"/>
      <w:bookmarkEnd w:id="3991"/>
      <w:r>
        <w:t>Cost-benefit analysis</w:t>
      </w:r>
      <w:bookmarkEnd w:id="4030"/>
      <w:bookmarkEnd w:id="4031"/>
      <w:bookmarkEnd w:id="4032"/>
      <w:bookmarkEnd w:id="4033"/>
    </w:p>
    <w:p w14:paraId="184A5701" w14:textId="77777777" w:rsidR="00ED0E85" w:rsidRPr="00C51675" w:rsidRDefault="00ED0E85" w:rsidP="00ED0E85">
      <w:pPr>
        <w:pStyle w:val="BodyText"/>
      </w:pPr>
      <w:r>
        <w:t>The costs and benefits of the proposed reform options are assessed against a baseline of maintaining the current arrangements.</w:t>
      </w:r>
    </w:p>
    <w:p w14:paraId="76F87297" w14:textId="30D0892F" w:rsidR="00ED0E85" w:rsidRDefault="00ED0E85" w:rsidP="00ED0E85">
      <w:pPr>
        <w:pStyle w:val="BodyText"/>
      </w:pPr>
      <w:r>
        <w:t>The CBA results suggest that if compliance costs can be kept low, expanding the CBD Program to office tenancies could deliver a net benefit (table </w:t>
      </w:r>
      <w:r w:rsidR="004550CB">
        <w:rPr>
          <w:noProof/>
        </w:rPr>
        <w:fldChar w:fldCharType="begin"/>
      </w:r>
      <w:r w:rsidR="004550CB">
        <w:rPr>
          <w:noProof/>
        </w:rPr>
        <w:instrText xml:space="preserve"> REF _Caption0038 </w:instrText>
      </w:r>
      <w:r w:rsidR="004550CB">
        <w:rPr>
          <w:noProof/>
        </w:rPr>
        <w:fldChar w:fldCharType="separate"/>
      </w:r>
      <w:r w:rsidR="00AD3561">
        <w:rPr>
          <w:noProof/>
        </w:rPr>
        <w:t>6</w:t>
      </w:r>
      <w:r w:rsidR="00AD3561" w:rsidRPr="00695C93">
        <w:rPr>
          <w:noProof/>
        </w:rPr>
        <w:t>.</w:t>
      </w:r>
      <w:r w:rsidR="00AD3561">
        <w:rPr>
          <w:noProof/>
        </w:rPr>
        <w:t>9</w:t>
      </w:r>
      <w:r w:rsidR="004550CB">
        <w:rPr>
          <w:noProof/>
        </w:rPr>
        <w:fldChar w:fldCharType="end"/>
      </w:r>
      <w:r>
        <w:t>).</w:t>
      </w:r>
    </w:p>
    <w:p w14:paraId="3450F1A8" w14:textId="77777777" w:rsidR="00ED0E85" w:rsidRDefault="00ED0E85" w:rsidP="00ED0E85">
      <w:pPr>
        <w:pStyle w:val="ListBullet"/>
      </w:pPr>
      <w:r>
        <w:t>Compliance costs are minimised where the expansion of the CBD Program to office tenancies is aligned with base building requirements and ratings are required every 2 years (Option 2B). This option is estimated to deliver a small private benefit to industry and a significant social benefit if greenhouse gas savings are taken into account.</w:t>
      </w:r>
    </w:p>
    <w:p w14:paraId="20539BF7" w14:textId="77777777" w:rsidR="00ED0E85" w:rsidRDefault="00ED0E85" w:rsidP="00ED0E85">
      <w:pPr>
        <w:pStyle w:val="ListBullet"/>
      </w:pPr>
      <w:r>
        <w:t>The other options considered are estimated to deliver net costs to the community. In particular, the net cost of imposing mandatory disclosure requirements on office tenants, without aligning these requirements to disclosure requirements for base buildings (i.e. Option 1A) are estimated to be significant.</w:t>
      </w:r>
    </w:p>
    <w:p w14:paraId="429315B7" w14:textId="4A116621"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6</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6</w:instrText>
      </w:r>
      <w:r w:rsidR="004550CB">
        <w:rPr>
          <w:noProof/>
        </w:rPr>
        <w:fldChar w:fldCharType="end"/>
      </w:r>
      <w:r w:rsidRPr="00695C93">
        <w:instrText xml:space="preserve">." </w:instrText>
      </w:r>
      <w:r w:rsidRPr="00695C93">
        <w:fldChar w:fldCharType="separate"/>
      </w:r>
      <w:r w:rsidR="00AD3561">
        <w:rPr>
          <w:noProof/>
        </w:rPr>
        <w:instrText>6</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w:instrText>
      </w:r>
      <w:r w:rsidR="00C353B5">
        <w:instrText xml:space="preserv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6</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6</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9</w:instrText>
      </w:r>
      <w:r w:rsidRPr="00695C93">
        <w:fldChar w:fldCharType="end"/>
      </w:r>
      <w:r w:rsidRPr="00695C93">
        <w:instrText xml:space="preserve">" "" </w:instrText>
      </w:r>
      <w:r w:rsidRPr="00695C93">
        <w:fldChar w:fldCharType="separate"/>
      </w:r>
      <w:bookmarkStart w:id="4034" w:name="_Caption6023"/>
      <w:bookmarkStart w:id="4035" w:name="_Caption5711"/>
      <w:bookmarkStart w:id="4036" w:name="_Caption7125"/>
      <w:bookmarkStart w:id="4037" w:name="_Caption4930"/>
      <w:bookmarkStart w:id="4038" w:name="_Caption7456"/>
      <w:bookmarkStart w:id="4039" w:name="_Caption7210"/>
      <w:bookmarkStart w:id="4040" w:name="_Caption5601"/>
      <w:bookmarkStart w:id="4041" w:name="_Caption0225"/>
      <w:bookmarkStart w:id="4042" w:name="_Caption5512"/>
      <w:bookmarkStart w:id="4043" w:name="_Caption6538"/>
      <w:bookmarkStart w:id="4044" w:name="_Caption3112"/>
      <w:bookmarkStart w:id="4045" w:name="_Caption9889"/>
      <w:bookmarkStart w:id="4046" w:name="_Caption8748"/>
      <w:bookmarkStart w:id="4047" w:name="_Caption3038"/>
      <w:bookmarkStart w:id="4048" w:name="_Caption5125"/>
      <w:bookmarkStart w:id="4049" w:name="_Caption1681"/>
      <w:bookmarkStart w:id="4050" w:name="_Caption7419"/>
      <w:bookmarkStart w:id="4051" w:name="_Caption8822"/>
      <w:bookmarkStart w:id="4052" w:name="_Caption1781"/>
      <w:bookmarkStart w:id="4053" w:name="_Caption0038"/>
      <w:bookmarkStart w:id="4054" w:name="_Caption7060"/>
      <w:bookmarkStart w:id="4055" w:name="_Caption6085"/>
      <w:bookmarkStart w:id="4056" w:name="_Caption1995"/>
      <w:bookmarkStart w:id="4057" w:name="_Caption0229"/>
      <w:bookmarkStart w:id="4058" w:name="_Caption7606"/>
      <w:bookmarkStart w:id="4059" w:name="_Caption0425"/>
      <w:bookmarkStart w:id="4060" w:name="_Caption8916"/>
      <w:bookmarkStart w:id="4061" w:name="_Caption7779"/>
      <w:bookmarkStart w:id="4062" w:name="_Caption2477"/>
      <w:bookmarkStart w:id="4063" w:name="_Caption8111"/>
      <w:bookmarkStart w:id="4064" w:name="_Caption8391"/>
      <w:bookmarkStart w:id="4065" w:name="_Caption7495"/>
      <w:bookmarkStart w:id="4066" w:name="_Caption5791"/>
      <w:bookmarkStart w:id="4067" w:name="_Caption0084"/>
      <w:bookmarkStart w:id="4068" w:name="_Caption8438"/>
      <w:bookmarkStart w:id="4069" w:name="_Toc19275611"/>
      <w:bookmarkStart w:id="4070" w:name="_Toc19276221"/>
      <w:bookmarkStart w:id="4071" w:name="_Toc19280220"/>
      <w:r w:rsidR="00C353B5">
        <w:rPr>
          <w:noProof/>
        </w:rPr>
        <w:t>6</w:t>
      </w:r>
      <w:r w:rsidR="00C353B5" w:rsidRPr="00695C93">
        <w:rPr>
          <w:noProof/>
        </w:rPr>
        <w:t>.</w:t>
      </w:r>
      <w:r w:rsidR="00C353B5">
        <w:rPr>
          <w:noProof/>
        </w:rPr>
        <w:t>9</w:t>
      </w:r>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r w:rsidRPr="00695C93">
        <w:fldChar w:fldCharType="end"/>
      </w:r>
      <w:r w:rsidRPr="00695C93">
        <w:tab/>
      </w:r>
      <w:r>
        <w:t>Expansion of the CBD Program to office tenancies – cost-benefit analysis</w:t>
      </w:r>
      <w:bookmarkEnd w:id="4069"/>
      <w:bookmarkEnd w:id="4070"/>
      <w:bookmarkEnd w:id="4071"/>
    </w:p>
    <w:tbl>
      <w:tblPr>
        <w:tblW w:w="7937" w:type="dxa"/>
        <w:tblLayout w:type="fixed"/>
        <w:tblLook w:val="0000" w:firstRow="0" w:lastRow="0" w:firstColumn="0" w:lastColumn="0" w:noHBand="0" w:noVBand="0"/>
      </w:tblPr>
      <w:tblGrid>
        <w:gridCol w:w="3525"/>
        <w:gridCol w:w="1104"/>
        <w:gridCol w:w="1104"/>
        <w:gridCol w:w="1174"/>
        <w:gridCol w:w="1030"/>
      </w:tblGrid>
      <w:tr w:rsidR="00ED0E85" w14:paraId="0AD07D4A" w14:textId="77777777" w:rsidTr="00ED0E85">
        <w:trPr>
          <w:trHeight w:val="230"/>
          <w:tblHeader/>
        </w:trPr>
        <w:tc>
          <w:tcPr>
            <w:tcW w:w="3525" w:type="dxa"/>
            <w:shd w:val="clear" w:color="auto" w:fill="6F6652"/>
            <w:tcMar>
              <w:left w:w="57" w:type="dxa"/>
              <w:right w:w="57" w:type="dxa"/>
            </w:tcMar>
          </w:tcPr>
          <w:p w14:paraId="1FB4F628" w14:textId="77777777" w:rsidR="00ED0E85" w:rsidRDefault="00ED0E85" w:rsidP="00ED0E85">
            <w:pPr>
              <w:pStyle w:val="TableDataColumnHeading"/>
              <w:jc w:val="left"/>
              <w:rPr>
                <w:lang w:val="en-GB"/>
              </w:rPr>
            </w:pPr>
          </w:p>
        </w:tc>
        <w:tc>
          <w:tcPr>
            <w:tcW w:w="1104" w:type="dxa"/>
            <w:shd w:val="clear" w:color="auto" w:fill="6F6652"/>
            <w:tcMar>
              <w:left w:w="57" w:type="dxa"/>
              <w:right w:w="57" w:type="dxa"/>
            </w:tcMar>
          </w:tcPr>
          <w:p w14:paraId="7C542CDA" w14:textId="77777777" w:rsidR="00ED0E85" w:rsidRDefault="00ED0E85" w:rsidP="00ED0E85">
            <w:pPr>
              <w:pStyle w:val="TableDataColumnHeading"/>
              <w:rPr>
                <w:lang w:val="en-GB"/>
              </w:rPr>
            </w:pPr>
            <w:r>
              <w:rPr>
                <w:lang w:val="en-GB"/>
              </w:rPr>
              <w:t>Option 1A</w:t>
            </w:r>
          </w:p>
        </w:tc>
        <w:tc>
          <w:tcPr>
            <w:tcW w:w="1104" w:type="dxa"/>
            <w:shd w:val="clear" w:color="auto" w:fill="6F6652"/>
            <w:tcMar>
              <w:left w:w="57" w:type="dxa"/>
              <w:right w:w="57" w:type="dxa"/>
            </w:tcMar>
          </w:tcPr>
          <w:p w14:paraId="44499C9C" w14:textId="77777777" w:rsidR="00ED0E85" w:rsidRDefault="00ED0E85" w:rsidP="00ED0E85">
            <w:pPr>
              <w:pStyle w:val="TableDataColumnHeading"/>
              <w:rPr>
                <w:lang w:val="en-GB"/>
              </w:rPr>
            </w:pPr>
            <w:r>
              <w:rPr>
                <w:lang w:val="en-GB"/>
              </w:rPr>
              <w:t>Option 1B</w:t>
            </w:r>
          </w:p>
        </w:tc>
        <w:tc>
          <w:tcPr>
            <w:tcW w:w="1174" w:type="dxa"/>
            <w:shd w:val="clear" w:color="auto" w:fill="6F6652"/>
            <w:tcMar>
              <w:left w:w="57" w:type="dxa"/>
              <w:right w:w="57" w:type="dxa"/>
            </w:tcMar>
          </w:tcPr>
          <w:p w14:paraId="5709D86C" w14:textId="77777777" w:rsidR="00ED0E85" w:rsidRDefault="00ED0E85" w:rsidP="00ED0E85">
            <w:pPr>
              <w:pStyle w:val="TableDataColumnHeading"/>
              <w:rPr>
                <w:lang w:val="en-GB"/>
              </w:rPr>
            </w:pPr>
            <w:r>
              <w:rPr>
                <w:lang w:val="en-GB"/>
              </w:rPr>
              <w:t>Option 2A</w:t>
            </w:r>
          </w:p>
        </w:tc>
        <w:tc>
          <w:tcPr>
            <w:tcW w:w="1030" w:type="dxa"/>
            <w:shd w:val="clear" w:color="auto" w:fill="6F6652"/>
            <w:tcMar>
              <w:left w:w="57" w:type="dxa"/>
              <w:right w:w="57" w:type="dxa"/>
            </w:tcMar>
          </w:tcPr>
          <w:p w14:paraId="2FC09994" w14:textId="77777777" w:rsidR="00ED0E85" w:rsidRDefault="00ED0E85" w:rsidP="00ED0E85">
            <w:pPr>
              <w:pStyle w:val="TableDataColumnHeading"/>
              <w:rPr>
                <w:lang w:val="en-GB"/>
              </w:rPr>
            </w:pPr>
            <w:r>
              <w:rPr>
                <w:lang w:val="en-GB"/>
              </w:rPr>
              <w:t>Option 2B</w:t>
            </w:r>
          </w:p>
        </w:tc>
      </w:tr>
      <w:tr w:rsidR="00ED0E85" w14:paraId="256792D7" w14:textId="77777777" w:rsidTr="00ED0E85">
        <w:trPr>
          <w:trHeight w:val="230"/>
          <w:tblHeader/>
        </w:trPr>
        <w:tc>
          <w:tcPr>
            <w:tcW w:w="3525" w:type="dxa"/>
            <w:tcBorders>
              <w:bottom w:val="single" w:sz="8" w:space="0" w:color="FFFFFF" w:themeColor="background1"/>
            </w:tcBorders>
            <w:shd w:val="clear" w:color="auto" w:fill="auto"/>
            <w:tcMar>
              <w:left w:w="57" w:type="dxa"/>
              <w:right w:w="57" w:type="dxa"/>
            </w:tcMar>
          </w:tcPr>
          <w:p w14:paraId="7B632E09" w14:textId="77777777" w:rsidR="00ED0E85" w:rsidRDefault="00ED0E85" w:rsidP="00ED0E85">
            <w:pPr>
              <w:pStyle w:val="TableUnit"/>
              <w:jc w:val="left"/>
              <w:rPr>
                <w:lang w:val="en-GB"/>
              </w:rPr>
            </w:pPr>
          </w:p>
        </w:tc>
        <w:tc>
          <w:tcPr>
            <w:tcW w:w="1104" w:type="dxa"/>
            <w:tcBorders>
              <w:bottom w:val="single" w:sz="8" w:space="0" w:color="FFFFFF" w:themeColor="background1"/>
            </w:tcBorders>
            <w:shd w:val="clear" w:color="auto" w:fill="auto"/>
            <w:tcMar>
              <w:left w:w="57" w:type="dxa"/>
              <w:right w:w="57" w:type="dxa"/>
            </w:tcMar>
          </w:tcPr>
          <w:p w14:paraId="26EA0B47" w14:textId="77777777" w:rsidR="00ED0E85" w:rsidRDefault="00ED0E85" w:rsidP="00ED0E85">
            <w:pPr>
              <w:pStyle w:val="TableUnit"/>
              <w:rPr>
                <w:lang w:val="en-GB"/>
              </w:rPr>
            </w:pPr>
            <w:r>
              <w:rPr>
                <w:lang w:val="en-GB"/>
              </w:rPr>
              <w:t>$ million</w:t>
            </w:r>
          </w:p>
        </w:tc>
        <w:tc>
          <w:tcPr>
            <w:tcW w:w="1104" w:type="dxa"/>
            <w:tcBorders>
              <w:bottom w:val="single" w:sz="8" w:space="0" w:color="FFFFFF" w:themeColor="background1"/>
            </w:tcBorders>
            <w:shd w:val="clear" w:color="auto" w:fill="auto"/>
            <w:tcMar>
              <w:left w:w="57" w:type="dxa"/>
              <w:right w:w="57" w:type="dxa"/>
            </w:tcMar>
          </w:tcPr>
          <w:p w14:paraId="7BBF6DF1" w14:textId="77777777" w:rsidR="00ED0E85" w:rsidRDefault="00ED0E85" w:rsidP="00ED0E85">
            <w:pPr>
              <w:pStyle w:val="TableUnit"/>
              <w:rPr>
                <w:lang w:val="en-GB"/>
              </w:rPr>
            </w:pPr>
            <w:r>
              <w:rPr>
                <w:lang w:val="en-GB"/>
              </w:rPr>
              <w:t>$ million</w:t>
            </w:r>
          </w:p>
        </w:tc>
        <w:tc>
          <w:tcPr>
            <w:tcW w:w="1174" w:type="dxa"/>
            <w:tcBorders>
              <w:bottom w:val="single" w:sz="8" w:space="0" w:color="FFFFFF" w:themeColor="background1"/>
            </w:tcBorders>
            <w:shd w:val="clear" w:color="auto" w:fill="auto"/>
            <w:tcMar>
              <w:left w:w="57" w:type="dxa"/>
              <w:right w:w="57" w:type="dxa"/>
            </w:tcMar>
          </w:tcPr>
          <w:p w14:paraId="79E9BDDE" w14:textId="77777777" w:rsidR="00ED0E85" w:rsidRDefault="00ED0E85" w:rsidP="00ED0E85">
            <w:pPr>
              <w:pStyle w:val="TableUnit"/>
              <w:rPr>
                <w:lang w:val="en-GB"/>
              </w:rPr>
            </w:pPr>
            <w:r>
              <w:rPr>
                <w:lang w:val="en-GB"/>
              </w:rPr>
              <w:t>$ million</w:t>
            </w:r>
          </w:p>
        </w:tc>
        <w:tc>
          <w:tcPr>
            <w:tcW w:w="1030" w:type="dxa"/>
            <w:tcBorders>
              <w:bottom w:val="single" w:sz="8" w:space="0" w:color="FFFFFF" w:themeColor="background1"/>
            </w:tcBorders>
            <w:shd w:val="clear" w:color="auto" w:fill="auto"/>
            <w:tcMar>
              <w:left w:w="57" w:type="dxa"/>
              <w:right w:w="57" w:type="dxa"/>
            </w:tcMar>
          </w:tcPr>
          <w:p w14:paraId="1725EFA7" w14:textId="77777777" w:rsidR="00ED0E85" w:rsidRDefault="00ED0E85" w:rsidP="00ED0E85">
            <w:pPr>
              <w:pStyle w:val="TableUnit"/>
              <w:rPr>
                <w:lang w:val="en-GB"/>
              </w:rPr>
            </w:pPr>
            <w:r>
              <w:rPr>
                <w:lang w:val="en-GB"/>
              </w:rPr>
              <w:t>$ million</w:t>
            </w:r>
          </w:p>
        </w:tc>
      </w:tr>
      <w:tr w:rsidR="00ED0E85" w14:paraId="4FFFECBF" w14:textId="77777777" w:rsidTr="00ED0E85">
        <w:trPr>
          <w:trHeight w:val="230"/>
        </w:trPr>
        <w:tc>
          <w:tcPr>
            <w:tcW w:w="352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1790C4A" w14:textId="77777777" w:rsidR="00ED0E85" w:rsidRDefault="00ED0E85" w:rsidP="00ED0E85">
            <w:pPr>
              <w:pStyle w:val="TableHeading1"/>
              <w:rPr>
                <w:lang w:val="en-GB"/>
              </w:rPr>
            </w:pPr>
            <w:r>
              <w:rPr>
                <w:lang w:val="en-GB"/>
              </w:rPr>
              <w:t>Private benefits/costs</w:t>
            </w:r>
          </w:p>
        </w:tc>
        <w:tc>
          <w:tcPr>
            <w:tcW w:w="110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BD91F9D" w14:textId="77777777" w:rsidR="00ED0E85" w:rsidRDefault="00ED0E85" w:rsidP="00ED0E85">
            <w:pPr>
              <w:pStyle w:val="TableHeading1"/>
              <w:rPr>
                <w:lang w:val="en-GB"/>
              </w:rPr>
            </w:pPr>
          </w:p>
        </w:tc>
        <w:tc>
          <w:tcPr>
            <w:tcW w:w="110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39EB4BD" w14:textId="77777777" w:rsidR="00ED0E85" w:rsidRDefault="00ED0E85" w:rsidP="00ED0E85">
            <w:pPr>
              <w:pStyle w:val="TableHeading1"/>
              <w:rPr>
                <w:lang w:val="en-GB"/>
              </w:rPr>
            </w:pPr>
          </w:p>
        </w:tc>
        <w:tc>
          <w:tcPr>
            <w:tcW w:w="117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A885CF2" w14:textId="77777777" w:rsidR="00ED0E85" w:rsidRDefault="00ED0E85" w:rsidP="00ED0E85">
            <w:pPr>
              <w:pStyle w:val="TableHeading1"/>
              <w:rPr>
                <w:lang w:val="en-GB"/>
              </w:rPr>
            </w:pPr>
          </w:p>
        </w:tc>
        <w:tc>
          <w:tcPr>
            <w:tcW w:w="103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C62A926" w14:textId="77777777" w:rsidR="00ED0E85" w:rsidRDefault="00ED0E85" w:rsidP="00ED0E85">
            <w:pPr>
              <w:pStyle w:val="TableHeading1"/>
              <w:rPr>
                <w:lang w:val="en-GB"/>
              </w:rPr>
            </w:pPr>
          </w:p>
        </w:tc>
      </w:tr>
      <w:tr w:rsidR="00ED0E85" w14:paraId="70D99079" w14:textId="77777777" w:rsidTr="00ED0E85">
        <w:trPr>
          <w:trHeight w:val="230"/>
        </w:trPr>
        <w:tc>
          <w:tcPr>
            <w:tcW w:w="35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2A4257" w14:textId="77777777" w:rsidR="00ED0E85" w:rsidRDefault="00ED0E85" w:rsidP="00ED0E85">
            <w:pPr>
              <w:pStyle w:val="TableDataEntries"/>
              <w:jc w:val="left"/>
              <w:rPr>
                <w:lang w:val="en-GB"/>
              </w:rPr>
            </w:pPr>
            <w:r>
              <w:rPr>
                <w:lang w:val="en-GB"/>
              </w:rPr>
              <w:t>Energy benefits</w:t>
            </w:r>
          </w:p>
        </w:tc>
        <w:tc>
          <w:tcPr>
            <w:tcW w:w="11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3FCD1B" w14:textId="77777777" w:rsidR="00ED0E85" w:rsidRDefault="00ED0E85" w:rsidP="00ED0E85">
            <w:pPr>
              <w:pStyle w:val="TableDataEntries"/>
              <w:rPr>
                <w:lang w:val="en-GB"/>
              </w:rPr>
            </w:pPr>
            <w:r>
              <w:rPr>
                <w:lang w:val="en-GB"/>
              </w:rPr>
              <w:t xml:space="preserve">  60.27</w:t>
            </w:r>
          </w:p>
        </w:tc>
        <w:tc>
          <w:tcPr>
            <w:tcW w:w="11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AC8C47" w14:textId="77777777" w:rsidR="00ED0E85" w:rsidRDefault="00ED0E85" w:rsidP="00ED0E85">
            <w:pPr>
              <w:pStyle w:val="TableDataEntries"/>
              <w:rPr>
                <w:lang w:val="en-GB"/>
              </w:rPr>
            </w:pPr>
            <w:r>
              <w:rPr>
                <w:lang w:val="en-GB"/>
              </w:rPr>
              <w:t xml:space="preserve">  60.27</w:t>
            </w:r>
          </w:p>
        </w:tc>
        <w:tc>
          <w:tcPr>
            <w:tcW w:w="11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8E6937" w14:textId="77777777" w:rsidR="00ED0E85" w:rsidRDefault="00ED0E85" w:rsidP="00ED0E85">
            <w:pPr>
              <w:pStyle w:val="TableDataEntries"/>
              <w:rPr>
                <w:lang w:val="en-GB"/>
              </w:rPr>
            </w:pPr>
            <w:r>
              <w:rPr>
                <w:lang w:val="en-GB"/>
              </w:rPr>
              <w:t xml:space="preserve">  86.10</w:t>
            </w:r>
          </w:p>
        </w:tc>
        <w:tc>
          <w:tcPr>
            <w:tcW w:w="103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6752A0" w14:textId="77777777" w:rsidR="00ED0E85" w:rsidRDefault="00ED0E85" w:rsidP="00ED0E85">
            <w:pPr>
              <w:pStyle w:val="TableDataEntries"/>
              <w:rPr>
                <w:lang w:val="en-GB"/>
              </w:rPr>
            </w:pPr>
            <w:r>
              <w:rPr>
                <w:lang w:val="en-GB"/>
              </w:rPr>
              <w:t xml:space="preserve">  86.10</w:t>
            </w:r>
          </w:p>
        </w:tc>
      </w:tr>
      <w:tr w:rsidR="00ED0E85" w14:paraId="6969CF4E" w14:textId="77777777" w:rsidTr="00ED0E85">
        <w:trPr>
          <w:trHeight w:val="230"/>
        </w:trPr>
        <w:tc>
          <w:tcPr>
            <w:tcW w:w="35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8875AE" w14:textId="77777777" w:rsidR="00ED0E85" w:rsidRDefault="00ED0E85" w:rsidP="00ED0E85">
            <w:pPr>
              <w:pStyle w:val="TableDataEntries"/>
              <w:jc w:val="left"/>
              <w:rPr>
                <w:lang w:val="en-GB"/>
              </w:rPr>
            </w:pPr>
            <w:r>
              <w:rPr>
                <w:lang w:val="en-GB"/>
              </w:rPr>
              <w:t>Upgrade costs</w:t>
            </w:r>
          </w:p>
        </w:tc>
        <w:tc>
          <w:tcPr>
            <w:tcW w:w="11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177AA3" w14:textId="77777777" w:rsidR="00ED0E85" w:rsidRDefault="00ED0E85" w:rsidP="00ED0E85">
            <w:pPr>
              <w:pStyle w:val="TableDataEntries"/>
              <w:rPr>
                <w:lang w:val="en-GB"/>
              </w:rPr>
            </w:pPr>
            <w:r>
              <w:rPr>
                <w:lang w:val="en-GB"/>
              </w:rPr>
              <w:t>-  46.25</w:t>
            </w:r>
          </w:p>
        </w:tc>
        <w:tc>
          <w:tcPr>
            <w:tcW w:w="11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C8A4AC" w14:textId="77777777" w:rsidR="00ED0E85" w:rsidRDefault="00ED0E85" w:rsidP="00ED0E85">
            <w:pPr>
              <w:pStyle w:val="TableDataEntries"/>
              <w:rPr>
                <w:lang w:val="en-GB"/>
              </w:rPr>
            </w:pPr>
            <w:r>
              <w:rPr>
                <w:lang w:val="en-GB"/>
              </w:rPr>
              <w:t>-  46.25</w:t>
            </w:r>
          </w:p>
        </w:tc>
        <w:tc>
          <w:tcPr>
            <w:tcW w:w="11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620BB6" w14:textId="77777777" w:rsidR="00ED0E85" w:rsidRDefault="00ED0E85" w:rsidP="00ED0E85">
            <w:pPr>
              <w:pStyle w:val="TableDataEntries"/>
              <w:rPr>
                <w:lang w:val="en-GB"/>
              </w:rPr>
            </w:pPr>
            <w:r>
              <w:rPr>
                <w:lang w:val="en-GB"/>
              </w:rPr>
              <w:t>-  66.07</w:t>
            </w:r>
          </w:p>
        </w:tc>
        <w:tc>
          <w:tcPr>
            <w:tcW w:w="103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682BEB" w14:textId="77777777" w:rsidR="00ED0E85" w:rsidRDefault="00ED0E85" w:rsidP="00ED0E85">
            <w:pPr>
              <w:pStyle w:val="TableDataEntries"/>
              <w:rPr>
                <w:lang w:val="en-GB"/>
              </w:rPr>
            </w:pPr>
            <w:r>
              <w:rPr>
                <w:lang w:val="en-GB"/>
              </w:rPr>
              <w:t>-  66.07</w:t>
            </w:r>
          </w:p>
        </w:tc>
      </w:tr>
      <w:tr w:rsidR="00ED0E85" w14:paraId="5F490782" w14:textId="77777777" w:rsidTr="00ED0E85">
        <w:trPr>
          <w:trHeight w:val="230"/>
        </w:trPr>
        <w:tc>
          <w:tcPr>
            <w:tcW w:w="35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42C39F" w14:textId="77777777" w:rsidR="00ED0E85" w:rsidRDefault="00ED0E85" w:rsidP="00ED0E85">
            <w:pPr>
              <w:pStyle w:val="TableDataEntries"/>
              <w:jc w:val="left"/>
              <w:rPr>
                <w:lang w:val="en-GB"/>
              </w:rPr>
            </w:pPr>
            <w:r>
              <w:rPr>
                <w:lang w:val="en-GB"/>
              </w:rPr>
              <w:t>Compliance costs - NABERS Office Tenancy ratings</w:t>
            </w:r>
          </w:p>
        </w:tc>
        <w:tc>
          <w:tcPr>
            <w:tcW w:w="11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576DE5" w14:textId="77777777" w:rsidR="00ED0E85" w:rsidRDefault="00ED0E85" w:rsidP="00ED0E85">
            <w:pPr>
              <w:pStyle w:val="TableDataEntries"/>
              <w:rPr>
                <w:lang w:val="en-GB"/>
              </w:rPr>
            </w:pPr>
            <w:r>
              <w:rPr>
                <w:lang w:val="en-GB"/>
              </w:rPr>
              <w:t>-  132.06</w:t>
            </w:r>
          </w:p>
        </w:tc>
        <w:tc>
          <w:tcPr>
            <w:tcW w:w="11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1FE0CE" w14:textId="77777777" w:rsidR="00ED0E85" w:rsidRDefault="00ED0E85" w:rsidP="00ED0E85">
            <w:pPr>
              <w:pStyle w:val="TableDataEntries"/>
              <w:rPr>
                <w:lang w:val="en-GB"/>
              </w:rPr>
            </w:pPr>
            <w:r>
              <w:rPr>
                <w:lang w:val="en-GB"/>
              </w:rPr>
              <w:t>-  66.03</w:t>
            </w:r>
          </w:p>
        </w:tc>
        <w:tc>
          <w:tcPr>
            <w:tcW w:w="11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0006FE" w14:textId="77777777" w:rsidR="00ED0E85" w:rsidRDefault="00ED0E85" w:rsidP="00ED0E85">
            <w:pPr>
              <w:pStyle w:val="TableDataEntries"/>
              <w:rPr>
                <w:lang w:val="en-GB"/>
              </w:rPr>
            </w:pPr>
            <w:r>
              <w:rPr>
                <w:lang w:val="en-GB"/>
              </w:rPr>
              <w:t>-  53.83</w:t>
            </w:r>
          </w:p>
        </w:tc>
        <w:tc>
          <w:tcPr>
            <w:tcW w:w="103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19150A" w14:textId="77777777" w:rsidR="00ED0E85" w:rsidRDefault="00ED0E85" w:rsidP="00ED0E85">
            <w:pPr>
              <w:pStyle w:val="TableDataEntries"/>
              <w:rPr>
                <w:lang w:val="en-GB"/>
              </w:rPr>
            </w:pPr>
            <w:r>
              <w:rPr>
                <w:lang w:val="en-GB"/>
              </w:rPr>
              <w:t>-  26.91</w:t>
            </w:r>
          </w:p>
        </w:tc>
      </w:tr>
      <w:tr w:rsidR="00ED0E85" w14:paraId="7A6D68EF" w14:textId="77777777" w:rsidTr="00ED0E85">
        <w:trPr>
          <w:trHeight w:val="230"/>
        </w:trPr>
        <w:tc>
          <w:tcPr>
            <w:tcW w:w="35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B1EF21" w14:textId="77777777" w:rsidR="00ED0E85" w:rsidRDefault="00ED0E85" w:rsidP="00ED0E85">
            <w:pPr>
              <w:pStyle w:val="TableDataEntries"/>
              <w:jc w:val="left"/>
              <w:rPr>
                <w:lang w:val="en-GB"/>
              </w:rPr>
            </w:pPr>
            <w:r>
              <w:rPr>
                <w:lang w:val="en-GB"/>
              </w:rPr>
              <w:t>Compliance costs - NABERS Base/Whole Building ratings</w:t>
            </w:r>
          </w:p>
        </w:tc>
        <w:tc>
          <w:tcPr>
            <w:tcW w:w="11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2F83DB" w14:textId="77777777" w:rsidR="00ED0E85" w:rsidRDefault="00ED0E85" w:rsidP="00ED0E85">
            <w:pPr>
              <w:pStyle w:val="TableDataEntries"/>
              <w:rPr>
                <w:lang w:val="en-GB"/>
              </w:rPr>
            </w:pPr>
            <w:r>
              <w:rPr>
                <w:lang w:val="en-GB"/>
              </w:rPr>
              <w:t xml:space="preserve">  0.00</w:t>
            </w:r>
          </w:p>
        </w:tc>
        <w:tc>
          <w:tcPr>
            <w:tcW w:w="11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E22B3F" w14:textId="77777777" w:rsidR="00ED0E85" w:rsidRDefault="00ED0E85" w:rsidP="00ED0E85">
            <w:pPr>
              <w:pStyle w:val="TableDataEntries"/>
              <w:rPr>
                <w:lang w:val="en-GB"/>
              </w:rPr>
            </w:pPr>
            <w:r>
              <w:rPr>
                <w:lang w:val="en-GB"/>
              </w:rPr>
              <w:t xml:space="preserve">  0.00</w:t>
            </w:r>
          </w:p>
        </w:tc>
        <w:tc>
          <w:tcPr>
            <w:tcW w:w="11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A1DCB1" w14:textId="77777777" w:rsidR="00ED0E85" w:rsidRDefault="00ED0E85" w:rsidP="00ED0E85">
            <w:pPr>
              <w:pStyle w:val="TableDataEntries"/>
              <w:rPr>
                <w:lang w:val="en-GB"/>
              </w:rPr>
            </w:pPr>
            <w:r>
              <w:rPr>
                <w:lang w:val="en-GB"/>
              </w:rPr>
              <w:t>-  43.29</w:t>
            </w:r>
          </w:p>
        </w:tc>
        <w:tc>
          <w:tcPr>
            <w:tcW w:w="103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9C2CBE" w14:textId="77777777" w:rsidR="00ED0E85" w:rsidRDefault="00ED0E85" w:rsidP="00ED0E85">
            <w:pPr>
              <w:pStyle w:val="TableDataEntries"/>
              <w:rPr>
                <w:lang w:val="en-GB"/>
              </w:rPr>
            </w:pPr>
            <w:r>
              <w:rPr>
                <w:lang w:val="en-GB"/>
              </w:rPr>
              <w:t xml:space="preserve">  10.82</w:t>
            </w:r>
          </w:p>
        </w:tc>
      </w:tr>
      <w:tr w:rsidR="00ED0E85" w14:paraId="62DE1043" w14:textId="77777777" w:rsidTr="00ED0E85">
        <w:trPr>
          <w:trHeight w:val="230"/>
        </w:trPr>
        <w:tc>
          <w:tcPr>
            <w:tcW w:w="35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5F98F3" w14:textId="77777777" w:rsidR="00ED0E85" w:rsidRDefault="00ED0E85" w:rsidP="00ED0E85">
            <w:pPr>
              <w:pStyle w:val="TableDataEntries"/>
              <w:jc w:val="left"/>
              <w:rPr>
                <w:lang w:val="en-GB"/>
              </w:rPr>
            </w:pPr>
            <w:r>
              <w:rPr>
                <w:lang w:val="en-GB"/>
              </w:rPr>
              <w:t>Compliance cost savings - TLA</w:t>
            </w:r>
          </w:p>
        </w:tc>
        <w:tc>
          <w:tcPr>
            <w:tcW w:w="11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7B937F" w14:textId="77777777" w:rsidR="00ED0E85" w:rsidRDefault="00ED0E85" w:rsidP="00ED0E85">
            <w:pPr>
              <w:pStyle w:val="TableDataEntries"/>
              <w:rPr>
                <w:lang w:val="en-GB"/>
              </w:rPr>
            </w:pPr>
            <w:r>
              <w:rPr>
                <w:lang w:val="en-GB"/>
              </w:rPr>
              <w:t xml:space="preserve">  3.29</w:t>
            </w:r>
          </w:p>
        </w:tc>
        <w:tc>
          <w:tcPr>
            <w:tcW w:w="11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D63438" w14:textId="77777777" w:rsidR="00ED0E85" w:rsidRDefault="00ED0E85" w:rsidP="00ED0E85">
            <w:pPr>
              <w:pStyle w:val="TableDataEntries"/>
              <w:rPr>
                <w:lang w:val="en-GB"/>
              </w:rPr>
            </w:pPr>
            <w:r>
              <w:rPr>
                <w:lang w:val="en-GB"/>
              </w:rPr>
              <w:t xml:space="preserve">  3.29</w:t>
            </w:r>
          </w:p>
        </w:tc>
        <w:tc>
          <w:tcPr>
            <w:tcW w:w="11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9E3450" w14:textId="77777777" w:rsidR="00ED0E85" w:rsidRDefault="00ED0E85" w:rsidP="00ED0E85">
            <w:pPr>
              <w:pStyle w:val="TableDataEntries"/>
              <w:rPr>
                <w:lang w:val="en-GB"/>
              </w:rPr>
            </w:pPr>
            <w:r>
              <w:rPr>
                <w:lang w:val="en-GB"/>
              </w:rPr>
              <w:t xml:space="preserve">  3.29</w:t>
            </w:r>
          </w:p>
        </w:tc>
        <w:tc>
          <w:tcPr>
            <w:tcW w:w="103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49D787" w14:textId="77777777" w:rsidR="00ED0E85" w:rsidRDefault="00ED0E85" w:rsidP="00ED0E85">
            <w:pPr>
              <w:pStyle w:val="TableDataEntries"/>
              <w:rPr>
                <w:lang w:val="en-GB"/>
              </w:rPr>
            </w:pPr>
            <w:r>
              <w:rPr>
                <w:lang w:val="en-GB"/>
              </w:rPr>
              <w:t xml:space="preserve">  3.29</w:t>
            </w:r>
          </w:p>
        </w:tc>
      </w:tr>
      <w:tr w:rsidR="00ED0E85" w:rsidRPr="001644F0" w14:paraId="71F4A427" w14:textId="77777777" w:rsidTr="00ED0E85">
        <w:trPr>
          <w:trHeight w:val="230"/>
        </w:trPr>
        <w:tc>
          <w:tcPr>
            <w:tcW w:w="35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22B958" w14:textId="77777777" w:rsidR="00ED0E85" w:rsidRPr="001644F0" w:rsidRDefault="00ED0E85" w:rsidP="00ED0E85">
            <w:pPr>
              <w:pStyle w:val="TableDataEntries"/>
              <w:jc w:val="left"/>
              <w:rPr>
                <w:rFonts w:ascii="Franklin Gothic Demi" w:hAnsi="Franklin Gothic Demi"/>
                <w:lang w:val="en-GB"/>
              </w:rPr>
            </w:pPr>
            <w:r w:rsidRPr="001644F0">
              <w:rPr>
                <w:rFonts w:ascii="Franklin Gothic Demi" w:hAnsi="Franklin Gothic Demi"/>
                <w:lang w:val="en-GB"/>
              </w:rPr>
              <w:t>Net private benefits/costs</w:t>
            </w:r>
          </w:p>
        </w:tc>
        <w:tc>
          <w:tcPr>
            <w:tcW w:w="11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2D7175" w14:textId="77777777" w:rsidR="00ED0E85" w:rsidRPr="001644F0" w:rsidRDefault="00ED0E85" w:rsidP="00ED0E85">
            <w:pPr>
              <w:pStyle w:val="TableDataEntries"/>
              <w:rPr>
                <w:rFonts w:ascii="Franklin Gothic Demi" w:hAnsi="Franklin Gothic Demi"/>
                <w:lang w:val="en-GB"/>
              </w:rPr>
            </w:pPr>
            <w:r w:rsidRPr="001644F0">
              <w:rPr>
                <w:rFonts w:ascii="Franklin Gothic Demi" w:hAnsi="Franklin Gothic Demi"/>
                <w:lang w:val="en-GB"/>
              </w:rPr>
              <w:t>-  158.04</w:t>
            </w:r>
          </w:p>
        </w:tc>
        <w:tc>
          <w:tcPr>
            <w:tcW w:w="11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668585" w14:textId="77777777" w:rsidR="00ED0E85" w:rsidRPr="001644F0" w:rsidRDefault="00ED0E85" w:rsidP="00ED0E85">
            <w:pPr>
              <w:pStyle w:val="TableDataEntries"/>
              <w:rPr>
                <w:rFonts w:ascii="Franklin Gothic Demi" w:hAnsi="Franklin Gothic Demi"/>
                <w:lang w:val="en-GB"/>
              </w:rPr>
            </w:pPr>
            <w:r w:rsidRPr="001644F0">
              <w:rPr>
                <w:rFonts w:ascii="Franklin Gothic Demi" w:hAnsi="Franklin Gothic Demi"/>
                <w:lang w:val="en-GB"/>
              </w:rPr>
              <w:t>-  37.90</w:t>
            </w:r>
          </w:p>
        </w:tc>
        <w:tc>
          <w:tcPr>
            <w:tcW w:w="11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1D2E5C" w14:textId="77777777" w:rsidR="00ED0E85" w:rsidRPr="001644F0" w:rsidRDefault="00ED0E85" w:rsidP="00ED0E85">
            <w:pPr>
              <w:pStyle w:val="TableDataEntries"/>
              <w:rPr>
                <w:rFonts w:ascii="Franklin Gothic Demi" w:hAnsi="Franklin Gothic Demi"/>
                <w:lang w:val="en-GB"/>
              </w:rPr>
            </w:pPr>
            <w:r w:rsidRPr="001644F0">
              <w:rPr>
                <w:rFonts w:ascii="Franklin Gothic Demi" w:hAnsi="Franklin Gothic Demi"/>
                <w:lang w:val="en-GB"/>
              </w:rPr>
              <w:t>-  73.79</w:t>
            </w:r>
          </w:p>
        </w:tc>
        <w:tc>
          <w:tcPr>
            <w:tcW w:w="103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8860C2" w14:textId="77777777" w:rsidR="00ED0E85" w:rsidRPr="001644F0" w:rsidRDefault="00ED0E85" w:rsidP="00ED0E85">
            <w:pPr>
              <w:pStyle w:val="TableDataEntries"/>
              <w:rPr>
                <w:rFonts w:ascii="Franklin Gothic Demi" w:hAnsi="Franklin Gothic Demi"/>
                <w:lang w:val="en-GB"/>
              </w:rPr>
            </w:pPr>
            <w:r w:rsidRPr="001644F0">
              <w:rPr>
                <w:rFonts w:ascii="Franklin Gothic Demi" w:hAnsi="Franklin Gothic Demi"/>
                <w:lang w:val="en-GB"/>
              </w:rPr>
              <w:t xml:space="preserve">  7.23</w:t>
            </w:r>
          </w:p>
        </w:tc>
      </w:tr>
      <w:tr w:rsidR="00ED0E85" w14:paraId="3EA1281B" w14:textId="77777777" w:rsidTr="00ED0E85">
        <w:trPr>
          <w:trHeight w:val="230"/>
        </w:trPr>
        <w:tc>
          <w:tcPr>
            <w:tcW w:w="3525"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14A566A" w14:textId="77777777" w:rsidR="00ED0E85" w:rsidRDefault="00ED0E85" w:rsidP="00ED0E85">
            <w:pPr>
              <w:pStyle w:val="TableHeading1"/>
              <w:rPr>
                <w:lang w:val="en-GB"/>
              </w:rPr>
            </w:pPr>
            <w:r>
              <w:rPr>
                <w:lang w:val="en-GB"/>
              </w:rPr>
              <w:t>Other impacts</w:t>
            </w:r>
          </w:p>
        </w:tc>
        <w:tc>
          <w:tcPr>
            <w:tcW w:w="110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BE2103A" w14:textId="77777777" w:rsidR="00ED0E85" w:rsidRDefault="00ED0E85" w:rsidP="00ED0E85">
            <w:pPr>
              <w:pStyle w:val="TableHeading1"/>
              <w:rPr>
                <w:lang w:val="en-GB"/>
              </w:rPr>
            </w:pPr>
          </w:p>
        </w:tc>
        <w:tc>
          <w:tcPr>
            <w:tcW w:w="110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A95543E" w14:textId="77777777" w:rsidR="00ED0E85" w:rsidRDefault="00ED0E85" w:rsidP="00ED0E85">
            <w:pPr>
              <w:pStyle w:val="TableHeading1"/>
              <w:rPr>
                <w:lang w:val="en-GB"/>
              </w:rPr>
            </w:pPr>
          </w:p>
        </w:tc>
        <w:tc>
          <w:tcPr>
            <w:tcW w:w="117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DCD99D3" w14:textId="77777777" w:rsidR="00ED0E85" w:rsidRDefault="00ED0E85" w:rsidP="00ED0E85">
            <w:pPr>
              <w:pStyle w:val="TableHeading1"/>
              <w:rPr>
                <w:lang w:val="en-GB"/>
              </w:rPr>
            </w:pPr>
          </w:p>
        </w:tc>
        <w:tc>
          <w:tcPr>
            <w:tcW w:w="1030"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393228D" w14:textId="77777777" w:rsidR="00ED0E85" w:rsidRDefault="00ED0E85" w:rsidP="00ED0E85">
            <w:pPr>
              <w:pStyle w:val="TableHeading1"/>
              <w:rPr>
                <w:lang w:val="en-GB"/>
              </w:rPr>
            </w:pPr>
          </w:p>
        </w:tc>
      </w:tr>
      <w:tr w:rsidR="00ED0E85" w14:paraId="575EFA22" w14:textId="77777777" w:rsidTr="00ED0E85">
        <w:trPr>
          <w:trHeight w:val="230"/>
        </w:trPr>
        <w:tc>
          <w:tcPr>
            <w:tcW w:w="35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8C6614" w14:textId="77777777" w:rsidR="00ED0E85" w:rsidRDefault="00ED0E85" w:rsidP="00ED0E85">
            <w:pPr>
              <w:pStyle w:val="TableDataEntries"/>
              <w:jc w:val="left"/>
              <w:rPr>
                <w:lang w:val="en-GB"/>
              </w:rPr>
            </w:pPr>
            <w:r>
              <w:rPr>
                <w:lang w:val="en-GB"/>
              </w:rPr>
              <w:t>Reduced GHG emissions</w:t>
            </w:r>
          </w:p>
        </w:tc>
        <w:tc>
          <w:tcPr>
            <w:tcW w:w="11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34F809" w14:textId="77777777" w:rsidR="00ED0E85" w:rsidRDefault="00ED0E85" w:rsidP="00ED0E85">
            <w:pPr>
              <w:pStyle w:val="TableDataEntries"/>
              <w:rPr>
                <w:lang w:val="en-GB"/>
              </w:rPr>
            </w:pPr>
            <w:r>
              <w:rPr>
                <w:lang w:val="en-GB"/>
              </w:rPr>
              <w:t xml:space="preserve">  36.79</w:t>
            </w:r>
          </w:p>
        </w:tc>
        <w:tc>
          <w:tcPr>
            <w:tcW w:w="11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1C6B41" w14:textId="77777777" w:rsidR="00ED0E85" w:rsidRDefault="00ED0E85" w:rsidP="00ED0E85">
            <w:pPr>
              <w:pStyle w:val="TableDataEntries"/>
              <w:rPr>
                <w:lang w:val="en-GB"/>
              </w:rPr>
            </w:pPr>
            <w:r>
              <w:rPr>
                <w:lang w:val="en-GB"/>
              </w:rPr>
              <w:t xml:space="preserve">  36.79</w:t>
            </w:r>
          </w:p>
        </w:tc>
        <w:tc>
          <w:tcPr>
            <w:tcW w:w="11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4B6B5D" w14:textId="77777777" w:rsidR="00ED0E85" w:rsidRDefault="00ED0E85" w:rsidP="00ED0E85">
            <w:pPr>
              <w:pStyle w:val="TableDataEntries"/>
              <w:rPr>
                <w:lang w:val="en-GB"/>
              </w:rPr>
            </w:pPr>
            <w:r>
              <w:rPr>
                <w:lang w:val="en-GB"/>
              </w:rPr>
              <w:t xml:space="preserve">  52.55</w:t>
            </w:r>
          </w:p>
        </w:tc>
        <w:tc>
          <w:tcPr>
            <w:tcW w:w="103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62A4F5" w14:textId="77777777" w:rsidR="00ED0E85" w:rsidRDefault="00ED0E85" w:rsidP="00ED0E85">
            <w:pPr>
              <w:pStyle w:val="TableDataEntries"/>
              <w:rPr>
                <w:lang w:val="en-GB"/>
              </w:rPr>
            </w:pPr>
            <w:r>
              <w:rPr>
                <w:lang w:val="en-GB"/>
              </w:rPr>
              <w:t xml:space="preserve">  52.55</w:t>
            </w:r>
          </w:p>
        </w:tc>
      </w:tr>
      <w:tr w:rsidR="00ED0E85" w14:paraId="3D5D9981" w14:textId="77777777" w:rsidTr="00ED0E85">
        <w:trPr>
          <w:trHeight w:val="230"/>
        </w:trPr>
        <w:tc>
          <w:tcPr>
            <w:tcW w:w="352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AECDDB" w14:textId="77777777" w:rsidR="00ED0E85" w:rsidRDefault="00ED0E85" w:rsidP="00ED0E85">
            <w:pPr>
              <w:pStyle w:val="TableDataEntries"/>
              <w:jc w:val="left"/>
              <w:rPr>
                <w:lang w:val="en-GB"/>
              </w:rPr>
            </w:pPr>
            <w:r>
              <w:rPr>
                <w:lang w:val="en-GB"/>
              </w:rPr>
              <w:t>Government costs</w:t>
            </w:r>
          </w:p>
        </w:tc>
        <w:tc>
          <w:tcPr>
            <w:tcW w:w="11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1C2CCA" w14:textId="77777777" w:rsidR="00ED0E85" w:rsidRDefault="00ED0E85" w:rsidP="00ED0E85">
            <w:pPr>
              <w:pStyle w:val="TableDataEntries"/>
              <w:rPr>
                <w:lang w:val="en-GB"/>
              </w:rPr>
            </w:pPr>
            <w:r>
              <w:rPr>
                <w:lang w:val="en-GB"/>
              </w:rPr>
              <w:t>-  27.81</w:t>
            </w:r>
          </w:p>
        </w:tc>
        <w:tc>
          <w:tcPr>
            <w:tcW w:w="110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EF2052" w14:textId="77777777" w:rsidR="00ED0E85" w:rsidRDefault="00ED0E85" w:rsidP="00ED0E85">
            <w:pPr>
              <w:pStyle w:val="TableDataEntries"/>
              <w:rPr>
                <w:lang w:val="en-GB"/>
              </w:rPr>
            </w:pPr>
            <w:r>
              <w:rPr>
                <w:lang w:val="en-GB"/>
              </w:rPr>
              <w:t>-  13.91</w:t>
            </w:r>
          </w:p>
        </w:tc>
        <w:tc>
          <w:tcPr>
            <w:tcW w:w="117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B7A296" w14:textId="77777777" w:rsidR="00ED0E85" w:rsidRDefault="00ED0E85" w:rsidP="00ED0E85">
            <w:pPr>
              <w:pStyle w:val="TableDataEntries"/>
              <w:rPr>
                <w:lang w:val="en-GB"/>
              </w:rPr>
            </w:pPr>
            <w:r>
              <w:rPr>
                <w:lang w:val="en-GB"/>
              </w:rPr>
              <w:t>-  4.82</w:t>
            </w:r>
          </w:p>
        </w:tc>
        <w:tc>
          <w:tcPr>
            <w:tcW w:w="103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E52231" w14:textId="77777777" w:rsidR="00ED0E85" w:rsidRDefault="00ED0E85" w:rsidP="00ED0E85">
            <w:pPr>
              <w:pStyle w:val="TableDataEntries"/>
              <w:rPr>
                <w:lang w:val="en-GB"/>
              </w:rPr>
            </w:pPr>
            <w:r>
              <w:rPr>
                <w:lang w:val="en-GB"/>
              </w:rPr>
              <w:t xml:space="preserve">  1.21</w:t>
            </w:r>
          </w:p>
        </w:tc>
      </w:tr>
      <w:tr w:rsidR="00ED0E85" w:rsidRPr="00DD4CE6" w14:paraId="599DC7D6" w14:textId="77777777" w:rsidTr="00ED0E85">
        <w:trPr>
          <w:trHeight w:val="230"/>
        </w:trPr>
        <w:tc>
          <w:tcPr>
            <w:tcW w:w="352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AD6AC53" w14:textId="77777777" w:rsidR="00ED0E85" w:rsidRPr="00DD4CE6" w:rsidRDefault="00ED0E85" w:rsidP="00ED0E85">
            <w:pPr>
              <w:pStyle w:val="TableDataEntries"/>
              <w:jc w:val="left"/>
              <w:rPr>
                <w:rFonts w:ascii="Franklin Gothic Demi" w:hAnsi="Franklin Gothic Demi"/>
                <w:lang w:val="en-GB"/>
              </w:rPr>
            </w:pPr>
            <w:r w:rsidRPr="00DD4CE6">
              <w:rPr>
                <w:rFonts w:ascii="Franklin Gothic Demi" w:hAnsi="Franklin Gothic Demi"/>
                <w:lang w:val="en-GB"/>
              </w:rPr>
              <w:t>Net benefit/cost</w:t>
            </w:r>
          </w:p>
        </w:tc>
        <w:tc>
          <w:tcPr>
            <w:tcW w:w="110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89DCA6A" w14:textId="77777777" w:rsidR="00ED0E85" w:rsidRPr="00DD4CE6" w:rsidRDefault="00ED0E85" w:rsidP="00ED0E85">
            <w:pPr>
              <w:pStyle w:val="TableDataEntries"/>
              <w:rPr>
                <w:rFonts w:ascii="Franklin Gothic Demi" w:hAnsi="Franklin Gothic Demi"/>
                <w:lang w:val="en-GB"/>
              </w:rPr>
            </w:pPr>
            <w:r w:rsidRPr="00DD4CE6">
              <w:rPr>
                <w:rFonts w:ascii="Franklin Gothic Demi" w:hAnsi="Franklin Gothic Demi"/>
                <w:lang w:val="en-GB"/>
              </w:rPr>
              <w:t>-  149.06</w:t>
            </w:r>
          </w:p>
        </w:tc>
        <w:tc>
          <w:tcPr>
            <w:tcW w:w="110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86B0B51" w14:textId="77777777" w:rsidR="00ED0E85" w:rsidRPr="00DD4CE6" w:rsidRDefault="00ED0E85" w:rsidP="00ED0E85">
            <w:pPr>
              <w:pStyle w:val="TableDataEntries"/>
              <w:rPr>
                <w:rFonts w:ascii="Franklin Gothic Demi" w:hAnsi="Franklin Gothic Demi"/>
                <w:lang w:val="en-GB"/>
              </w:rPr>
            </w:pPr>
            <w:r w:rsidRPr="00DD4CE6">
              <w:rPr>
                <w:rFonts w:ascii="Franklin Gothic Demi" w:hAnsi="Franklin Gothic Demi"/>
                <w:lang w:val="en-GB"/>
              </w:rPr>
              <w:t>-  15.02</w:t>
            </w:r>
          </w:p>
        </w:tc>
        <w:tc>
          <w:tcPr>
            <w:tcW w:w="117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D9DEEDA" w14:textId="77777777" w:rsidR="00ED0E85" w:rsidRPr="00DD4CE6" w:rsidRDefault="00ED0E85" w:rsidP="00ED0E85">
            <w:pPr>
              <w:pStyle w:val="TableDataEntries"/>
              <w:rPr>
                <w:rFonts w:ascii="Franklin Gothic Demi" w:hAnsi="Franklin Gothic Demi"/>
                <w:lang w:val="en-GB"/>
              </w:rPr>
            </w:pPr>
            <w:r w:rsidRPr="00DD4CE6">
              <w:rPr>
                <w:rFonts w:ascii="Franklin Gothic Demi" w:hAnsi="Franklin Gothic Demi"/>
                <w:lang w:val="en-GB"/>
              </w:rPr>
              <w:t>-  26.06</w:t>
            </w:r>
          </w:p>
        </w:tc>
        <w:tc>
          <w:tcPr>
            <w:tcW w:w="1030"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EE10586" w14:textId="77777777" w:rsidR="00ED0E85" w:rsidRPr="00DD4CE6" w:rsidRDefault="00ED0E85" w:rsidP="00ED0E85">
            <w:pPr>
              <w:pStyle w:val="TableDataEntries"/>
              <w:rPr>
                <w:rFonts w:ascii="Franklin Gothic Demi" w:hAnsi="Franklin Gothic Demi"/>
                <w:lang w:val="en-GB"/>
              </w:rPr>
            </w:pPr>
            <w:r w:rsidRPr="00DD4CE6">
              <w:rPr>
                <w:rFonts w:ascii="Franklin Gothic Demi" w:hAnsi="Franklin Gothic Demi"/>
                <w:lang w:val="en-GB"/>
              </w:rPr>
              <w:t xml:space="preserve">  60.99</w:t>
            </w:r>
          </w:p>
        </w:tc>
      </w:tr>
    </w:tbl>
    <w:p w14:paraId="150834A3" w14:textId="77777777" w:rsidR="00ED0E85" w:rsidRDefault="00ED0E85" w:rsidP="00ED0E85">
      <w:pPr>
        <w:pStyle w:val="Note"/>
      </w:pPr>
      <w:r w:rsidRPr="007D1B4F">
        <w:rPr>
          <w:i/>
        </w:rPr>
        <w:t>Note:</w:t>
      </w:r>
      <w:r w:rsidRPr="00E879B8">
        <w:t xml:space="preserve"> </w:t>
      </w:r>
      <w:r>
        <w:t>Costs and benefits are expressed in net present value terms based on the impacts over 10 years, using a discount rate of 7 per cent. As the benefits of energy efficiency measures implemented during this period are likely to endure over time, the benefits have been extended by an additional 10 years.</w:t>
      </w:r>
    </w:p>
    <w:p w14:paraId="76D80729" w14:textId="77777777" w:rsidR="00ED0E85" w:rsidRDefault="00ED0E85" w:rsidP="00ED0E85">
      <w:pPr>
        <w:pStyle w:val="Source"/>
      </w:pPr>
      <w:r>
        <w:rPr>
          <w:i/>
        </w:rPr>
        <w:t>Source</w:t>
      </w:r>
      <w:r w:rsidRPr="00E4232C">
        <w:rPr>
          <w:i/>
        </w:rPr>
        <w:t>:</w:t>
      </w:r>
      <w:r>
        <w:t xml:space="preserve"> CIE estimates.</w:t>
      </w:r>
    </w:p>
    <w:p w14:paraId="5897A7B4" w14:textId="77777777" w:rsidR="00ED0E85" w:rsidRDefault="00ED0E85" w:rsidP="00ED0E85">
      <w:pPr>
        <w:pStyle w:val="BodyText"/>
      </w:pPr>
      <w:r>
        <w:t>Costs and benefits are expressed in net present value terms based on the impacts of the proposed mandatory disclosure options over 10 years, using a discount rate of 7 per cent. However, as the benefits of energy efficiency measures implemented over this period would be expected to endure over time, the benefits have been extended by an additional 10 years. Details on our approach to estimating costs and benefits are outlined below.</w:t>
      </w:r>
    </w:p>
    <w:p w14:paraId="4D098F50" w14:textId="77777777" w:rsidR="00ED0E85" w:rsidRDefault="00ED0E85" w:rsidP="00ED0E85">
      <w:pPr>
        <w:pStyle w:val="Heading3"/>
        <w:numPr>
          <w:ilvl w:val="2"/>
          <w:numId w:val="5"/>
        </w:numPr>
      </w:pPr>
      <w:r>
        <w:t>Office space covered under each option</w:t>
      </w:r>
    </w:p>
    <w:p w14:paraId="02CBD1A0" w14:textId="77777777" w:rsidR="00ED0E85" w:rsidRDefault="00ED0E85" w:rsidP="00ED0E85">
      <w:pPr>
        <w:pStyle w:val="BodyText"/>
      </w:pPr>
      <w:r>
        <w:t>As the proposed thresholds for tenancies generally align with the current CBD Program thresholds, most buildings containing tenancies that would be covered by the proposed tenancy disclosure requirements would be included in the CBD Program database. Based on the CBD Program database, we estimate that:</w:t>
      </w:r>
    </w:p>
    <w:p w14:paraId="60358745" w14:textId="77777777" w:rsidR="00ED0E85" w:rsidRDefault="00ED0E85" w:rsidP="00ED0E85">
      <w:pPr>
        <w:pStyle w:val="ListBullet"/>
      </w:pPr>
      <w:r>
        <w:t>Around 1620 office buildings could be affected by the proposed disclosure requirements for tenancies.</w:t>
      </w:r>
    </w:p>
    <w:p w14:paraId="009338FD" w14:textId="77777777" w:rsidR="00ED0E85" w:rsidRDefault="00ED0E85" w:rsidP="00ED0E85">
      <w:pPr>
        <w:pStyle w:val="ListBullet"/>
      </w:pPr>
      <w:r>
        <w:t>We estimate the total net lettable area of these buildings is around 19.5 million m</w:t>
      </w:r>
      <w:r w:rsidRPr="00ED7520">
        <w:rPr>
          <w:vertAlign w:val="superscript"/>
        </w:rPr>
        <w:t>2</w:t>
      </w:r>
      <w:r>
        <w:t>.</w:t>
      </w:r>
    </w:p>
    <w:p w14:paraId="2AFE0100" w14:textId="77777777" w:rsidR="00ED0E85" w:rsidRDefault="00ED0E85" w:rsidP="00ED0E85">
      <w:pPr>
        <w:pStyle w:val="BodyText"/>
      </w:pPr>
      <w:r>
        <w:t>The estimated floor space covered by each option are as follows.</w:t>
      </w:r>
    </w:p>
    <w:p w14:paraId="6D793497" w14:textId="77777777" w:rsidR="00ED0E85" w:rsidRDefault="00ED0E85" w:rsidP="00ED0E85">
      <w:pPr>
        <w:pStyle w:val="ListBullet"/>
      </w:pPr>
      <w:r>
        <w:t xml:space="preserve">Under Option 1A and 1B, the size threshold is defined in terms of the floor area of the tenancy. As such, not all of the NLA in these buildings would be covered by mandatory disclosure requirements. </w:t>
      </w:r>
    </w:p>
    <w:p w14:paraId="5DE37728" w14:textId="77777777" w:rsidR="00ED0E85" w:rsidRDefault="00ED0E85" w:rsidP="00ED0E85">
      <w:pPr>
        <w:pStyle w:val="ListBullet2"/>
      </w:pPr>
      <w:r>
        <w:t>We assume that 30 per cent of the floor area within these building would not require a NABERS rating based on market data suggesting that around 30 per cent of tenancies (by area) are less than the 1000 m</w:t>
      </w:r>
      <w:r w:rsidRPr="00ED7520">
        <w:rPr>
          <w:vertAlign w:val="superscript"/>
        </w:rPr>
        <w:t>2</w:t>
      </w:r>
      <w:r>
        <w:t xml:space="preserve"> threshold.</w:t>
      </w:r>
    </w:p>
    <w:p w14:paraId="7A5F2A25" w14:textId="77777777" w:rsidR="00ED0E85" w:rsidRDefault="00ED0E85" w:rsidP="00ED0E85">
      <w:pPr>
        <w:pStyle w:val="ListBullet2"/>
      </w:pPr>
      <w:r>
        <w:t>This implies that around 13.6 million m</w:t>
      </w:r>
      <w:r w:rsidRPr="001942C0">
        <w:rPr>
          <w:vertAlign w:val="superscript"/>
        </w:rPr>
        <w:t>2</w:t>
      </w:r>
      <w:r>
        <w:t xml:space="preserve"> of office space would be covered by the proposed mandatory disclosure arrangements.</w:t>
      </w:r>
    </w:p>
    <w:p w14:paraId="2FE0CDDF" w14:textId="77777777" w:rsidR="00ED0E85" w:rsidRDefault="00ED0E85" w:rsidP="00ED0E85">
      <w:pPr>
        <w:pStyle w:val="ListBullet"/>
      </w:pPr>
      <w:r>
        <w:t>Under Option 2A and 2B, the size threshold is defined in terms of the building. Therefore, all of the tenancies within the relevant buildings would be covered by the mandatory disclosure requirements.</w:t>
      </w:r>
    </w:p>
    <w:p w14:paraId="5E46A460" w14:textId="77777777" w:rsidR="00ED0E85" w:rsidRDefault="00ED0E85" w:rsidP="00ED0E85">
      <w:pPr>
        <w:pStyle w:val="Heading3"/>
        <w:numPr>
          <w:ilvl w:val="2"/>
          <w:numId w:val="5"/>
        </w:numPr>
      </w:pPr>
      <w:r>
        <w:t>Compliance costs</w:t>
      </w:r>
    </w:p>
    <w:p w14:paraId="571CD1D6" w14:textId="77777777" w:rsidR="00ED0E85" w:rsidRDefault="00ED0E85" w:rsidP="00ED0E85">
      <w:pPr>
        <w:pStyle w:val="BodyText"/>
      </w:pPr>
      <w:r>
        <w:t>The proposed options could change compliance costs in relation to:</w:t>
      </w:r>
    </w:p>
    <w:p w14:paraId="07AAEC37" w14:textId="77777777" w:rsidR="00ED0E85" w:rsidRDefault="00ED0E85" w:rsidP="00ED0E85">
      <w:pPr>
        <w:pStyle w:val="ListBullet"/>
      </w:pPr>
      <w:r>
        <w:t>office tenancies</w:t>
      </w:r>
    </w:p>
    <w:p w14:paraId="4334BBEB" w14:textId="77777777" w:rsidR="00ED0E85" w:rsidRDefault="00ED0E85" w:rsidP="00ED0E85">
      <w:pPr>
        <w:pStyle w:val="ListBullet"/>
      </w:pPr>
      <w:r>
        <w:t>base buildings</w:t>
      </w:r>
    </w:p>
    <w:p w14:paraId="5919FA37" w14:textId="77777777" w:rsidR="00ED0E85" w:rsidRPr="00BC3581" w:rsidRDefault="00ED0E85" w:rsidP="00ED0E85">
      <w:pPr>
        <w:pStyle w:val="Heading4"/>
        <w:numPr>
          <w:ilvl w:val="3"/>
          <w:numId w:val="5"/>
        </w:numPr>
      </w:pPr>
      <w:r>
        <w:t>Compliance costs for tenancies</w:t>
      </w:r>
    </w:p>
    <w:p w14:paraId="54A0F3A2" w14:textId="77777777" w:rsidR="00ED0E85" w:rsidRDefault="00ED0E85" w:rsidP="00ED0E85">
      <w:pPr>
        <w:pStyle w:val="BodyText"/>
      </w:pPr>
      <w:r>
        <w:t>Compliance costs will vary across the 2 options. Compliance costs will include:</w:t>
      </w:r>
    </w:p>
    <w:p w14:paraId="3DAF7E05" w14:textId="77777777" w:rsidR="00ED0E85" w:rsidRDefault="00ED0E85" w:rsidP="00ED0E85">
      <w:pPr>
        <w:pStyle w:val="ListBullet"/>
      </w:pPr>
      <w:r>
        <w:t>the consulting fees of the NABERS assessor</w:t>
      </w:r>
    </w:p>
    <w:p w14:paraId="10825C70" w14:textId="77777777" w:rsidR="00ED0E85" w:rsidRDefault="00ED0E85" w:rsidP="00ED0E85">
      <w:pPr>
        <w:pStyle w:val="ListBullet"/>
      </w:pPr>
      <w:r>
        <w:t>NABERS lodgement fees</w:t>
      </w:r>
    </w:p>
    <w:p w14:paraId="7420E743" w14:textId="77777777" w:rsidR="00ED0E85" w:rsidRDefault="00ED0E85" w:rsidP="00ED0E85">
      <w:pPr>
        <w:pStyle w:val="ListBullet"/>
      </w:pPr>
      <w:r>
        <w:t>the internal administration costs associated with arranging for a NABERS rating and gathering relevant documentation etc.</w:t>
      </w:r>
    </w:p>
    <w:p w14:paraId="2D54E67C" w14:textId="77777777" w:rsidR="00ED0E85" w:rsidRPr="005A1260" w:rsidRDefault="00ED0E85" w:rsidP="00ED0E85">
      <w:pPr>
        <w:pStyle w:val="ListBullet"/>
      </w:pPr>
      <w:r>
        <w:t>any costs associated with the disclosure requirements.</w:t>
      </w:r>
    </w:p>
    <w:p w14:paraId="2D1AE150" w14:textId="6185E8FA" w:rsidR="00ED0E85" w:rsidRDefault="00ED0E85" w:rsidP="00ED0E85">
      <w:pPr>
        <w:pStyle w:val="BodyText"/>
      </w:pPr>
      <w:r>
        <w:t>Of the assessors that responded to the CIE’s survey, only 13 provided information on the cost of office tenancy assessments, including only 2 that reported using the NABERS Co-assess tool. Based on this (albeit small) sample, there appears to be a relationship between the consulting fees and the NLA of the tenancies covered by the assessment (chart </w:t>
      </w:r>
      <w:r w:rsidR="004550CB">
        <w:rPr>
          <w:noProof/>
        </w:rPr>
        <w:fldChar w:fldCharType="begin"/>
      </w:r>
      <w:r w:rsidR="004550CB">
        <w:rPr>
          <w:noProof/>
        </w:rPr>
        <w:instrText xml:space="preserve"> REF _Caption9537 </w:instrText>
      </w:r>
      <w:r w:rsidR="004550CB">
        <w:rPr>
          <w:noProof/>
        </w:rPr>
        <w:fldChar w:fldCharType="separate"/>
      </w:r>
      <w:r w:rsidR="00AD3561">
        <w:rPr>
          <w:noProof/>
        </w:rPr>
        <w:t>6</w:t>
      </w:r>
      <w:r w:rsidR="00AD3561" w:rsidRPr="00695C93">
        <w:rPr>
          <w:noProof/>
        </w:rPr>
        <w:t>.</w:t>
      </w:r>
      <w:r w:rsidR="00AD3561">
        <w:rPr>
          <w:noProof/>
        </w:rPr>
        <w:t>10</w:t>
      </w:r>
      <w:r w:rsidR="004550CB">
        <w:rPr>
          <w:noProof/>
        </w:rPr>
        <w:fldChar w:fldCharType="end"/>
      </w:r>
      <w:r>
        <w:t>). There also appears to be a relationship between the consulting fees and the number of functional spaces as the number of functional spaces and NLA are highly correlated.</w:t>
      </w:r>
    </w:p>
    <w:bookmarkStart w:id="4072" w:name="_Hlk17211109"/>
    <w:p w14:paraId="7B4291BA" w14:textId="60A3F406"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6</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6</w:instrText>
      </w:r>
      <w:r w:rsidR="004550CB">
        <w:rPr>
          <w:noProof/>
        </w:rPr>
        <w:fldChar w:fldCharType="end"/>
      </w:r>
      <w:r w:rsidRPr="00695C93">
        <w:instrText xml:space="preserve">." </w:instrText>
      </w:r>
      <w:r w:rsidRPr="00695C93">
        <w:fldChar w:fldCharType="separate"/>
      </w:r>
      <w:r w:rsidR="00AD3561">
        <w:rPr>
          <w:noProof/>
        </w:rPr>
        <w:instrText>6</w:instrText>
      </w:r>
      <w:r w:rsidR="00AD3561"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rsidRPr="00695C93">
        <w:instrText xml:space="preserve">." </w:instrText>
      </w:r>
      <w:r w:rsidRPr="00695C93">
        <w:fldChar w:fldCharType="separate"/>
      </w:r>
      <w:r w:rsidR="00C353B5">
        <w:rPr>
          <w:noProof/>
        </w:rPr>
        <w:instrText>6</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6</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10</w:instrText>
      </w:r>
      <w:r w:rsidRPr="00695C93">
        <w:fldChar w:fldCharType="end"/>
      </w:r>
      <w:r w:rsidRPr="00695C93">
        <w:instrText xml:space="preserve">" "" </w:instrText>
      </w:r>
      <w:r w:rsidRPr="00695C93">
        <w:fldChar w:fldCharType="separate"/>
      </w:r>
      <w:bookmarkStart w:id="4073" w:name="_Caption7919"/>
      <w:bookmarkStart w:id="4074" w:name="_Caption2793"/>
      <w:bookmarkStart w:id="4075" w:name="_Caption1914"/>
      <w:bookmarkStart w:id="4076" w:name="_Caption8224"/>
      <w:bookmarkStart w:id="4077" w:name="_Caption0649"/>
      <w:bookmarkStart w:id="4078" w:name="_Caption6166"/>
      <w:bookmarkStart w:id="4079" w:name="_Caption3424"/>
      <w:bookmarkStart w:id="4080" w:name="_Caption6221"/>
      <w:bookmarkStart w:id="4081" w:name="_Caption0905"/>
      <w:bookmarkStart w:id="4082" w:name="_Caption7315"/>
      <w:bookmarkStart w:id="4083" w:name="_Caption9720"/>
      <w:bookmarkStart w:id="4084" w:name="_Caption2400"/>
      <w:bookmarkStart w:id="4085" w:name="_Caption9333"/>
      <w:bookmarkStart w:id="4086" w:name="_Caption1245"/>
      <w:bookmarkStart w:id="4087" w:name="_Caption1653"/>
      <w:bookmarkStart w:id="4088" w:name="_Caption6086"/>
      <w:bookmarkStart w:id="4089" w:name="_Caption4014"/>
      <w:bookmarkStart w:id="4090" w:name="_Caption5952"/>
      <w:bookmarkStart w:id="4091" w:name="_Caption1622"/>
      <w:bookmarkStart w:id="4092" w:name="_Caption3979"/>
      <w:bookmarkStart w:id="4093" w:name="_Caption8629"/>
      <w:bookmarkStart w:id="4094" w:name="_Caption3401"/>
      <w:bookmarkStart w:id="4095" w:name="_Caption0505"/>
      <w:bookmarkStart w:id="4096" w:name="_Caption6454"/>
      <w:bookmarkStart w:id="4097" w:name="_Caption8974"/>
      <w:bookmarkStart w:id="4098" w:name="_Caption0902"/>
      <w:bookmarkStart w:id="4099" w:name="_Caption6678"/>
      <w:bookmarkStart w:id="4100" w:name="_Caption7115"/>
      <w:bookmarkStart w:id="4101" w:name="_Caption4847"/>
      <w:bookmarkStart w:id="4102" w:name="_Caption1053"/>
      <w:bookmarkStart w:id="4103" w:name="_Caption5261"/>
      <w:bookmarkStart w:id="4104" w:name="_Caption2716"/>
      <w:bookmarkStart w:id="4105" w:name="_Caption4880"/>
      <w:bookmarkStart w:id="4106" w:name="_Caption3137"/>
      <w:bookmarkStart w:id="4107" w:name="_Caption0277"/>
      <w:bookmarkStart w:id="4108" w:name="_Caption9709"/>
      <w:bookmarkStart w:id="4109" w:name="_Caption8832"/>
      <w:bookmarkStart w:id="4110" w:name="_Caption7704"/>
      <w:bookmarkStart w:id="4111" w:name="_Caption3621"/>
      <w:bookmarkStart w:id="4112" w:name="_Caption3415"/>
      <w:bookmarkStart w:id="4113" w:name="_Caption4854"/>
      <w:bookmarkStart w:id="4114" w:name="_Caption4478"/>
      <w:bookmarkStart w:id="4115" w:name="_Caption5885"/>
      <w:bookmarkStart w:id="4116" w:name="_Caption9537"/>
      <w:bookmarkStart w:id="4117" w:name="_Caption9046"/>
      <w:bookmarkStart w:id="4118" w:name="_Caption1952"/>
      <w:bookmarkStart w:id="4119" w:name="_Caption5954"/>
      <w:bookmarkStart w:id="4120" w:name="_Caption2172"/>
      <w:bookmarkStart w:id="4121" w:name="_Caption4433"/>
      <w:bookmarkStart w:id="4122" w:name="_Caption8049"/>
      <w:bookmarkStart w:id="4123" w:name="_Caption0410"/>
      <w:bookmarkStart w:id="4124" w:name="_Caption2239"/>
      <w:bookmarkStart w:id="4125" w:name="_Caption0719"/>
      <w:bookmarkStart w:id="4126" w:name="_Caption9623"/>
      <w:bookmarkStart w:id="4127" w:name="_Caption6266"/>
      <w:bookmarkStart w:id="4128" w:name="_Caption4997"/>
      <w:bookmarkStart w:id="4129" w:name="_Caption9598"/>
      <w:bookmarkStart w:id="4130" w:name="_Caption4370"/>
      <w:bookmarkStart w:id="4131" w:name="_Caption5958"/>
      <w:bookmarkStart w:id="4132" w:name="_Caption5047"/>
      <w:bookmarkStart w:id="4133" w:name="_Caption1024"/>
      <w:bookmarkStart w:id="4134" w:name="_Caption2742"/>
      <w:bookmarkStart w:id="4135" w:name="_Toc19275612"/>
      <w:bookmarkStart w:id="4136" w:name="_Toc19276222"/>
      <w:bookmarkStart w:id="4137" w:name="_Toc19280221"/>
      <w:r w:rsidR="00C353B5">
        <w:rPr>
          <w:noProof/>
        </w:rPr>
        <w:t>6</w:t>
      </w:r>
      <w:r w:rsidR="00C353B5" w:rsidRPr="00695C93">
        <w:rPr>
          <w:noProof/>
        </w:rPr>
        <w:t>.</w:t>
      </w:r>
      <w:r w:rsidR="00C353B5">
        <w:rPr>
          <w:noProof/>
        </w:rPr>
        <w:t>10</w:t>
      </w:r>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r w:rsidRPr="00695C93">
        <w:fldChar w:fldCharType="end"/>
      </w:r>
      <w:r w:rsidRPr="00695C93">
        <w:tab/>
      </w:r>
      <w:r>
        <w:t>Relationship between consulting fees and net lettable area</w:t>
      </w:r>
      <w:bookmarkEnd w:id="4135"/>
      <w:bookmarkEnd w:id="4136"/>
      <w:bookmarkEnd w:id="4137"/>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22AB397E" w14:textId="77777777" w:rsidTr="00ED0E85">
        <w:trPr>
          <w:cantSplit/>
        </w:trPr>
        <w:tc>
          <w:tcPr>
            <w:tcW w:w="7938" w:type="dxa"/>
            <w:shd w:val="clear" w:color="auto" w:fill="E9E8E5" w:themeFill="background2"/>
          </w:tcPr>
          <w:p w14:paraId="43DD7A57" w14:textId="77777777" w:rsidR="00ED0E85" w:rsidRDefault="00ED0E85" w:rsidP="00ED0E85">
            <w:pPr>
              <w:pStyle w:val="Chart"/>
              <w:jc w:val="center"/>
            </w:pPr>
            <w:r w:rsidRPr="00905F37">
              <w:rPr>
                <w:noProof/>
                <w:lang w:eastAsia="en-AU"/>
              </w:rPr>
              <w:drawing>
                <wp:inline distT="0" distB="0" distL="0" distR="0" wp14:anchorId="4D7A1B68" wp14:editId="607A3494">
                  <wp:extent cx="4876800" cy="253365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76800" cy="2533650"/>
                          </a:xfrm>
                          <a:prstGeom prst="rect">
                            <a:avLst/>
                          </a:prstGeom>
                          <a:noFill/>
                          <a:ln>
                            <a:noFill/>
                          </a:ln>
                        </pic:spPr>
                      </pic:pic>
                    </a:graphicData>
                  </a:graphic>
                </wp:inline>
              </w:drawing>
            </w:r>
          </w:p>
        </w:tc>
      </w:tr>
    </w:tbl>
    <w:p w14:paraId="1DC9611B" w14:textId="77777777" w:rsidR="00ED0E85" w:rsidRPr="00A97BEC" w:rsidRDefault="00ED0E85" w:rsidP="00ED0E85">
      <w:pPr>
        <w:pStyle w:val="Note"/>
      </w:pPr>
      <w:r w:rsidRPr="00A97BEC">
        <w:rPr>
          <w:i/>
        </w:rPr>
        <w:t xml:space="preserve">Note: </w:t>
      </w:r>
      <w:r w:rsidRPr="00C12A4D">
        <w:t xml:space="preserve">Red </w:t>
      </w:r>
      <w:r>
        <w:t xml:space="preserve">dots denote </w:t>
      </w:r>
      <w:r w:rsidRPr="00C12A4D">
        <w:t xml:space="preserve">observations </w:t>
      </w:r>
      <w:r>
        <w:t>using</w:t>
      </w:r>
      <w:r w:rsidRPr="00C12A4D">
        <w:t xml:space="preserve"> the NABERS Co-assess tool.</w:t>
      </w:r>
    </w:p>
    <w:p w14:paraId="519F037A" w14:textId="77777777" w:rsidR="00ED0E85" w:rsidRDefault="00ED0E85" w:rsidP="00ED0E85">
      <w:pPr>
        <w:pStyle w:val="Source"/>
      </w:pPr>
      <w:r>
        <w:rPr>
          <w:i/>
        </w:rPr>
        <w:t>Data source</w:t>
      </w:r>
      <w:r w:rsidRPr="00A67576">
        <w:rPr>
          <w:i/>
        </w:rPr>
        <w:t>:</w:t>
      </w:r>
      <w:r>
        <w:t xml:space="preserve"> CIE survey of assessors.</w:t>
      </w:r>
    </w:p>
    <w:bookmarkEnd w:id="4072"/>
    <w:p w14:paraId="5C5541C6" w14:textId="77777777" w:rsidR="00ED0E85" w:rsidRDefault="00ED0E85" w:rsidP="00ED0E85">
      <w:pPr>
        <w:pStyle w:val="BodyText"/>
      </w:pPr>
      <w:r>
        <w:t>This relationship implies a fixed cost of around $1334 for each rating plus an additional $147.50 for each additional 1000 m</w:t>
      </w:r>
      <w:r w:rsidRPr="002D1994">
        <w:rPr>
          <w:vertAlign w:val="superscript"/>
        </w:rPr>
        <w:t>2</w:t>
      </w:r>
      <w:r>
        <w:t xml:space="preserve"> of floor space. Although there are only 2 observations using the co-assess tool, they do not appear to be significant outliers compared to the other observations. That said, presumably use of the co-assess tool would avoid the need to incur the fixed component of the consultation fees multiple times and would therefore reduce costs significantly.</w:t>
      </w:r>
    </w:p>
    <w:p w14:paraId="4DC93CB2" w14:textId="77777777" w:rsidR="00ED0E85" w:rsidRDefault="00ED0E85" w:rsidP="00ED0E85">
      <w:pPr>
        <w:pStyle w:val="BodyText"/>
      </w:pPr>
      <w:r>
        <w:t>In addition, where tenancies are rated using the co</w:t>
      </w:r>
      <w:r>
        <w:noBreakHyphen/>
        <w:t>assess tool, there are likely to be significant savings on NABERS lodgement fees.</w:t>
      </w:r>
    </w:p>
    <w:p w14:paraId="3C2A447E" w14:textId="77777777" w:rsidR="00ED0E85" w:rsidRDefault="00ED0E85" w:rsidP="00ED0E85">
      <w:pPr>
        <w:pStyle w:val="ListBullet"/>
      </w:pPr>
      <w:r>
        <w:t>A single tenancy greater than 1000 m</w:t>
      </w:r>
      <w:r w:rsidRPr="00AF34B7">
        <w:rPr>
          <w:vertAlign w:val="superscript"/>
        </w:rPr>
        <w:t>2</w:t>
      </w:r>
      <w:r>
        <w:t xml:space="preserve"> incurs a NABERS lodgement fee of $1108.18.</w:t>
      </w:r>
      <w:r>
        <w:rPr>
          <w:rStyle w:val="FootnoteReference"/>
        </w:rPr>
        <w:footnoteReference w:id="39"/>
      </w:r>
    </w:p>
    <w:p w14:paraId="3C9268B8" w14:textId="77777777" w:rsidR="00ED0E85" w:rsidRDefault="00ED0E85" w:rsidP="00ED0E85">
      <w:pPr>
        <w:pStyle w:val="ListBullet"/>
      </w:pPr>
      <w:r>
        <w:t>A co-assessed building incurs a NABERS lodgement fees of $2215.45, including the base building and tenancies. As the lodgement fees for a base building rating are $1108.18, this implies the marginal cost for all of the tenancies covered by the co-assessment would be $1107.27.</w:t>
      </w:r>
    </w:p>
    <w:p w14:paraId="57C8379B" w14:textId="77777777" w:rsidR="00ED0E85" w:rsidRDefault="00ED0E85" w:rsidP="00ED0E85">
      <w:pPr>
        <w:pStyle w:val="BodyText"/>
      </w:pPr>
      <w:r>
        <w:t>Similarly, there are likely to be significant internal administration cost savings where all tenancies in a building are assessed together. We previously estimated internal administration costs are around $1000 for each rating. This implies that:</w:t>
      </w:r>
    </w:p>
    <w:p w14:paraId="370A0A34" w14:textId="77777777" w:rsidR="00ED0E85" w:rsidRDefault="00ED0E85" w:rsidP="00ED0E85">
      <w:pPr>
        <w:pStyle w:val="ListBullet"/>
      </w:pPr>
      <w:r>
        <w:t>Under Options 1A and 1B (where each tenant organises their own rating), each tenant would incur a cost of $1000 for each rating.</w:t>
      </w:r>
    </w:p>
    <w:p w14:paraId="17363F04" w14:textId="77777777" w:rsidR="00ED0E85" w:rsidRDefault="00ED0E85" w:rsidP="00ED0E85">
      <w:pPr>
        <w:pStyle w:val="ListBullet"/>
      </w:pPr>
      <w:r>
        <w:t>Under Options 2A and 2B (where all tenancies are assessed together), the building owner/manager would incur an internal administration cost of $1000 for each building (which would presumably be passed onto tenants).</w:t>
      </w:r>
    </w:p>
    <w:p w14:paraId="171C32EE" w14:textId="77777777" w:rsidR="00ED0E85" w:rsidRDefault="00ED0E85" w:rsidP="00ED0E85">
      <w:pPr>
        <w:pStyle w:val="BodyText"/>
      </w:pPr>
      <w:r>
        <w:t>To estimate compliance costs, we also make the following assumptions.</w:t>
      </w:r>
    </w:p>
    <w:p w14:paraId="2FDA89F6" w14:textId="77777777" w:rsidR="00ED0E85" w:rsidRDefault="00ED0E85" w:rsidP="00ED0E85">
      <w:pPr>
        <w:pStyle w:val="ListBullet"/>
      </w:pPr>
      <w:r>
        <w:t>Data availability on the number of tenancies or the average floor space per tenancy is limited.</w:t>
      </w:r>
    </w:p>
    <w:p w14:paraId="6DEB705D" w14:textId="77777777" w:rsidR="00ED0E85" w:rsidRDefault="00ED0E85" w:rsidP="00ED0E85">
      <w:pPr>
        <w:pStyle w:val="ListBullet2"/>
      </w:pPr>
      <w:r>
        <w:t xml:space="preserve">The average floor space of tenancies with a voluntary NABERS rating is around </w:t>
      </w:r>
      <w:r w:rsidRPr="009253DC">
        <w:t>5000 m</w:t>
      </w:r>
      <w:r w:rsidRPr="009253DC">
        <w:rPr>
          <w:vertAlign w:val="superscript"/>
        </w:rPr>
        <w:t>2</w:t>
      </w:r>
      <w:r>
        <w:t xml:space="preserve">. However, this is likely to significantly overstate the true average because larger tenancies are more likely to rate voluntarily. </w:t>
      </w:r>
    </w:p>
    <w:p w14:paraId="7C42A35B" w14:textId="77777777" w:rsidR="00ED0E85" w:rsidRDefault="00ED0E85" w:rsidP="00ED0E85">
      <w:pPr>
        <w:pStyle w:val="ListBullet2"/>
      </w:pPr>
      <w:r>
        <w:t>To estimate the number of tenancies within each building, we assume an average tenancy of 2500 m</w:t>
      </w:r>
      <w:r w:rsidRPr="00ED7520">
        <w:rPr>
          <w:vertAlign w:val="superscript"/>
        </w:rPr>
        <w:t>2</w:t>
      </w:r>
      <w:r>
        <w:t>.</w:t>
      </w:r>
    </w:p>
    <w:p w14:paraId="2381D8C4" w14:textId="77777777" w:rsidR="00ED0E85" w:rsidRDefault="00ED0E85" w:rsidP="00ED0E85">
      <w:pPr>
        <w:pStyle w:val="ListBullet"/>
      </w:pPr>
      <w:r>
        <w:t>As only tenants that have occupied office space for a full year at the time of the base building rating would require a tenancy rating, we assume that 15 per cent of tenants would not require a rating in any given year (based on an assumed turnover rate of 15 per cent).</w:t>
      </w:r>
    </w:p>
    <w:p w14:paraId="476590AC" w14:textId="77777777" w:rsidR="00ED0E85" w:rsidRDefault="00ED0E85" w:rsidP="00ED0E85">
      <w:pPr>
        <w:pStyle w:val="BodyText"/>
      </w:pPr>
      <w:r>
        <w:t>Based on these assumptions, annual compliance costs for office tenancies are estimated at around:</w:t>
      </w:r>
    </w:p>
    <w:p w14:paraId="1E6BFC8A" w14:textId="77777777" w:rsidR="00ED0E85" w:rsidRDefault="00ED0E85" w:rsidP="00ED0E85">
      <w:pPr>
        <w:pStyle w:val="ListBullet"/>
      </w:pPr>
      <w:r>
        <w:t>$17.6 million per year under Options 1A (and half this under Option 1B given that a rating is required only once every 2 years)</w:t>
      </w:r>
    </w:p>
    <w:p w14:paraId="2FC3FCBF" w14:textId="77777777" w:rsidR="00ED0E85" w:rsidRDefault="00ED0E85" w:rsidP="00ED0E85">
      <w:pPr>
        <w:pStyle w:val="ListBullet"/>
      </w:pPr>
      <w:r>
        <w:t>$7.16 million per year under Option 2A (and half this under Option 2B given that a rating is required only once every 2 years).</w:t>
      </w:r>
    </w:p>
    <w:p w14:paraId="0CC3F139" w14:textId="77777777" w:rsidR="00ED0E85" w:rsidRDefault="00ED0E85" w:rsidP="00ED0E85">
      <w:pPr>
        <w:pStyle w:val="Heading4"/>
        <w:numPr>
          <w:ilvl w:val="3"/>
          <w:numId w:val="5"/>
        </w:numPr>
      </w:pPr>
      <w:r>
        <w:t>Compliance costs for base buildings</w:t>
      </w:r>
    </w:p>
    <w:p w14:paraId="5409D645" w14:textId="77777777" w:rsidR="00ED0E85" w:rsidRDefault="00ED0E85" w:rsidP="00ED0E85">
      <w:pPr>
        <w:pStyle w:val="BodyText"/>
      </w:pPr>
      <w:r>
        <w:t>In addition to the compliance costs for office tenancies, some options would affect the compliance costs for base buildings. In particular, under Options 2A and 2B, the trigger for a base building rating would change from sale or lease to periodic.</w:t>
      </w:r>
    </w:p>
    <w:p w14:paraId="186E089C" w14:textId="77777777" w:rsidR="00ED0E85" w:rsidRDefault="00ED0E85" w:rsidP="00ED0E85">
      <w:pPr>
        <w:pStyle w:val="ListBullet"/>
      </w:pPr>
      <w:r>
        <w:t>In 2017-18 there were around 1550 NABERS base building or whole building ratings. This could increase slightly as the effects of reducing the threshold to 1000 m</w:t>
      </w:r>
      <w:r w:rsidRPr="009253DC">
        <w:rPr>
          <w:vertAlign w:val="superscript"/>
        </w:rPr>
        <w:t>2</w:t>
      </w:r>
      <w:r>
        <w:t xml:space="preserve"> fully flow through. We therefore assume around 1600 NABERS base building and whole building ratings per year under the baseline.</w:t>
      </w:r>
    </w:p>
    <w:p w14:paraId="504CFF98" w14:textId="77777777" w:rsidR="00ED0E85" w:rsidRDefault="00ED0E85" w:rsidP="00ED0E85">
      <w:pPr>
        <w:pStyle w:val="ListBullet"/>
      </w:pPr>
      <w:r>
        <w:t>Based on NABERS data, we estimate that each building in the NABERS systems obtains 0.6 ratings per year on average (i.e. on average, each building obtains a rating in 6 out of 10 years).</w:t>
      </w:r>
    </w:p>
    <w:p w14:paraId="34F64987" w14:textId="77777777" w:rsidR="00ED0E85" w:rsidRDefault="00ED0E85" w:rsidP="00ED0E85">
      <w:pPr>
        <w:pStyle w:val="ListBullet2"/>
      </w:pPr>
      <w:r>
        <w:t xml:space="preserve">If this increases to a rating every year under Option 2A, this implies a 67 per cent increase in the number of NABERS rating to around 2667 per year. </w:t>
      </w:r>
    </w:p>
    <w:p w14:paraId="676F9BAE" w14:textId="77777777" w:rsidR="00ED0E85" w:rsidRDefault="00ED0E85" w:rsidP="00ED0E85">
      <w:pPr>
        <w:pStyle w:val="ListBullet2"/>
      </w:pPr>
      <w:r>
        <w:t>However, if a rating is required only every 2 years as under Option 2B (i.e. 0.5 per year on average), this implies a decrease in the number of NABERS ratings of around 16.7 per cent to around 1333 per year (although some buildings may choose to rate every year anyway).</w:t>
      </w:r>
    </w:p>
    <w:p w14:paraId="3FB441AC" w14:textId="77777777" w:rsidR="00ED0E85" w:rsidRDefault="00ED0E85" w:rsidP="00ED0E85">
      <w:pPr>
        <w:pStyle w:val="ListBullet"/>
      </w:pPr>
      <w:r>
        <w:t>At an average cost of around $5400 per rating, this implies that base/whole building compliance costs would:</w:t>
      </w:r>
    </w:p>
    <w:p w14:paraId="014826B3" w14:textId="77777777" w:rsidR="00ED0E85" w:rsidRDefault="00ED0E85" w:rsidP="00ED0E85">
      <w:pPr>
        <w:pStyle w:val="ListBullet2"/>
      </w:pPr>
      <w:r>
        <w:t>increase by around $8.46 million per year under Option 2A</w:t>
      </w:r>
    </w:p>
    <w:p w14:paraId="480151E1" w14:textId="77777777" w:rsidR="00ED0E85" w:rsidRDefault="00ED0E85" w:rsidP="00ED0E85">
      <w:pPr>
        <w:pStyle w:val="ListBullet2"/>
      </w:pPr>
      <w:r>
        <w:t>decrease by around 1.69 million per year under Option 2B.</w:t>
      </w:r>
    </w:p>
    <w:p w14:paraId="75AF0F0F" w14:textId="77777777" w:rsidR="00ED0E85" w:rsidRDefault="00ED0E85" w:rsidP="00ED0E85">
      <w:pPr>
        <w:pStyle w:val="Heading4"/>
        <w:numPr>
          <w:ilvl w:val="3"/>
          <w:numId w:val="5"/>
        </w:numPr>
        <w:rPr>
          <w:lang w:eastAsia="en-US"/>
        </w:rPr>
      </w:pPr>
      <w:r>
        <w:rPr>
          <w:lang w:eastAsia="en-US"/>
        </w:rPr>
        <w:t>TLA cost savings</w:t>
      </w:r>
    </w:p>
    <w:p w14:paraId="57E1B473" w14:textId="77777777" w:rsidR="00ED0E85" w:rsidRDefault="00ED0E85" w:rsidP="00ED0E85">
      <w:pPr>
        <w:pStyle w:val="BodyText"/>
      </w:pPr>
      <w:r>
        <w:t>As NABERS ratings for office tenancies would replace TLAs, there would also be some compliance cost savings for TLAs.</w:t>
      </w:r>
    </w:p>
    <w:p w14:paraId="08D47F51" w14:textId="77777777" w:rsidR="00ED0E85" w:rsidRDefault="00ED0E85" w:rsidP="00ED0E85">
      <w:pPr>
        <w:pStyle w:val="BodyText"/>
      </w:pPr>
      <w:r>
        <w:t>The CBD database suggests there are typically 900</w:t>
      </w:r>
      <w:r>
        <w:noBreakHyphen/>
        <w:t>1000 TLAs every year. However, the number of TLAs has fallen significantly following the recent (from 1 July 2017) change requiring a TLA only every 5 years. We therefore estimate that the number of TLAs would be around 300 per year.</w:t>
      </w:r>
    </w:p>
    <w:p w14:paraId="5B24EA3D" w14:textId="77777777" w:rsidR="00ED0E85" w:rsidRDefault="00ED0E85" w:rsidP="00ED0E85">
      <w:pPr>
        <w:pStyle w:val="BodyText"/>
      </w:pPr>
      <w:r>
        <w:t>At an estimated cost of around $1460 for each TLA, this implies a cost saving of around $438 000 per year under all options.</w:t>
      </w:r>
    </w:p>
    <w:p w14:paraId="323B1F9F" w14:textId="77777777" w:rsidR="00ED0E85" w:rsidRDefault="00ED0E85" w:rsidP="00ED0E85">
      <w:pPr>
        <w:pStyle w:val="Heading3"/>
        <w:numPr>
          <w:ilvl w:val="2"/>
          <w:numId w:val="5"/>
        </w:numPr>
      </w:pPr>
      <w:r>
        <w:t>Energy savings</w:t>
      </w:r>
    </w:p>
    <w:p w14:paraId="2138DB19" w14:textId="77777777" w:rsidR="00ED0E85" w:rsidRDefault="00ED0E85" w:rsidP="00ED0E85">
      <w:pPr>
        <w:pStyle w:val="BodyText"/>
      </w:pPr>
      <w:r>
        <w:t>Unlike office base buildings, there is limited evidence to suggest that the improvement is strongly related to the initial star rating or the number of NABERS ratings.</w:t>
      </w:r>
    </w:p>
    <w:p w14:paraId="1D3A1ABC" w14:textId="77777777" w:rsidR="00ED0E85" w:rsidRDefault="00ED0E85" w:rsidP="00ED0E85">
      <w:pPr>
        <w:pStyle w:val="BodyText"/>
      </w:pPr>
      <w:r>
        <w:t>The CBA is based on the following assumptions.</w:t>
      </w:r>
    </w:p>
    <w:p w14:paraId="5920712B" w14:textId="77777777" w:rsidR="00ED0E85" w:rsidRPr="00140CBC" w:rsidRDefault="00ED0E85" w:rsidP="00ED0E85">
      <w:pPr>
        <w:pStyle w:val="ListBullet"/>
      </w:pPr>
      <w:r>
        <w:t>Each rated tenancy improves by 23.4 MJ per m</w:t>
      </w:r>
      <w:r w:rsidRPr="003C5252">
        <w:rPr>
          <w:vertAlign w:val="superscript"/>
        </w:rPr>
        <w:t>2</w:t>
      </w:r>
      <w:r>
        <w:t>, based on the average change achieved by tenants with a voluntary NABERS rating.</w:t>
      </w:r>
    </w:p>
    <w:p w14:paraId="4CA2546A" w14:textId="77777777" w:rsidR="00ED0E85" w:rsidRDefault="00ED0E85" w:rsidP="00ED0E85">
      <w:pPr>
        <w:pStyle w:val="ListBullet"/>
      </w:pPr>
      <w:r>
        <w:t>As there is limited reliable information on average changes in tenant energy consumption for those tenants under the baseline scenario (i.e. tenants without a NABERS rating), we assume no change.</w:t>
      </w:r>
    </w:p>
    <w:p w14:paraId="0A8D3F87" w14:textId="77777777" w:rsidR="00ED0E85" w:rsidRDefault="00ED0E85" w:rsidP="00ED0E85">
      <w:pPr>
        <w:pStyle w:val="BodyText"/>
      </w:pPr>
      <w:r>
        <w:t>Note that we apply the same energy efficiency improvement (for both office tenancies and base buildings) regardless of whether a rating is required annually or biennially (or at current frequencies under sale and lease requirements). It is possible that more frequent ratings could lead to greater improvements in energy efficiency. However, as the number of NABERS ratings and time are closely correlated, it is difficult to determine whether energy efficiency improvements (for base buildings) are driven by more ratings or a time trend.</w:t>
      </w:r>
    </w:p>
    <w:p w14:paraId="67CAC96D" w14:textId="77777777" w:rsidR="00ED0E85" w:rsidRDefault="00ED0E85" w:rsidP="00ED0E85">
      <w:pPr>
        <w:pStyle w:val="Heading3"/>
        <w:numPr>
          <w:ilvl w:val="2"/>
          <w:numId w:val="5"/>
        </w:numPr>
      </w:pPr>
      <w:r>
        <w:t>Upgrade costs</w:t>
      </w:r>
    </w:p>
    <w:p w14:paraId="699E3AF4" w14:textId="77777777" w:rsidR="00ED0E85" w:rsidRDefault="00ED0E85" w:rsidP="00ED0E85">
      <w:pPr>
        <w:pStyle w:val="BodyText"/>
      </w:pPr>
      <w:r>
        <w:t>There is limited information available on the changes tenants make to improve energy efficiency and the associated cost.</w:t>
      </w:r>
    </w:p>
    <w:p w14:paraId="7648931B" w14:textId="68EE0233" w:rsidR="00ED0E85" w:rsidRDefault="00ED0E85" w:rsidP="00ED0E85">
      <w:pPr>
        <w:pStyle w:val="BodyText"/>
      </w:pPr>
      <w:r>
        <w:t>The shift towards LED lighting is one factor that is likely to have improved the energy efficiency of tenants. As part of this study, the CIE engaged energy efficiency consultant Energy Action to prepare 3 case studies of the energy efficiency opportunities in actual buildings (an office building, a hotel and a shopping centre). Based on the office building case study there were 2 energy efficiency opportunities involving lighting upgrades relevant to tenancies. As with other energy efficiency opportunities, payback periods varied considerably (table </w:t>
      </w:r>
      <w:r w:rsidR="004550CB">
        <w:rPr>
          <w:noProof/>
        </w:rPr>
        <w:fldChar w:fldCharType="begin"/>
      </w:r>
      <w:r w:rsidR="004550CB">
        <w:rPr>
          <w:noProof/>
        </w:rPr>
        <w:instrText xml:space="preserve"> REF _Caption2776 </w:instrText>
      </w:r>
      <w:r w:rsidR="004550CB">
        <w:rPr>
          <w:noProof/>
        </w:rPr>
        <w:fldChar w:fldCharType="separate"/>
      </w:r>
      <w:r w:rsidR="00AD3561">
        <w:rPr>
          <w:noProof/>
        </w:rPr>
        <w:t>6</w:t>
      </w:r>
      <w:r w:rsidR="00AD3561" w:rsidRPr="00695C93">
        <w:rPr>
          <w:noProof/>
        </w:rPr>
        <w:t>.</w:t>
      </w:r>
      <w:r w:rsidR="00AD3561">
        <w:rPr>
          <w:noProof/>
        </w:rPr>
        <w:t>11</w:t>
      </w:r>
      <w:r w:rsidR="004550CB">
        <w:rPr>
          <w:noProof/>
        </w:rPr>
        <w:fldChar w:fldCharType="end"/>
      </w:r>
      <w:r>
        <w:t>).</w:t>
      </w:r>
    </w:p>
    <w:p w14:paraId="5940654C" w14:textId="12D7A3D1"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6</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6</w:instrText>
      </w:r>
      <w:r w:rsidR="004550CB">
        <w:rPr>
          <w:noProof/>
        </w:rPr>
        <w:fldChar w:fldCharType="end"/>
      </w:r>
      <w:r w:rsidRPr="00695C93">
        <w:instrText xml:space="preserve">." </w:instrText>
      </w:r>
      <w:r w:rsidRPr="00695C93">
        <w:fldChar w:fldCharType="separate"/>
      </w:r>
      <w:r w:rsidR="00AD3561">
        <w:rPr>
          <w:noProof/>
        </w:rPr>
        <w:instrText>6</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6</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6</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11</w:instrText>
      </w:r>
      <w:r w:rsidRPr="00695C93">
        <w:fldChar w:fldCharType="end"/>
      </w:r>
      <w:r w:rsidRPr="00695C93">
        <w:instrText xml:space="preserve">" "" </w:instrText>
      </w:r>
      <w:r w:rsidRPr="00695C93">
        <w:fldChar w:fldCharType="separate"/>
      </w:r>
      <w:bookmarkStart w:id="4138" w:name="_Caption3153"/>
      <w:bookmarkStart w:id="4139" w:name="_Caption3463"/>
      <w:bookmarkStart w:id="4140" w:name="_Caption7173"/>
      <w:bookmarkStart w:id="4141" w:name="_Caption6353"/>
      <w:bookmarkStart w:id="4142" w:name="_Caption5017"/>
      <w:bookmarkStart w:id="4143" w:name="_Caption5167"/>
      <w:bookmarkStart w:id="4144" w:name="_Caption1498"/>
      <w:bookmarkStart w:id="4145" w:name="_Caption6100"/>
      <w:bookmarkStart w:id="4146" w:name="_Caption4695"/>
      <w:bookmarkStart w:id="4147" w:name="_Caption9156"/>
      <w:bookmarkStart w:id="4148" w:name="_Caption0791"/>
      <w:bookmarkStart w:id="4149" w:name="_Caption6802"/>
      <w:bookmarkStart w:id="4150" w:name="_Caption3876"/>
      <w:bookmarkStart w:id="4151" w:name="_Caption9359"/>
      <w:bookmarkStart w:id="4152" w:name="_Caption6460"/>
      <w:bookmarkStart w:id="4153" w:name="_Caption9772"/>
      <w:bookmarkStart w:id="4154" w:name="_Caption2493"/>
      <w:bookmarkStart w:id="4155" w:name="_Caption0586"/>
      <w:bookmarkStart w:id="4156" w:name="_Caption9442"/>
      <w:bookmarkStart w:id="4157" w:name="_Caption1463"/>
      <w:bookmarkStart w:id="4158" w:name="_Caption8574"/>
      <w:bookmarkStart w:id="4159" w:name="_Caption4617"/>
      <w:bookmarkStart w:id="4160" w:name="_Caption3816"/>
      <w:bookmarkStart w:id="4161" w:name="_Caption4049"/>
      <w:bookmarkStart w:id="4162" w:name="_Caption8004"/>
      <w:bookmarkStart w:id="4163" w:name="_Caption8226"/>
      <w:bookmarkStart w:id="4164" w:name="_Caption4253"/>
      <w:bookmarkStart w:id="4165" w:name="_Caption2776"/>
      <w:bookmarkStart w:id="4166" w:name="_Caption8997"/>
      <w:bookmarkStart w:id="4167" w:name="_Caption9507"/>
      <w:bookmarkStart w:id="4168" w:name="_Caption5364"/>
      <w:bookmarkStart w:id="4169" w:name="_Caption6347"/>
      <w:bookmarkStart w:id="4170" w:name="_Caption0803"/>
      <w:bookmarkStart w:id="4171" w:name="_Caption3985"/>
      <w:bookmarkStart w:id="4172" w:name="_Caption0738"/>
      <w:bookmarkStart w:id="4173" w:name="_Caption2312"/>
      <w:bookmarkStart w:id="4174" w:name="_Caption2894"/>
      <w:bookmarkStart w:id="4175" w:name="_Caption1751"/>
      <w:bookmarkStart w:id="4176" w:name="_Caption0260"/>
      <w:bookmarkStart w:id="4177" w:name="_Caption3709"/>
      <w:bookmarkStart w:id="4178" w:name="_Caption1068"/>
      <w:bookmarkStart w:id="4179" w:name="_Caption2754"/>
      <w:bookmarkStart w:id="4180" w:name="_Toc19275613"/>
      <w:bookmarkStart w:id="4181" w:name="_Toc19276223"/>
      <w:bookmarkStart w:id="4182" w:name="_Toc19280222"/>
      <w:r w:rsidR="00C353B5">
        <w:rPr>
          <w:noProof/>
        </w:rPr>
        <w:t>6</w:t>
      </w:r>
      <w:r w:rsidR="00C353B5" w:rsidRPr="00695C93">
        <w:rPr>
          <w:noProof/>
        </w:rPr>
        <w:t>.</w:t>
      </w:r>
      <w:r w:rsidR="00C353B5">
        <w:rPr>
          <w:noProof/>
        </w:rPr>
        <w:t>11</w:t>
      </w:r>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r w:rsidRPr="00695C93">
        <w:fldChar w:fldCharType="end"/>
      </w:r>
      <w:r w:rsidRPr="00695C93">
        <w:tab/>
      </w:r>
      <w:r>
        <w:t>Energy efficiency opportunities — office building case study</w:t>
      </w:r>
      <w:bookmarkEnd w:id="4180"/>
      <w:bookmarkEnd w:id="4181"/>
      <w:bookmarkEnd w:id="4182"/>
    </w:p>
    <w:tbl>
      <w:tblPr>
        <w:tblW w:w="7937" w:type="dxa"/>
        <w:tblLayout w:type="fixed"/>
        <w:tblLook w:val="0000" w:firstRow="0" w:lastRow="0" w:firstColumn="0" w:lastColumn="0" w:noHBand="0" w:noVBand="0"/>
      </w:tblPr>
      <w:tblGrid>
        <w:gridCol w:w="2831"/>
        <w:gridCol w:w="851"/>
        <w:gridCol w:w="851"/>
        <w:gridCol w:w="851"/>
        <w:gridCol w:w="851"/>
        <w:gridCol w:w="851"/>
        <w:gridCol w:w="851"/>
      </w:tblGrid>
      <w:tr w:rsidR="00ED0E85" w14:paraId="1DB16435" w14:textId="77777777" w:rsidTr="00ED0E85">
        <w:trPr>
          <w:trHeight w:val="922"/>
          <w:tblHeader/>
        </w:trPr>
        <w:tc>
          <w:tcPr>
            <w:tcW w:w="2831" w:type="dxa"/>
            <w:shd w:val="clear" w:color="auto" w:fill="6F6652"/>
            <w:tcMar>
              <w:left w:w="57" w:type="dxa"/>
              <w:right w:w="57" w:type="dxa"/>
            </w:tcMar>
          </w:tcPr>
          <w:p w14:paraId="167B036E" w14:textId="77777777" w:rsidR="00ED0E85" w:rsidRDefault="00ED0E85" w:rsidP="00ED0E85">
            <w:pPr>
              <w:pStyle w:val="TableDataColumnHeading"/>
              <w:jc w:val="left"/>
              <w:rPr>
                <w:lang w:val="en-GB"/>
              </w:rPr>
            </w:pPr>
          </w:p>
        </w:tc>
        <w:tc>
          <w:tcPr>
            <w:tcW w:w="851" w:type="dxa"/>
            <w:shd w:val="clear" w:color="auto" w:fill="6F6652"/>
            <w:tcMar>
              <w:left w:w="57" w:type="dxa"/>
              <w:right w:w="57" w:type="dxa"/>
            </w:tcMar>
          </w:tcPr>
          <w:p w14:paraId="083F5F3E" w14:textId="77777777" w:rsidR="00ED0E85" w:rsidRDefault="00ED0E85" w:rsidP="00ED0E85">
            <w:pPr>
              <w:pStyle w:val="TableDataColumnHeading"/>
              <w:rPr>
                <w:lang w:val="en-GB"/>
              </w:rPr>
            </w:pPr>
            <w:r>
              <w:rPr>
                <w:lang w:val="en-GB"/>
              </w:rPr>
              <w:t>Annual electricity savings</w:t>
            </w:r>
          </w:p>
        </w:tc>
        <w:tc>
          <w:tcPr>
            <w:tcW w:w="851" w:type="dxa"/>
            <w:shd w:val="clear" w:color="auto" w:fill="6F6652"/>
            <w:tcMar>
              <w:left w:w="57" w:type="dxa"/>
              <w:right w:w="57" w:type="dxa"/>
            </w:tcMar>
          </w:tcPr>
          <w:p w14:paraId="02357D8E" w14:textId="77777777" w:rsidR="00ED0E85" w:rsidRDefault="00ED0E85" w:rsidP="00ED0E85">
            <w:pPr>
              <w:pStyle w:val="TableDataColumnHeading"/>
              <w:rPr>
                <w:lang w:val="en-GB"/>
              </w:rPr>
            </w:pPr>
            <w:r>
              <w:rPr>
                <w:lang w:val="en-GB"/>
              </w:rPr>
              <w:t>Annual gas savings</w:t>
            </w:r>
          </w:p>
        </w:tc>
        <w:tc>
          <w:tcPr>
            <w:tcW w:w="851" w:type="dxa"/>
            <w:shd w:val="clear" w:color="auto" w:fill="6F6652"/>
            <w:tcMar>
              <w:left w:w="57" w:type="dxa"/>
              <w:right w:w="57" w:type="dxa"/>
            </w:tcMar>
          </w:tcPr>
          <w:p w14:paraId="591E749F" w14:textId="77777777" w:rsidR="00ED0E85" w:rsidRDefault="00ED0E85" w:rsidP="00ED0E85">
            <w:pPr>
              <w:pStyle w:val="TableDataColumnHeading"/>
              <w:rPr>
                <w:lang w:val="en-GB"/>
              </w:rPr>
            </w:pPr>
            <w:r>
              <w:rPr>
                <w:lang w:val="en-GB"/>
              </w:rPr>
              <w:t>Annual financial saving</w:t>
            </w:r>
          </w:p>
        </w:tc>
        <w:tc>
          <w:tcPr>
            <w:tcW w:w="851" w:type="dxa"/>
            <w:shd w:val="clear" w:color="auto" w:fill="6F6652"/>
            <w:tcMar>
              <w:left w:w="57" w:type="dxa"/>
              <w:right w:w="57" w:type="dxa"/>
            </w:tcMar>
          </w:tcPr>
          <w:p w14:paraId="006CCEE9" w14:textId="77777777" w:rsidR="00ED0E85" w:rsidRDefault="00ED0E85" w:rsidP="00ED0E85">
            <w:pPr>
              <w:pStyle w:val="TableDataColumnHeading"/>
              <w:rPr>
                <w:lang w:val="en-GB"/>
              </w:rPr>
            </w:pPr>
            <w:r>
              <w:rPr>
                <w:lang w:val="en-GB"/>
              </w:rPr>
              <w:t>Annual emissions reduction</w:t>
            </w:r>
          </w:p>
        </w:tc>
        <w:tc>
          <w:tcPr>
            <w:tcW w:w="851" w:type="dxa"/>
            <w:shd w:val="clear" w:color="auto" w:fill="6F6652"/>
            <w:tcMar>
              <w:left w:w="57" w:type="dxa"/>
              <w:right w:w="57" w:type="dxa"/>
            </w:tcMar>
          </w:tcPr>
          <w:p w14:paraId="694A6E46" w14:textId="77777777" w:rsidR="00ED0E85" w:rsidRDefault="00ED0E85" w:rsidP="00ED0E85">
            <w:pPr>
              <w:pStyle w:val="TableDataColumnHeading"/>
              <w:rPr>
                <w:lang w:val="en-GB"/>
              </w:rPr>
            </w:pPr>
            <w:r>
              <w:rPr>
                <w:lang w:val="en-GB"/>
              </w:rPr>
              <w:t>Capital cost</w:t>
            </w:r>
          </w:p>
        </w:tc>
        <w:tc>
          <w:tcPr>
            <w:tcW w:w="851" w:type="dxa"/>
            <w:shd w:val="clear" w:color="auto" w:fill="6F6652"/>
            <w:tcMar>
              <w:left w:w="57" w:type="dxa"/>
              <w:right w:w="57" w:type="dxa"/>
            </w:tcMar>
          </w:tcPr>
          <w:p w14:paraId="67756505" w14:textId="77777777" w:rsidR="00ED0E85" w:rsidRDefault="00ED0E85" w:rsidP="00ED0E85">
            <w:pPr>
              <w:pStyle w:val="TableDataColumnHeading"/>
              <w:rPr>
                <w:lang w:val="en-GB"/>
              </w:rPr>
            </w:pPr>
            <w:r>
              <w:rPr>
                <w:lang w:val="en-GB"/>
              </w:rPr>
              <w:t>Payback</w:t>
            </w:r>
          </w:p>
        </w:tc>
      </w:tr>
      <w:tr w:rsidR="00ED0E85" w14:paraId="5FF4FB07" w14:textId="77777777" w:rsidTr="00ED0E85">
        <w:trPr>
          <w:trHeight w:val="230"/>
          <w:tblHeader/>
        </w:trPr>
        <w:tc>
          <w:tcPr>
            <w:tcW w:w="2831" w:type="dxa"/>
            <w:tcBorders>
              <w:bottom w:val="single" w:sz="8" w:space="0" w:color="FFFFFF" w:themeColor="background1"/>
            </w:tcBorders>
            <w:shd w:val="clear" w:color="auto" w:fill="auto"/>
            <w:tcMar>
              <w:left w:w="57" w:type="dxa"/>
              <w:right w:w="57" w:type="dxa"/>
            </w:tcMar>
          </w:tcPr>
          <w:p w14:paraId="395E149B" w14:textId="77777777" w:rsidR="00ED0E85" w:rsidRDefault="00ED0E85" w:rsidP="00ED0E85">
            <w:pPr>
              <w:pStyle w:val="TableUnit"/>
              <w:jc w:val="left"/>
              <w:rPr>
                <w:lang w:val="en-GB"/>
              </w:rPr>
            </w:pPr>
          </w:p>
        </w:tc>
        <w:tc>
          <w:tcPr>
            <w:tcW w:w="851" w:type="dxa"/>
            <w:tcBorders>
              <w:bottom w:val="single" w:sz="8" w:space="0" w:color="FFFFFF" w:themeColor="background1"/>
            </w:tcBorders>
            <w:shd w:val="clear" w:color="auto" w:fill="auto"/>
            <w:tcMar>
              <w:left w:w="57" w:type="dxa"/>
              <w:right w:w="57" w:type="dxa"/>
            </w:tcMar>
          </w:tcPr>
          <w:p w14:paraId="69493F7E" w14:textId="77777777" w:rsidR="00ED0E85" w:rsidRDefault="00ED0E85" w:rsidP="00ED0E85">
            <w:pPr>
              <w:pStyle w:val="TableUnit"/>
              <w:rPr>
                <w:lang w:val="en-GB"/>
              </w:rPr>
            </w:pPr>
            <w:r>
              <w:rPr>
                <w:lang w:val="en-GB"/>
              </w:rPr>
              <w:t>kWh</w:t>
            </w:r>
          </w:p>
        </w:tc>
        <w:tc>
          <w:tcPr>
            <w:tcW w:w="851" w:type="dxa"/>
            <w:tcBorders>
              <w:bottom w:val="single" w:sz="8" w:space="0" w:color="FFFFFF" w:themeColor="background1"/>
            </w:tcBorders>
            <w:shd w:val="clear" w:color="auto" w:fill="auto"/>
            <w:tcMar>
              <w:left w:w="57" w:type="dxa"/>
              <w:right w:w="57" w:type="dxa"/>
            </w:tcMar>
          </w:tcPr>
          <w:p w14:paraId="3A15C607" w14:textId="77777777" w:rsidR="00ED0E85" w:rsidRDefault="00ED0E85" w:rsidP="00ED0E85">
            <w:pPr>
              <w:pStyle w:val="TableUnit"/>
              <w:rPr>
                <w:lang w:val="en-GB"/>
              </w:rPr>
            </w:pPr>
            <w:r>
              <w:rPr>
                <w:lang w:val="en-GB"/>
              </w:rPr>
              <w:t>MJ</w:t>
            </w:r>
          </w:p>
        </w:tc>
        <w:tc>
          <w:tcPr>
            <w:tcW w:w="851" w:type="dxa"/>
            <w:tcBorders>
              <w:bottom w:val="single" w:sz="8" w:space="0" w:color="FFFFFF" w:themeColor="background1"/>
            </w:tcBorders>
            <w:shd w:val="clear" w:color="auto" w:fill="auto"/>
            <w:tcMar>
              <w:left w:w="57" w:type="dxa"/>
              <w:right w:w="57" w:type="dxa"/>
            </w:tcMar>
          </w:tcPr>
          <w:p w14:paraId="705ABAAE" w14:textId="77777777" w:rsidR="00ED0E85" w:rsidRDefault="00ED0E85" w:rsidP="00ED0E85">
            <w:pPr>
              <w:pStyle w:val="TableUnit"/>
              <w:rPr>
                <w:lang w:val="en-GB"/>
              </w:rPr>
            </w:pPr>
            <w:r>
              <w:rPr>
                <w:lang w:val="en-GB"/>
              </w:rPr>
              <w:t>$</w:t>
            </w:r>
          </w:p>
        </w:tc>
        <w:tc>
          <w:tcPr>
            <w:tcW w:w="851" w:type="dxa"/>
            <w:tcBorders>
              <w:bottom w:val="single" w:sz="8" w:space="0" w:color="FFFFFF" w:themeColor="background1"/>
            </w:tcBorders>
            <w:shd w:val="clear" w:color="auto" w:fill="auto"/>
            <w:tcMar>
              <w:left w:w="57" w:type="dxa"/>
              <w:right w:w="57" w:type="dxa"/>
            </w:tcMar>
          </w:tcPr>
          <w:p w14:paraId="63B891A1" w14:textId="77777777" w:rsidR="00ED0E85" w:rsidRDefault="00ED0E85" w:rsidP="00ED0E85">
            <w:pPr>
              <w:pStyle w:val="TableUnit"/>
              <w:rPr>
                <w:lang w:val="en-GB"/>
              </w:rPr>
            </w:pPr>
            <w:r>
              <w:rPr>
                <w:lang w:val="en-GB"/>
              </w:rPr>
              <w:t>kgCO</w:t>
            </w:r>
            <w:r w:rsidRPr="00A22B6A">
              <w:rPr>
                <w:vertAlign w:val="subscript"/>
                <w:lang w:val="en-GB"/>
              </w:rPr>
              <w:t>2-e</w:t>
            </w:r>
          </w:p>
        </w:tc>
        <w:tc>
          <w:tcPr>
            <w:tcW w:w="851" w:type="dxa"/>
            <w:tcBorders>
              <w:bottom w:val="single" w:sz="8" w:space="0" w:color="FFFFFF" w:themeColor="background1"/>
            </w:tcBorders>
            <w:shd w:val="clear" w:color="auto" w:fill="auto"/>
            <w:tcMar>
              <w:left w:w="57" w:type="dxa"/>
              <w:right w:w="57" w:type="dxa"/>
            </w:tcMar>
          </w:tcPr>
          <w:p w14:paraId="3AB7C766" w14:textId="77777777" w:rsidR="00ED0E85" w:rsidRDefault="00ED0E85" w:rsidP="00ED0E85">
            <w:pPr>
              <w:pStyle w:val="TableUnit"/>
              <w:rPr>
                <w:lang w:val="en-GB"/>
              </w:rPr>
            </w:pPr>
            <w:r>
              <w:rPr>
                <w:lang w:val="en-GB"/>
              </w:rPr>
              <w:t>$</w:t>
            </w:r>
          </w:p>
        </w:tc>
        <w:tc>
          <w:tcPr>
            <w:tcW w:w="851" w:type="dxa"/>
            <w:tcBorders>
              <w:bottom w:val="single" w:sz="8" w:space="0" w:color="FFFFFF" w:themeColor="background1"/>
            </w:tcBorders>
            <w:shd w:val="clear" w:color="auto" w:fill="auto"/>
            <w:tcMar>
              <w:left w:w="57" w:type="dxa"/>
              <w:right w:w="57" w:type="dxa"/>
            </w:tcMar>
          </w:tcPr>
          <w:p w14:paraId="37695BD6" w14:textId="77777777" w:rsidR="00ED0E85" w:rsidRDefault="00ED0E85" w:rsidP="00ED0E85">
            <w:pPr>
              <w:pStyle w:val="TableUnit"/>
              <w:rPr>
                <w:lang w:val="en-GB"/>
              </w:rPr>
            </w:pPr>
            <w:r>
              <w:rPr>
                <w:lang w:val="en-GB"/>
              </w:rPr>
              <w:t>Years</w:t>
            </w:r>
          </w:p>
        </w:tc>
      </w:tr>
      <w:tr w:rsidR="00ED0E85" w14:paraId="42C90587" w14:textId="77777777" w:rsidTr="00ED0E85">
        <w:trPr>
          <w:trHeight w:val="230"/>
        </w:trPr>
        <w:tc>
          <w:tcPr>
            <w:tcW w:w="283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4F3706" w14:textId="77777777" w:rsidR="00ED0E85" w:rsidRDefault="00ED0E85" w:rsidP="00ED0E85">
            <w:pPr>
              <w:pStyle w:val="TableDataEntries"/>
              <w:jc w:val="left"/>
              <w:rPr>
                <w:lang w:val="en-GB"/>
              </w:rPr>
            </w:pPr>
            <w:r>
              <w:rPr>
                <w:lang w:val="en-GB"/>
              </w:rPr>
              <w:t>Lighting controls upgrade and recommissioning</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FEC834" w14:textId="77777777" w:rsidR="00ED0E85" w:rsidRDefault="00ED0E85" w:rsidP="00ED0E85">
            <w:pPr>
              <w:pStyle w:val="TableDataEntries"/>
              <w:rPr>
                <w:lang w:val="en-GB"/>
              </w:rPr>
            </w:pPr>
            <w:r>
              <w:rPr>
                <w:lang w:val="en-GB"/>
              </w:rPr>
              <w:t xml:space="preserve"> 155 000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5369BA" w14:textId="77777777" w:rsidR="00ED0E85" w:rsidRDefault="00ED0E85" w:rsidP="00ED0E85">
            <w:pPr>
              <w:pStyle w:val="TableDataEntries"/>
              <w:rPr>
                <w:lang w:val="en-GB"/>
              </w:rPr>
            </w:pPr>
            <w:r>
              <w:rPr>
                <w:lang w:val="en-GB"/>
              </w:rPr>
              <w:t xml:space="preserve">  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0BE1B5" w14:textId="77777777" w:rsidR="00ED0E85" w:rsidRDefault="00ED0E85" w:rsidP="00ED0E85">
            <w:pPr>
              <w:pStyle w:val="TableDataEntries"/>
              <w:rPr>
                <w:lang w:val="en-GB"/>
              </w:rPr>
            </w:pPr>
            <w:r>
              <w:rPr>
                <w:lang w:val="en-GB"/>
              </w:rPr>
              <w:t xml:space="preserve"> 11 000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DEAE20" w14:textId="77777777" w:rsidR="00ED0E85" w:rsidRDefault="00ED0E85" w:rsidP="00ED0E85">
            <w:pPr>
              <w:pStyle w:val="TableDataEntries"/>
              <w:rPr>
                <w:lang w:val="en-GB"/>
              </w:rPr>
            </w:pPr>
            <w:r>
              <w:rPr>
                <w:lang w:val="en-GB"/>
              </w:rPr>
              <w:t xml:space="preserve"> 208 000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CAE581" w14:textId="77777777" w:rsidR="00ED0E85" w:rsidRDefault="00ED0E85" w:rsidP="00ED0E85">
            <w:pPr>
              <w:pStyle w:val="TableDataEntries"/>
              <w:rPr>
                <w:lang w:val="en-GB"/>
              </w:rPr>
            </w:pPr>
            <w:r>
              <w:rPr>
                <w:lang w:val="en-GB"/>
              </w:rPr>
              <w:t xml:space="preserve"> 22 000</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D364A6" w14:textId="77777777" w:rsidR="00ED0E85" w:rsidRDefault="00ED0E85" w:rsidP="00ED0E85">
            <w:pPr>
              <w:pStyle w:val="TableDataEntries"/>
              <w:rPr>
                <w:lang w:val="en-GB"/>
              </w:rPr>
            </w:pPr>
            <w:r>
              <w:rPr>
                <w:lang w:val="en-GB"/>
              </w:rPr>
              <w:t xml:space="preserve"> 3.0</w:t>
            </w:r>
          </w:p>
        </w:tc>
      </w:tr>
      <w:tr w:rsidR="00ED0E85" w14:paraId="0D2E7E51" w14:textId="77777777" w:rsidTr="00ED0E85">
        <w:trPr>
          <w:trHeight w:val="230"/>
        </w:trPr>
        <w:tc>
          <w:tcPr>
            <w:tcW w:w="2831" w:type="dxa"/>
            <w:tcBorders>
              <w:top w:val="single" w:sz="8" w:space="0" w:color="FFFFFF" w:themeColor="background1"/>
              <w:bottom w:val="single" w:sz="6" w:space="0" w:color="6F6652"/>
            </w:tcBorders>
            <w:shd w:val="clear" w:color="auto" w:fill="E9E8E5" w:themeFill="background2"/>
            <w:tcMar>
              <w:left w:w="57" w:type="dxa"/>
              <w:right w:w="57" w:type="dxa"/>
            </w:tcMar>
          </w:tcPr>
          <w:p w14:paraId="34E5E1FD" w14:textId="77777777" w:rsidR="00ED0E85" w:rsidRDefault="00ED0E85" w:rsidP="00ED0E85">
            <w:pPr>
              <w:pStyle w:val="TableDataEntries"/>
              <w:jc w:val="left"/>
              <w:rPr>
                <w:lang w:val="en-GB"/>
              </w:rPr>
            </w:pPr>
            <w:r>
              <w:rPr>
                <w:lang w:val="en-GB"/>
              </w:rPr>
              <w:t>L1 Office stair lighting upgrade</w:t>
            </w:r>
          </w:p>
        </w:tc>
        <w:tc>
          <w:tcPr>
            <w:tcW w:w="851" w:type="dxa"/>
            <w:tcBorders>
              <w:top w:val="single" w:sz="8" w:space="0" w:color="FFFFFF" w:themeColor="background1"/>
              <w:bottom w:val="single" w:sz="6" w:space="0" w:color="6F6652"/>
            </w:tcBorders>
            <w:shd w:val="clear" w:color="auto" w:fill="E9E8E5" w:themeFill="background2"/>
            <w:tcMar>
              <w:left w:w="57" w:type="dxa"/>
              <w:right w:w="57" w:type="dxa"/>
            </w:tcMar>
          </w:tcPr>
          <w:p w14:paraId="721B677F" w14:textId="77777777" w:rsidR="00ED0E85" w:rsidRDefault="00ED0E85" w:rsidP="00ED0E85">
            <w:pPr>
              <w:pStyle w:val="TableDataEntries"/>
              <w:rPr>
                <w:lang w:val="en-GB"/>
              </w:rPr>
            </w:pPr>
            <w:r>
              <w:rPr>
                <w:lang w:val="en-GB"/>
              </w:rPr>
              <w:t xml:space="preserve"> 16 500</w:t>
            </w:r>
          </w:p>
        </w:tc>
        <w:tc>
          <w:tcPr>
            <w:tcW w:w="851" w:type="dxa"/>
            <w:tcBorders>
              <w:top w:val="single" w:sz="8" w:space="0" w:color="FFFFFF" w:themeColor="background1"/>
              <w:bottom w:val="single" w:sz="6" w:space="0" w:color="6F6652"/>
            </w:tcBorders>
            <w:shd w:val="clear" w:color="auto" w:fill="E9E8E5" w:themeFill="background2"/>
            <w:tcMar>
              <w:left w:w="57" w:type="dxa"/>
              <w:right w:w="57" w:type="dxa"/>
            </w:tcMar>
          </w:tcPr>
          <w:p w14:paraId="205E6302" w14:textId="77777777" w:rsidR="00ED0E85" w:rsidRDefault="00ED0E85" w:rsidP="00ED0E85">
            <w:pPr>
              <w:pStyle w:val="TableDataEntries"/>
              <w:rPr>
                <w:lang w:val="en-GB"/>
              </w:rPr>
            </w:pPr>
            <w:r>
              <w:rPr>
                <w:lang w:val="en-GB"/>
              </w:rPr>
              <w:t xml:space="preserve">  0</w:t>
            </w:r>
          </w:p>
        </w:tc>
        <w:tc>
          <w:tcPr>
            <w:tcW w:w="851" w:type="dxa"/>
            <w:tcBorders>
              <w:top w:val="single" w:sz="8" w:space="0" w:color="FFFFFF" w:themeColor="background1"/>
              <w:bottom w:val="single" w:sz="6" w:space="0" w:color="6F6652"/>
            </w:tcBorders>
            <w:shd w:val="clear" w:color="auto" w:fill="E9E8E5" w:themeFill="background2"/>
            <w:tcMar>
              <w:left w:w="57" w:type="dxa"/>
              <w:right w:w="57" w:type="dxa"/>
            </w:tcMar>
          </w:tcPr>
          <w:p w14:paraId="6008FE8B" w14:textId="77777777" w:rsidR="00ED0E85" w:rsidRDefault="00ED0E85" w:rsidP="00ED0E85">
            <w:pPr>
              <w:pStyle w:val="TableDataEntries"/>
              <w:rPr>
                <w:lang w:val="en-GB"/>
              </w:rPr>
            </w:pPr>
            <w:r>
              <w:rPr>
                <w:lang w:val="en-GB"/>
              </w:rPr>
              <w:t xml:space="preserve"> 1 300</w:t>
            </w:r>
          </w:p>
        </w:tc>
        <w:tc>
          <w:tcPr>
            <w:tcW w:w="851" w:type="dxa"/>
            <w:tcBorders>
              <w:top w:val="single" w:sz="8" w:space="0" w:color="FFFFFF" w:themeColor="background1"/>
              <w:bottom w:val="single" w:sz="6" w:space="0" w:color="6F6652"/>
            </w:tcBorders>
            <w:shd w:val="clear" w:color="auto" w:fill="E9E8E5" w:themeFill="background2"/>
            <w:tcMar>
              <w:left w:w="57" w:type="dxa"/>
              <w:right w:w="57" w:type="dxa"/>
            </w:tcMar>
          </w:tcPr>
          <w:p w14:paraId="541A0AE3" w14:textId="77777777" w:rsidR="00ED0E85" w:rsidRDefault="00ED0E85" w:rsidP="00ED0E85">
            <w:pPr>
              <w:pStyle w:val="TableDataEntries"/>
              <w:rPr>
                <w:lang w:val="en-GB"/>
              </w:rPr>
            </w:pPr>
            <w:r>
              <w:rPr>
                <w:lang w:val="en-GB"/>
              </w:rPr>
              <w:t xml:space="preserve"> 22 000</w:t>
            </w:r>
          </w:p>
        </w:tc>
        <w:tc>
          <w:tcPr>
            <w:tcW w:w="851" w:type="dxa"/>
            <w:tcBorders>
              <w:top w:val="single" w:sz="8" w:space="0" w:color="FFFFFF" w:themeColor="background1"/>
              <w:bottom w:val="single" w:sz="6" w:space="0" w:color="6F6652"/>
            </w:tcBorders>
            <w:shd w:val="clear" w:color="auto" w:fill="E9E8E5" w:themeFill="background2"/>
            <w:tcMar>
              <w:left w:w="57" w:type="dxa"/>
              <w:right w:w="57" w:type="dxa"/>
            </w:tcMar>
          </w:tcPr>
          <w:p w14:paraId="062091FE" w14:textId="77777777" w:rsidR="00ED0E85" w:rsidRDefault="00ED0E85" w:rsidP="00ED0E85">
            <w:pPr>
              <w:pStyle w:val="TableDataEntries"/>
              <w:rPr>
                <w:lang w:val="en-GB"/>
              </w:rPr>
            </w:pPr>
            <w:r>
              <w:rPr>
                <w:lang w:val="en-GB"/>
              </w:rPr>
              <w:t xml:space="preserve"> 16 000</w:t>
            </w:r>
          </w:p>
        </w:tc>
        <w:tc>
          <w:tcPr>
            <w:tcW w:w="851" w:type="dxa"/>
            <w:tcBorders>
              <w:top w:val="single" w:sz="8" w:space="0" w:color="FFFFFF" w:themeColor="background1"/>
              <w:bottom w:val="single" w:sz="6" w:space="0" w:color="6F6652"/>
            </w:tcBorders>
            <w:shd w:val="clear" w:color="auto" w:fill="E9E8E5" w:themeFill="background2"/>
            <w:tcMar>
              <w:left w:w="57" w:type="dxa"/>
              <w:right w:w="57" w:type="dxa"/>
            </w:tcMar>
          </w:tcPr>
          <w:p w14:paraId="2A8D637D" w14:textId="77777777" w:rsidR="00ED0E85" w:rsidRDefault="00ED0E85" w:rsidP="00ED0E85">
            <w:pPr>
              <w:pStyle w:val="TableDataEntries"/>
              <w:rPr>
                <w:lang w:val="en-GB"/>
              </w:rPr>
            </w:pPr>
            <w:r>
              <w:rPr>
                <w:lang w:val="en-GB"/>
              </w:rPr>
              <w:t xml:space="preserve"> 12.3</w:t>
            </w:r>
          </w:p>
        </w:tc>
      </w:tr>
    </w:tbl>
    <w:p w14:paraId="4BB09CFA" w14:textId="77777777" w:rsidR="00ED0E85" w:rsidRDefault="00ED0E85" w:rsidP="00ED0E85">
      <w:pPr>
        <w:pStyle w:val="Source"/>
      </w:pPr>
      <w:r>
        <w:rPr>
          <w:i/>
        </w:rPr>
        <w:t>Source</w:t>
      </w:r>
      <w:r w:rsidRPr="00E4232C">
        <w:rPr>
          <w:i/>
        </w:rPr>
        <w:t>:</w:t>
      </w:r>
      <w:r>
        <w:t xml:space="preserve"> Energy Action.</w:t>
      </w:r>
    </w:p>
    <w:p w14:paraId="5182FB76" w14:textId="3DD4427D" w:rsidR="00ED0E85" w:rsidRDefault="00ED0E85" w:rsidP="00ED0E85">
      <w:pPr>
        <w:pStyle w:val="BodyText"/>
      </w:pPr>
      <w:r>
        <w:t>To estimate costs we apply the same cost relationship estimated for office base buildings (see chart </w:t>
      </w:r>
      <w:r>
        <w:rPr>
          <w:noProof/>
        </w:rPr>
        <w:fldChar w:fldCharType="begin"/>
      </w:r>
      <w:r>
        <w:rPr>
          <w:noProof/>
        </w:rPr>
        <w:instrText xml:space="preserve"> REF _Caption9693 </w:instrText>
      </w:r>
      <w:r>
        <w:rPr>
          <w:noProof/>
        </w:rPr>
        <w:fldChar w:fldCharType="separate"/>
      </w:r>
      <w:r w:rsidR="00AD3561">
        <w:rPr>
          <w:noProof/>
        </w:rPr>
        <w:t>5</w:t>
      </w:r>
      <w:r w:rsidR="00AD3561" w:rsidRPr="00695C93">
        <w:rPr>
          <w:noProof/>
        </w:rPr>
        <w:t>.</w:t>
      </w:r>
      <w:r w:rsidR="00AD3561">
        <w:rPr>
          <w:noProof/>
        </w:rPr>
        <w:t>8</w:t>
      </w:r>
      <w:r>
        <w:rPr>
          <w:noProof/>
        </w:rPr>
        <w:fldChar w:fldCharType="end"/>
      </w:r>
      <w:r>
        <w:t xml:space="preserve"> above). As costs depend on the initial star rating, we assume the same distribution as the initial star ratings for tenancies that have voluntarily obtained a NABERS Tenancy rating (chart </w:t>
      </w:r>
      <w:r w:rsidR="004550CB">
        <w:rPr>
          <w:noProof/>
        </w:rPr>
        <w:fldChar w:fldCharType="begin"/>
      </w:r>
      <w:r w:rsidR="004550CB">
        <w:rPr>
          <w:noProof/>
        </w:rPr>
        <w:instrText xml:space="preserve"> REF _Caption1542 </w:instrText>
      </w:r>
      <w:r w:rsidR="004550CB">
        <w:rPr>
          <w:noProof/>
        </w:rPr>
        <w:fldChar w:fldCharType="separate"/>
      </w:r>
      <w:r w:rsidR="00AD3561">
        <w:rPr>
          <w:noProof/>
        </w:rPr>
        <w:t>6</w:t>
      </w:r>
      <w:r w:rsidR="00AD3561" w:rsidRPr="00695C93">
        <w:rPr>
          <w:noProof/>
        </w:rPr>
        <w:t>.</w:t>
      </w:r>
      <w:r w:rsidR="00AD3561">
        <w:rPr>
          <w:noProof/>
        </w:rPr>
        <w:t>12</w:t>
      </w:r>
      <w:r w:rsidR="004550CB">
        <w:rPr>
          <w:noProof/>
        </w:rPr>
        <w:fldChar w:fldCharType="end"/>
      </w:r>
      <w:r>
        <w:t xml:space="preserve">). As there is little incentive for tenants with a poor star rating to disclose this information (by formally lodging the rating with NABERS), this is likely to overstate the star ratings of tenants more generally. This implies that upgrade costs may be overstated (i.e. office tenancies with lower star ratings are likely to be able to take advantage </w:t>
      </w:r>
      <w:r w:rsidRPr="00B004ED">
        <w:t>of low/no cost improvements</w:t>
      </w:r>
      <w:r>
        <w:t>).</w:t>
      </w:r>
    </w:p>
    <w:p w14:paraId="28F5B323" w14:textId="52A205AB"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6</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6</w:instrText>
      </w:r>
      <w:r w:rsidR="004550CB">
        <w:rPr>
          <w:noProof/>
        </w:rPr>
        <w:fldChar w:fldCharType="end"/>
      </w:r>
      <w:r w:rsidRPr="00695C93">
        <w:instrText xml:space="preserve">." </w:instrText>
      </w:r>
      <w:r w:rsidRPr="00695C93">
        <w:fldChar w:fldCharType="separate"/>
      </w:r>
      <w:r w:rsidR="00AD3561">
        <w:rPr>
          <w:noProof/>
        </w:rPr>
        <w:instrText>6</w:instrText>
      </w:r>
      <w:r w:rsidR="00AD3561"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rsidRPr="00695C93">
        <w:instrText xml:space="preserve">." </w:instrText>
      </w:r>
      <w:r w:rsidRPr="00695C93">
        <w:fldChar w:fldCharType="separate"/>
      </w:r>
      <w:r w:rsidR="00C353B5">
        <w:rPr>
          <w:noProof/>
        </w:rPr>
        <w:instrText>6</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6</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12</w:instrText>
      </w:r>
      <w:r w:rsidRPr="00695C93">
        <w:fldChar w:fldCharType="end"/>
      </w:r>
      <w:r w:rsidRPr="00695C93">
        <w:instrText xml:space="preserve">" "" </w:instrText>
      </w:r>
      <w:r w:rsidRPr="00695C93">
        <w:fldChar w:fldCharType="separate"/>
      </w:r>
      <w:bookmarkStart w:id="4183" w:name="_Caption7212"/>
      <w:bookmarkStart w:id="4184" w:name="_Caption0825"/>
      <w:bookmarkStart w:id="4185" w:name="_Caption7262"/>
      <w:bookmarkStart w:id="4186" w:name="_Caption9217"/>
      <w:bookmarkStart w:id="4187" w:name="_Caption9091"/>
      <w:bookmarkStart w:id="4188" w:name="_Caption6464"/>
      <w:bookmarkStart w:id="4189" w:name="_Caption6490"/>
      <w:bookmarkStart w:id="4190" w:name="_Caption3743"/>
      <w:bookmarkStart w:id="4191" w:name="_Caption9461"/>
      <w:bookmarkStart w:id="4192" w:name="_Caption6180"/>
      <w:bookmarkStart w:id="4193" w:name="_Caption9469"/>
      <w:bookmarkStart w:id="4194" w:name="_Caption4787"/>
      <w:bookmarkStart w:id="4195" w:name="_Caption1033"/>
      <w:bookmarkStart w:id="4196" w:name="_Caption7109"/>
      <w:bookmarkStart w:id="4197" w:name="_Caption2663"/>
      <w:bookmarkStart w:id="4198" w:name="_Caption1668"/>
      <w:bookmarkStart w:id="4199" w:name="_Caption7259"/>
      <w:bookmarkStart w:id="4200" w:name="_Caption6354"/>
      <w:bookmarkStart w:id="4201" w:name="_Caption3247"/>
      <w:bookmarkStart w:id="4202" w:name="_Caption1430"/>
      <w:bookmarkStart w:id="4203" w:name="_Caption7499"/>
      <w:bookmarkStart w:id="4204" w:name="_Caption3081"/>
      <w:bookmarkStart w:id="4205" w:name="_Caption2008"/>
      <w:bookmarkStart w:id="4206" w:name="_Caption0074"/>
      <w:bookmarkStart w:id="4207" w:name="_Caption1542"/>
      <w:bookmarkStart w:id="4208" w:name="_Caption7166"/>
      <w:bookmarkStart w:id="4209" w:name="_Caption0382"/>
      <w:bookmarkStart w:id="4210" w:name="_Caption8753"/>
      <w:bookmarkStart w:id="4211" w:name="_Caption0859"/>
      <w:bookmarkStart w:id="4212" w:name="_Caption2298"/>
      <w:bookmarkStart w:id="4213" w:name="_Caption9565"/>
      <w:bookmarkStart w:id="4214" w:name="_Caption3939"/>
      <w:bookmarkStart w:id="4215" w:name="_Caption3859"/>
      <w:bookmarkStart w:id="4216" w:name="_Caption3974"/>
      <w:bookmarkStart w:id="4217" w:name="_Caption4901"/>
      <w:bookmarkStart w:id="4218" w:name="_Caption1383"/>
      <w:bookmarkStart w:id="4219" w:name="_Caption9933"/>
      <w:bookmarkStart w:id="4220" w:name="_Caption7817"/>
      <w:bookmarkStart w:id="4221" w:name="_Caption6895"/>
      <w:bookmarkStart w:id="4222" w:name="_Toc19275614"/>
      <w:bookmarkStart w:id="4223" w:name="_Toc19276224"/>
      <w:bookmarkStart w:id="4224" w:name="_Toc19280223"/>
      <w:r w:rsidR="00C353B5">
        <w:rPr>
          <w:noProof/>
        </w:rPr>
        <w:t>6</w:t>
      </w:r>
      <w:r w:rsidR="00C353B5" w:rsidRPr="00695C93">
        <w:rPr>
          <w:noProof/>
        </w:rPr>
        <w:t>.</w:t>
      </w:r>
      <w:r w:rsidR="00C353B5">
        <w:rPr>
          <w:noProof/>
        </w:rPr>
        <w:t>12</w:t>
      </w:r>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r w:rsidRPr="00695C93">
        <w:fldChar w:fldCharType="end"/>
      </w:r>
      <w:r w:rsidRPr="00695C93">
        <w:tab/>
      </w:r>
      <w:r>
        <w:t>Distribution of initial NABERS Office tenancy star ratings</w:t>
      </w:r>
      <w:bookmarkEnd w:id="4222"/>
      <w:bookmarkEnd w:id="4223"/>
      <w:bookmarkEnd w:id="4224"/>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39A62FA8" w14:textId="77777777" w:rsidTr="00ED0E85">
        <w:trPr>
          <w:cantSplit/>
        </w:trPr>
        <w:tc>
          <w:tcPr>
            <w:tcW w:w="7938" w:type="dxa"/>
            <w:shd w:val="clear" w:color="auto" w:fill="E9E8E5" w:themeFill="background2"/>
          </w:tcPr>
          <w:p w14:paraId="74E61450" w14:textId="77777777" w:rsidR="00ED0E85" w:rsidRDefault="00ED0E85" w:rsidP="00D84794">
            <w:pPr>
              <w:pStyle w:val="Chart"/>
              <w:spacing w:after="120"/>
            </w:pPr>
            <w:r>
              <w:t xml:space="preserve"> </w:t>
            </w:r>
            <w:r w:rsidRPr="00E163C0">
              <w:rPr>
                <w:noProof/>
                <w:lang w:eastAsia="en-AU"/>
              </w:rPr>
              <w:drawing>
                <wp:inline distT="0" distB="0" distL="0" distR="0" wp14:anchorId="4B3FFCC3" wp14:editId="70D0AD5D">
                  <wp:extent cx="5040630" cy="2315845"/>
                  <wp:effectExtent l="0" t="0" r="0" b="825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8">
                            <a:extLst>
                              <a:ext uri="{28A0092B-C50C-407E-A947-70E740481C1C}">
                                <a14:useLocalDpi xmlns:a14="http://schemas.microsoft.com/office/drawing/2010/main" val="0"/>
                              </a:ext>
                            </a:extLst>
                          </a:blip>
                          <a:srcRect t="4704"/>
                          <a:stretch/>
                        </pic:blipFill>
                        <pic:spPr bwMode="auto">
                          <a:xfrm>
                            <a:off x="0" y="0"/>
                            <a:ext cx="5040630" cy="23158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77F1DC4" w14:textId="77777777" w:rsidR="00ED0E85" w:rsidRDefault="00ED0E85" w:rsidP="00ED0E85">
      <w:pPr>
        <w:pStyle w:val="Source"/>
      </w:pPr>
      <w:r>
        <w:rPr>
          <w:i/>
        </w:rPr>
        <w:t>Data source</w:t>
      </w:r>
      <w:r w:rsidRPr="00A67576">
        <w:rPr>
          <w:i/>
        </w:rPr>
        <w:t>:</w:t>
      </w:r>
      <w:r>
        <w:t xml:space="preserve"> NABERS database.</w:t>
      </w:r>
    </w:p>
    <w:p w14:paraId="22A5CAF6" w14:textId="77777777" w:rsidR="00ED0E85" w:rsidRDefault="00ED0E85" w:rsidP="00ED0E85">
      <w:pPr>
        <w:pStyle w:val="Heading3"/>
        <w:numPr>
          <w:ilvl w:val="2"/>
          <w:numId w:val="5"/>
        </w:numPr>
        <w:rPr>
          <w:lang w:eastAsia="en-US"/>
        </w:rPr>
      </w:pPr>
      <w:r>
        <w:rPr>
          <w:lang w:eastAsia="en-US"/>
        </w:rPr>
        <w:t>Government costs</w:t>
      </w:r>
    </w:p>
    <w:p w14:paraId="4D680247" w14:textId="77777777" w:rsidR="00ED0E85" w:rsidRDefault="00ED0E85" w:rsidP="00ED0E85">
      <w:pPr>
        <w:pStyle w:val="BodyText"/>
        <w:rPr>
          <w:lang w:eastAsia="en-US"/>
        </w:rPr>
      </w:pPr>
      <w:r>
        <w:rPr>
          <w:lang w:eastAsia="en-US"/>
        </w:rPr>
        <w:t>The expansion of the CBD Program to office tenancies would also have an impact on the administration costs incurred by the government. Note that if cost recovery were to apply (see chapter 11 for further discussion on cost recovery) these costs would be passed onto industry participants. The estimates presented below are indicative only based on the estimated number of BEECs lodged.</w:t>
      </w:r>
    </w:p>
    <w:p w14:paraId="2A2C3F80" w14:textId="77777777" w:rsidR="00ED0E85" w:rsidRDefault="00ED0E85" w:rsidP="00ED0E85">
      <w:pPr>
        <w:pStyle w:val="BodyText"/>
        <w:rPr>
          <w:lang w:eastAsia="en-US"/>
        </w:rPr>
      </w:pPr>
      <w:r>
        <w:rPr>
          <w:lang w:eastAsia="en-US"/>
        </w:rPr>
        <w:t>Some of the costs incurred by the government are likely to be unrelated to the number of BEECs lodged (i.e. fixed), while others may vary with the number of BEECs lodged. The main variable costs are likely to be staff costs relating to:</w:t>
      </w:r>
    </w:p>
    <w:p w14:paraId="7E8CE5F1" w14:textId="77777777" w:rsidR="00ED0E85" w:rsidRDefault="00ED0E85" w:rsidP="00ED0E85">
      <w:pPr>
        <w:pStyle w:val="ListBullet"/>
        <w:rPr>
          <w:lang w:eastAsia="en-US"/>
        </w:rPr>
      </w:pPr>
      <w:r>
        <w:rPr>
          <w:lang w:eastAsia="en-US"/>
        </w:rPr>
        <w:t>operations (around $592 784 per year)</w:t>
      </w:r>
    </w:p>
    <w:p w14:paraId="7E5E4396" w14:textId="77777777" w:rsidR="00ED0E85" w:rsidRDefault="00ED0E85" w:rsidP="00ED0E85">
      <w:pPr>
        <w:pStyle w:val="ListBullet"/>
        <w:rPr>
          <w:lang w:eastAsia="en-US"/>
        </w:rPr>
      </w:pPr>
      <w:r>
        <w:rPr>
          <w:lang w:eastAsia="en-US"/>
        </w:rPr>
        <w:t>compliance (around $370 228 per year).</w:t>
      </w:r>
    </w:p>
    <w:p w14:paraId="0153C735" w14:textId="77777777" w:rsidR="00ED0E85" w:rsidRDefault="00ED0E85" w:rsidP="00ED0E85">
      <w:pPr>
        <w:pStyle w:val="BodyText"/>
        <w:rPr>
          <w:lang w:eastAsia="en-US"/>
        </w:rPr>
      </w:pPr>
      <w:r>
        <w:rPr>
          <w:lang w:eastAsia="en-US"/>
        </w:rPr>
        <w:t>Under the baseline scenario, we estimate there would be around 1200 BEECs lodged per year (based on historical data).</w:t>
      </w:r>
    </w:p>
    <w:p w14:paraId="060DFD85" w14:textId="77777777" w:rsidR="00ED0E85" w:rsidRDefault="00ED0E85" w:rsidP="00ED0E85">
      <w:pPr>
        <w:pStyle w:val="BodyText"/>
        <w:rPr>
          <w:lang w:eastAsia="en-US"/>
        </w:rPr>
      </w:pPr>
      <w:r>
        <w:rPr>
          <w:lang w:eastAsia="en-US"/>
        </w:rPr>
        <w:t>Under Option 1A and 1B, the number of BEECs relating to base buildings (and whole buildings) would be unchanged. However, we estimate there would be:</w:t>
      </w:r>
    </w:p>
    <w:p w14:paraId="61C392CF" w14:textId="77777777" w:rsidR="00ED0E85" w:rsidRDefault="00ED0E85" w:rsidP="00ED0E85">
      <w:pPr>
        <w:pStyle w:val="ListBullet"/>
        <w:rPr>
          <w:lang w:eastAsia="en-US"/>
        </w:rPr>
      </w:pPr>
      <w:r>
        <w:rPr>
          <w:lang w:eastAsia="en-US"/>
        </w:rPr>
        <w:t>an additional 4612 BEECs relating to office tenancies under Option 1A, implying a 384 per cent increase in the total number of BEECs per year.</w:t>
      </w:r>
    </w:p>
    <w:p w14:paraId="26E3FD14" w14:textId="77777777" w:rsidR="00ED0E85" w:rsidRDefault="00ED0E85" w:rsidP="00ED0E85">
      <w:pPr>
        <w:pStyle w:val="ListBullet"/>
        <w:rPr>
          <w:lang w:eastAsia="en-US"/>
        </w:rPr>
      </w:pPr>
      <w:r>
        <w:rPr>
          <w:lang w:eastAsia="en-US"/>
        </w:rPr>
        <w:t>an additional 2306 BEECs per year under Option 1B, implying a 192 per cent increase in the total number of BEECs lodged per year.</w:t>
      </w:r>
    </w:p>
    <w:p w14:paraId="1370B5BF" w14:textId="77777777" w:rsidR="00ED0E85" w:rsidRDefault="00ED0E85" w:rsidP="00ED0E85">
      <w:pPr>
        <w:pStyle w:val="BodyText"/>
        <w:rPr>
          <w:lang w:eastAsia="en-US"/>
        </w:rPr>
      </w:pPr>
      <w:r>
        <w:rPr>
          <w:lang w:eastAsia="en-US"/>
        </w:rPr>
        <w:t>Under Options 2A and 2B, there would a change in the number of BEECs relating to base (and whole) buildings due to the change in the trigger. However, as the office tenancy ratings would be covered under the same BEEC as the base/whole building, there would be no additional BEECs for tenancies. As with NABERS ratings (see above), we estimate:</w:t>
      </w:r>
    </w:p>
    <w:p w14:paraId="65F90CD1" w14:textId="77777777" w:rsidR="00ED0E85" w:rsidRDefault="00ED0E85" w:rsidP="00ED0E85">
      <w:pPr>
        <w:pStyle w:val="ListBullet"/>
        <w:rPr>
          <w:lang w:eastAsia="en-US"/>
        </w:rPr>
      </w:pPr>
      <w:r>
        <w:rPr>
          <w:lang w:eastAsia="en-US"/>
        </w:rPr>
        <w:t>the number of BEECs would increase by around 67 per cent (reflecting an increase in the average number of BEECs per year from 0.6 to 1) under Option 2A.</w:t>
      </w:r>
    </w:p>
    <w:p w14:paraId="1E6DA31E" w14:textId="77777777" w:rsidR="00ED0E85" w:rsidRDefault="00ED0E85" w:rsidP="00ED0E85">
      <w:pPr>
        <w:pStyle w:val="ListBullet"/>
        <w:rPr>
          <w:lang w:eastAsia="en-US"/>
        </w:rPr>
      </w:pPr>
      <w:r>
        <w:rPr>
          <w:lang w:eastAsia="en-US"/>
        </w:rPr>
        <w:t>the number of BEECs would decrease by around 16.7 per cent (reflecting a decrease average number of BEECs per year from 0.6 to 0.5) under Option 2B.</w:t>
      </w:r>
    </w:p>
    <w:p w14:paraId="6F176CAB" w14:textId="77777777" w:rsidR="00ED0E85" w:rsidRDefault="00ED0E85" w:rsidP="00ED0E85">
      <w:pPr>
        <w:pStyle w:val="BodyText"/>
        <w:rPr>
          <w:lang w:eastAsia="en-US"/>
        </w:rPr>
      </w:pPr>
      <w:r>
        <w:rPr>
          <w:lang w:eastAsia="en-US"/>
        </w:rPr>
        <w:t>Assuming that operations and compliance costs change in proportion to the change in the number of BEECs, this implies government costs would:</w:t>
      </w:r>
    </w:p>
    <w:p w14:paraId="70B0D3DB" w14:textId="77777777" w:rsidR="00ED0E85" w:rsidRDefault="00ED0E85" w:rsidP="00ED0E85">
      <w:pPr>
        <w:pStyle w:val="ListBullet"/>
        <w:rPr>
          <w:lang w:eastAsia="en-US"/>
        </w:rPr>
      </w:pPr>
      <w:r>
        <w:rPr>
          <w:lang w:eastAsia="en-US"/>
        </w:rPr>
        <w:t>increase by around $3.7 million per year under Option 1A</w:t>
      </w:r>
    </w:p>
    <w:p w14:paraId="4ABC5C96" w14:textId="77777777" w:rsidR="00ED0E85" w:rsidRDefault="00ED0E85" w:rsidP="00ED0E85">
      <w:pPr>
        <w:pStyle w:val="ListBullet"/>
        <w:rPr>
          <w:lang w:eastAsia="en-US"/>
        </w:rPr>
      </w:pPr>
      <w:r>
        <w:rPr>
          <w:lang w:eastAsia="en-US"/>
        </w:rPr>
        <w:t>Increase by around $1.85 million per year under Option 1B</w:t>
      </w:r>
    </w:p>
    <w:p w14:paraId="3738D337" w14:textId="77777777" w:rsidR="00ED0E85" w:rsidRDefault="00ED0E85" w:rsidP="00ED0E85">
      <w:pPr>
        <w:pStyle w:val="ListBullet"/>
        <w:rPr>
          <w:lang w:eastAsia="en-US"/>
        </w:rPr>
      </w:pPr>
      <w:r>
        <w:rPr>
          <w:lang w:eastAsia="en-US"/>
        </w:rPr>
        <w:t>increase by around $642 008 per year under Option 2A</w:t>
      </w:r>
    </w:p>
    <w:p w14:paraId="1A0BADF7" w14:textId="77777777" w:rsidR="00ED0E85" w:rsidRPr="00BC3581" w:rsidRDefault="00ED0E85" w:rsidP="00ED0E85">
      <w:pPr>
        <w:pStyle w:val="ListBullet"/>
        <w:rPr>
          <w:lang w:eastAsia="en-US"/>
        </w:rPr>
      </w:pPr>
      <w:r>
        <w:rPr>
          <w:lang w:eastAsia="en-US"/>
        </w:rPr>
        <w:t>decrease by around $160 502 per year under Option 2B.</w:t>
      </w:r>
    </w:p>
    <w:p w14:paraId="4D1D8D0F" w14:textId="77777777" w:rsidR="00ED0E85" w:rsidRDefault="00ED0E85" w:rsidP="00ED0E85">
      <w:pPr>
        <w:pStyle w:val="Heading2"/>
        <w:numPr>
          <w:ilvl w:val="1"/>
          <w:numId w:val="5"/>
        </w:numPr>
      </w:pPr>
      <w:bookmarkStart w:id="4225" w:name="_Toc19275520"/>
      <w:bookmarkStart w:id="4226" w:name="_Toc19276130"/>
      <w:bookmarkStart w:id="4227" w:name="_Toc19280129"/>
      <w:r>
        <w:t>Feedback on draft recommendations</w:t>
      </w:r>
      <w:bookmarkEnd w:id="4225"/>
      <w:bookmarkEnd w:id="4226"/>
      <w:bookmarkEnd w:id="4227"/>
    </w:p>
    <w:p w14:paraId="01B9585D" w14:textId="77777777" w:rsidR="00ED0E85" w:rsidRDefault="00ED0E85" w:rsidP="00ED0E85">
      <w:pPr>
        <w:pStyle w:val="BodyText"/>
      </w:pPr>
      <w:r>
        <w:t>We welcome stakeholder feedback on our draft recommendations. For office buildings, we would be particularly interested in stakeholder feedback on:</w:t>
      </w:r>
    </w:p>
    <w:p w14:paraId="3E7F8814" w14:textId="77777777" w:rsidR="00ED0E85" w:rsidRDefault="00ED0E85" w:rsidP="00ED0E85">
      <w:pPr>
        <w:pStyle w:val="ListBullet"/>
      </w:pPr>
      <w:r>
        <w:t>how office tenants use the information currently provided under the CBD Program (the NABERS base building rating and the TLA) and whether this information is considered useful</w:t>
      </w:r>
    </w:p>
    <w:p w14:paraId="3D944C1F" w14:textId="77777777" w:rsidR="00ED0E85" w:rsidRDefault="00ED0E85" w:rsidP="00ED0E85">
      <w:pPr>
        <w:pStyle w:val="ListBullet"/>
      </w:pPr>
      <w:r>
        <w:t>the proposed design of the mandatory disclosure scheme for office tenancies</w:t>
      </w:r>
    </w:p>
    <w:p w14:paraId="7D391E78" w14:textId="77777777" w:rsidR="00ED0E85" w:rsidRDefault="00ED0E85" w:rsidP="00ED0E85">
      <w:pPr>
        <w:pStyle w:val="ListBullet"/>
      </w:pPr>
      <w:r>
        <w:t>the assumption used in the CBA (set out in the report)</w:t>
      </w:r>
    </w:p>
    <w:p w14:paraId="1352E04D" w14:textId="77777777" w:rsidR="00ED0E85" w:rsidRDefault="00ED0E85" w:rsidP="00ED0E85">
      <w:pPr>
        <w:pStyle w:val="ListBullet"/>
      </w:pPr>
      <w:r>
        <w:t>any cost information for office tenancies that have improved their energy efficiency.</w:t>
      </w:r>
    </w:p>
    <w:p w14:paraId="6D73A371" w14:textId="77777777" w:rsidR="00ED0E85" w:rsidRDefault="00ED0E85" w:rsidP="00ED0E85">
      <w:pPr>
        <w:pStyle w:val="BodyText"/>
      </w:pPr>
    </w:p>
    <w:p w14:paraId="08520C1B" w14:textId="77777777" w:rsidR="00ED0E85" w:rsidRDefault="00ED0E85" w:rsidP="00ED0E85">
      <w:pPr>
        <w:pStyle w:val="Heading1"/>
        <w:numPr>
          <w:ilvl w:val="0"/>
          <w:numId w:val="5"/>
        </w:numPr>
      </w:pPr>
      <w:bookmarkStart w:id="4228" w:name="_Toc12633675"/>
      <w:bookmarkStart w:id="4229" w:name="_Toc19275521"/>
      <w:bookmarkStart w:id="4230" w:name="_Toc19276131"/>
      <w:bookmarkStart w:id="4231" w:name="_Toc19280130"/>
      <w:r>
        <w:t>Shopping centres</w:t>
      </w:r>
      <w:bookmarkEnd w:id="4228"/>
      <w:bookmarkEnd w:id="4229"/>
      <w:bookmarkEnd w:id="4230"/>
      <w:bookmarkEnd w:id="4231"/>
    </w:p>
    <w:p w14:paraId="4EA72A92" w14:textId="77777777" w:rsidR="00ED0E85" w:rsidRPr="00067AD9" w:rsidRDefault="00ED0E85" w:rsidP="00ED0E85">
      <w:pPr>
        <w:pStyle w:val="Heading2"/>
        <w:numPr>
          <w:ilvl w:val="1"/>
          <w:numId w:val="5"/>
        </w:numPr>
      </w:pPr>
      <w:bookmarkStart w:id="4232" w:name="_Toc19275522"/>
      <w:bookmarkStart w:id="4233" w:name="_Toc19276132"/>
      <w:bookmarkStart w:id="4234" w:name="_Toc19280131"/>
      <w:r>
        <w:t>Key findings and draft recommendations</w:t>
      </w:r>
      <w:bookmarkEnd w:id="4232"/>
      <w:bookmarkEnd w:id="4233"/>
      <w:bookmarkEnd w:id="4234"/>
    </w:p>
    <w:p w14:paraId="7E18F6CE" w14:textId="77777777" w:rsidR="00ED0E85" w:rsidRDefault="00ED0E85" w:rsidP="00ED0E85">
      <w:pPr>
        <w:pStyle w:val="BodyText"/>
      </w:pPr>
      <w:r>
        <w:t xml:space="preserve">Shopping centres have dramatically improved their energy efficiency, over the time period for which this can be measured, with those using NABERS reducing energy </w:t>
      </w:r>
      <w:r>
        <w:rPr>
          <w:lang w:eastAsia="en-US"/>
        </w:rPr>
        <w:t xml:space="preserve">by about 15 per cent from 2013 to 2018. </w:t>
      </w:r>
      <w:r>
        <w:t xml:space="preserve">These changes have occurred for shopping centres that undertake annual NABERS energy ratings, for those that occasionally use NABERS energy ratings and based on the information available, for those that do not use NABERS energy ratings. </w:t>
      </w:r>
    </w:p>
    <w:p w14:paraId="1EC13FE3" w14:textId="77777777" w:rsidR="00ED0E85" w:rsidRDefault="00ED0E85" w:rsidP="00ED0E85">
      <w:pPr>
        <w:pStyle w:val="BodyText"/>
      </w:pPr>
      <w:r>
        <w:t>A large share of shopping centres (almost half of the centres above 15 000 m</w:t>
      </w:r>
      <w:r w:rsidRPr="009253DC">
        <w:rPr>
          <w:vertAlign w:val="superscript"/>
        </w:rPr>
        <w:t>2</w:t>
      </w:r>
      <w:r>
        <w:t xml:space="preserve">) use NABERS energy ratings voluntarily. NABERS energy has proven to be a useful tool for these businesses to monitor, compare and communicate the changes in their energy performance. Others monitor their energy consumption and environmental performance using other tools, such as trends over time within each centre and energy use and emissions per square metre. </w:t>
      </w:r>
    </w:p>
    <w:p w14:paraId="76BCB576" w14:textId="77777777" w:rsidR="00ED0E85" w:rsidRDefault="00ED0E85" w:rsidP="00ED0E85">
      <w:pPr>
        <w:pStyle w:val="BodyText"/>
      </w:pPr>
      <w:r>
        <w:t xml:space="preserve">Our </w:t>
      </w:r>
      <w:r w:rsidRPr="0098458C">
        <w:t>draft</w:t>
      </w:r>
      <w:r>
        <w:t xml:space="preserve"> view is that NABERS energy ratings continue to be promoted as a voluntary tool for shopping centres. </w:t>
      </w:r>
    </w:p>
    <w:p w14:paraId="408A7371" w14:textId="77777777" w:rsidR="00ED0E85" w:rsidRDefault="00ED0E85" w:rsidP="00ED0E85">
      <w:pPr>
        <w:pStyle w:val="ListBullet"/>
      </w:pPr>
      <w:r>
        <w:t>Mandatory disclosure could be beneficial if shopping centre owners or operators were unaware of their comparative energy performance. The evidence does not support this for the majority of shopping centres. Whether or not they are using and disclosing NABERS energy ratings, shopping centres are monitoring their performance, and based on the information available those not rated with NABERS have achieved similar improvements in their energy efficiency.</w:t>
      </w:r>
    </w:p>
    <w:p w14:paraId="1A7B8E65" w14:textId="77777777" w:rsidR="00ED0E85" w:rsidRDefault="00ED0E85" w:rsidP="00ED0E85">
      <w:pPr>
        <w:pStyle w:val="ListBullet"/>
      </w:pPr>
      <w:r>
        <w:t>Mandatory disclosure could be beneficial if there was demand from tenants in shopping centres. Tenant groups have indicated that they receive information on costs, including energy costs, Energy efficiency disclosure of the shopping centre is not information that they would use.</w:t>
      </w:r>
    </w:p>
    <w:p w14:paraId="11127217" w14:textId="77777777" w:rsidR="00ED0E85" w:rsidRDefault="00ED0E85" w:rsidP="00ED0E85">
      <w:pPr>
        <w:pStyle w:val="ListBullet"/>
      </w:pPr>
      <w:r>
        <w:t>Mandatory disclosure could be beneficial if there was demand from customers going to shopping centres. Consultations have not supported the view that customers would make use of comparative energy efficiency information.</w:t>
      </w:r>
    </w:p>
    <w:p w14:paraId="0BAF9514" w14:textId="77777777" w:rsidR="00ED0E85" w:rsidRDefault="00ED0E85" w:rsidP="00ED0E85">
      <w:pPr>
        <w:pStyle w:val="BodyText"/>
      </w:pPr>
      <w:r>
        <w:t>If there are specific concerns about smaller shopping centre owners not being aware of their energy performance, then these owners could be targeted through programs for energy audits and NABERS energy ratings, building on NABERS recent expansion of the tool into smaller shopping centres.</w:t>
      </w:r>
    </w:p>
    <w:p w14:paraId="69F6E6FF" w14:textId="77777777" w:rsidR="00ED0E85" w:rsidRDefault="00ED0E85" w:rsidP="00ED0E85">
      <w:pPr>
        <w:pStyle w:val="BodyText"/>
      </w:pPr>
      <w:r>
        <w:t>We have undertaken a cost benefit analysis of expanding mandatory disclosure of NABERS energy ratings to shopping centres above 15 000m</w:t>
      </w:r>
      <w:r w:rsidRPr="0051635B">
        <w:rPr>
          <w:vertAlign w:val="superscript"/>
        </w:rPr>
        <w:t>2</w:t>
      </w:r>
      <w:r>
        <w:t xml:space="preserve"> of gross lettable area retail. This would impose costs of $2.4 million per year in getting a NABERS energy rating, as well as additional administrative costs for shopping centres to put relevant clauses into leases, disclose ratings at the doors of shopping centres and place ratings into advertising.</w:t>
      </w:r>
    </w:p>
    <w:p w14:paraId="4008B075" w14:textId="77777777" w:rsidR="00ED0E85" w:rsidRPr="00FA0106" w:rsidRDefault="00ED0E85" w:rsidP="00ED0E85">
      <w:pPr>
        <w:pStyle w:val="BodyText"/>
      </w:pPr>
      <w:r>
        <w:t xml:space="preserve">The benefits will occur for the share of shopping centres that change their behaviour in response to obtaining a NABERS rating. For an expansion to have a net benefit would require a reduction in energy use for shopping centres made to obtain a NABERS energy rating of 3-5 per cent. For the reasons discussed above, we do not consider that this level of impact would be achieved. </w:t>
      </w:r>
    </w:p>
    <w:p w14:paraId="286660F5" w14:textId="77777777" w:rsidR="00ED0E85" w:rsidRDefault="00ED0E85" w:rsidP="00ED0E85">
      <w:pPr>
        <w:pStyle w:val="Heading2"/>
        <w:numPr>
          <w:ilvl w:val="1"/>
          <w:numId w:val="5"/>
        </w:numPr>
        <w:spacing w:before="480"/>
      </w:pPr>
      <w:bookmarkStart w:id="4235" w:name="_Toc12633676"/>
      <w:bookmarkStart w:id="4236" w:name="_Toc19275523"/>
      <w:bookmarkStart w:id="4237" w:name="_Toc19276133"/>
      <w:bookmarkStart w:id="4238" w:name="_Toc19280132"/>
      <w:r>
        <w:t>Market overview</w:t>
      </w:r>
      <w:bookmarkEnd w:id="4235"/>
      <w:bookmarkEnd w:id="4236"/>
      <w:bookmarkEnd w:id="4237"/>
      <w:bookmarkEnd w:id="4238"/>
    </w:p>
    <w:p w14:paraId="7AA2526B" w14:textId="77777777" w:rsidR="00ED0E85" w:rsidRDefault="00ED0E85" w:rsidP="00ED0E85">
      <w:pPr>
        <w:pStyle w:val="Heading3"/>
        <w:numPr>
          <w:ilvl w:val="2"/>
          <w:numId w:val="5"/>
        </w:numPr>
        <w:spacing w:before="360"/>
      </w:pPr>
      <w:r>
        <w:t>Market structure</w:t>
      </w:r>
    </w:p>
    <w:p w14:paraId="4040D4A6" w14:textId="77777777" w:rsidR="00ED0E85" w:rsidRDefault="00ED0E85" w:rsidP="00ED0E85">
      <w:pPr>
        <w:pStyle w:val="BodyText"/>
      </w:pPr>
      <w:r>
        <w:t xml:space="preserve">Shopping centre owners and operators are typically large professional businesses. Many shopping centre owners and operators are also involved in office buildings. </w:t>
      </w:r>
    </w:p>
    <w:p w14:paraId="122AAEDD" w14:textId="77777777" w:rsidR="00ED0E85" w:rsidRDefault="00ED0E85" w:rsidP="00ED0E85">
      <w:pPr>
        <w:pStyle w:val="ListBullet"/>
      </w:pPr>
      <w:r>
        <w:t>IBISWorld notes that the top four players accounted for an estimated 44.5% of Shopping Centre Operators industry revenue in 2016-17 and the major players largely dominate the industry due to the prominence of assets that they manage.</w:t>
      </w:r>
      <w:r>
        <w:rPr>
          <w:rStyle w:val="FootnoteReference"/>
        </w:rPr>
        <w:footnoteReference w:id="40"/>
      </w:r>
      <w:r>
        <w:t xml:space="preserve"> The largest operators are Scentre and Vicinity. </w:t>
      </w:r>
    </w:p>
    <w:p w14:paraId="0A82FD80" w14:textId="77777777" w:rsidR="00ED0E85" w:rsidRDefault="00ED0E85" w:rsidP="00ED0E85">
      <w:pPr>
        <w:pStyle w:val="ListBullet"/>
      </w:pPr>
      <w:r>
        <w:t>IBISWorld estimates that there are 1800 shopping centres in Australia in 2016/17</w:t>
      </w:r>
      <w:r>
        <w:rPr>
          <w:rStyle w:val="FootnoteReference"/>
          <w:rFonts w:cs="Georgia"/>
        </w:rPr>
        <w:footnoteReference w:id="41"/>
      </w:r>
    </w:p>
    <w:p w14:paraId="5E43C73A" w14:textId="77777777" w:rsidR="00ED0E85" w:rsidRDefault="00ED0E85" w:rsidP="00ED0E85">
      <w:pPr>
        <w:pStyle w:val="ListBullet"/>
      </w:pPr>
      <w:r>
        <w:t>Data available on individual centres indicates there are about 588 shopping centres with more than 10 000 m</w:t>
      </w:r>
      <w:r w:rsidRPr="0051635B">
        <w:rPr>
          <w:vertAlign w:val="superscript"/>
        </w:rPr>
        <w:t>2</w:t>
      </w:r>
      <w:r>
        <w:t xml:space="preserve"> of Gross Lettable Area Retail (GLAR) and 427 with more than 15 000 m</w:t>
      </w:r>
      <w:r w:rsidRPr="0051635B">
        <w:rPr>
          <w:vertAlign w:val="superscript"/>
        </w:rPr>
        <w:t>2</w:t>
      </w:r>
      <w:r>
        <w:t xml:space="preserve"> of GLAR. In total, centres with more than 10 000 m</w:t>
      </w:r>
      <w:r w:rsidRPr="0051635B">
        <w:rPr>
          <w:vertAlign w:val="superscript"/>
        </w:rPr>
        <w:t>2</w:t>
      </w:r>
      <w:r>
        <w:t xml:space="preserve"> of GLAR have ~18 million square metres of GLAR</w:t>
      </w:r>
    </w:p>
    <w:p w14:paraId="693EF0F5" w14:textId="77777777" w:rsidR="00ED0E85" w:rsidRDefault="00ED0E85" w:rsidP="00ED0E85">
      <w:pPr>
        <w:pStyle w:val="ListBullet2"/>
      </w:pPr>
      <w:r>
        <w:t>an alternative source suggests less space in total for the shopping centre market, with 17 million square metres of GLAR for centres over 5 000 m</w:t>
      </w:r>
      <w:r w:rsidRPr="009253DC">
        <w:rPr>
          <w:vertAlign w:val="superscript"/>
        </w:rPr>
        <w:t>2</w:t>
      </w:r>
      <w:r>
        <w:t xml:space="preserve"> and 875 shopping centres in total with GLAR of more than 5000 m</w:t>
      </w:r>
      <w:r w:rsidRPr="00321C4F">
        <w:rPr>
          <w:vertAlign w:val="superscript"/>
        </w:rPr>
        <w:t>2</w:t>
      </w:r>
    </w:p>
    <w:p w14:paraId="2EAECEA2" w14:textId="0134FBDF" w:rsidR="00ED0E85" w:rsidRPr="008436AF" w:rsidRDefault="00ED0E85" w:rsidP="00ED0E85">
      <w:pPr>
        <w:pStyle w:val="ListBullet"/>
      </w:pPr>
      <w:r w:rsidRPr="008436AF">
        <w:t>The size of selected property portfolios is shown in table </w:t>
      </w:r>
      <w:r w:rsidRPr="008436AF">
        <w:fldChar w:fldCharType="begin"/>
      </w:r>
      <w:r w:rsidRPr="008436AF">
        <w:instrText xml:space="preserve"> REF _Caption1720 </w:instrText>
      </w:r>
      <w:r w:rsidRPr="009253DC">
        <w:instrText xml:space="preserve"> \* MERGEFORMAT </w:instrText>
      </w:r>
      <w:r w:rsidRPr="008436AF">
        <w:fldChar w:fldCharType="separate"/>
      </w:r>
      <w:r w:rsidR="00AD3561">
        <w:rPr>
          <w:noProof/>
        </w:rPr>
        <w:t>7</w:t>
      </w:r>
      <w:r w:rsidR="00AD3561" w:rsidRPr="00695C93">
        <w:rPr>
          <w:noProof/>
        </w:rPr>
        <w:t>.</w:t>
      </w:r>
      <w:r w:rsidR="00AD3561">
        <w:rPr>
          <w:noProof/>
        </w:rPr>
        <w:t>1</w:t>
      </w:r>
      <w:r w:rsidRPr="008436AF">
        <w:rPr>
          <w:noProof/>
        </w:rPr>
        <w:fldChar w:fldCharType="end"/>
      </w:r>
      <w:r w:rsidRPr="008436AF">
        <w:t xml:space="preserve">. Seven major portfolios account for 10 million </w:t>
      </w:r>
      <w:r w:rsidRPr="00F431F5">
        <w:t>square metres of GLAR.</w:t>
      </w:r>
      <w:r w:rsidRPr="00D91F4C">
        <w:t xml:space="preserve"> Note that this includes centres smaller than 10 000 m</w:t>
      </w:r>
      <w:r w:rsidRPr="009253DC">
        <w:rPr>
          <w:vertAlign w:val="superscript"/>
        </w:rPr>
        <w:t>2</w:t>
      </w:r>
      <w:r w:rsidRPr="008436AF">
        <w:t>.</w:t>
      </w:r>
      <w:r w:rsidRPr="009253DC">
        <w:t xml:space="preserve"> This indicates that even covering only seven major players accounts for over 50 per cent of the shopping centre space. That is, this is a fairly concentrated sector.</w:t>
      </w:r>
    </w:p>
    <w:p w14:paraId="0339D859" w14:textId="575E94BC"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7</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7</w:instrText>
      </w:r>
      <w:r w:rsidR="004550CB">
        <w:rPr>
          <w:noProof/>
        </w:rPr>
        <w:fldChar w:fldCharType="end"/>
      </w:r>
      <w:r w:rsidRPr="00695C93">
        <w:instrText xml:space="preserve">." </w:instrText>
      </w:r>
      <w:r w:rsidRPr="00695C93">
        <w:fldChar w:fldCharType="separate"/>
      </w:r>
      <w:r w:rsidR="00AD3561">
        <w:rPr>
          <w:noProof/>
        </w:rPr>
        <w:instrText>7</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7</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7</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w:instrText>
      </w:r>
      <w:r w:rsidRPr="00695C93">
        <w:fldChar w:fldCharType="end"/>
      </w:r>
      <w:r w:rsidRPr="00695C93">
        <w:instrText xml:space="preserve">" "" </w:instrText>
      </w:r>
      <w:r w:rsidRPr="00695C93">
        <w:fldChar w:fldCharType="separate"/>
      </w:r>
      <w:bookmarkStart w:id="4239" w:name="_Caption0412"/>
      <w:bookmarkStart w:id="4240" w:name="_Caption6313"/>
      <w:bookmarkStart w:id="4241" w:name="_Caption7329"/>
      <w:bookmarkStart w:id="4242" w:name="_Caption2153"/>
      <w:bookmarkStart w:id="4243" w:name="_Caption3658"/>
      <w:bookmarkStart w:id="4244" w:name="_Caption8767"/>
      <w:bookmarkStart w:id="4245" w:name="_Caption1911"/>
      <w:bookmarkStart w:id="4246" w:name="_Caption6483"/>
      <w:bookmarkStart w:id="4247" w:name="_Caption2305"/>
      <w:bookmarkStart w:id="4248" w:name="_Caption6978"/>
      <w:bookmarkStart w:id="4249" w:name="_Caption4127"/>
      <w:bookmarkStart w:id="4250" w:name="_Caption2297"/>
      <w:bookmarkStart w:id="4251" w:name="_Caption4970"/>
      <w:bookmarkStart w:id="4252" w:name="_Caption4318"/>
      <w:bookmarkStart w:id="4253" w:name="_Caption5521"/>
      <w:bookmarkStart w:id="4254" w:name="_Caption0667"/>
      <w:bookmarkStart w:id="4255" w:name="_Caption3605"/>
      <w:bookmarkStart w:id="4256" w:name="_Caption8758"/>
      <w:bookmarkStart w:id="4257" w:name="_Caption1125"/>
      <w:bookmarkStart w:id="4258" w:name="_Caption9996"/>
      <w:bookmarkStart w:id="4259" w:name="_Caption1747"/>
      <w:bookmarkStart w:id="4260" w:name="_Caption2979"/>
      <w:bookmarkStart w:id="4261" w:name="_Caption6156"/>
      <w:bookmarkStart w:id="4262" w:name="_Caption1854"/>
      <w:bookmarkStart w:id="4263" w:name="_Caption9210"/>
      <w:bookmarkStart w:id="4264" w:name="_Caption4052"/>
      <w:bookmarkStart w:id="4265" w:name="_Caption4088"/>
      <w:bookmarkStart w:id="4266" w:name="_Caption6654"/>
      <w:bookmarkStart w:id="4267" w:name="_Caption9990"/>
      <w:bookmarkStart w:id="4268" w:name="_Caption9788"/>
      <w:bookmarkStart w:id="4269" w:name="_Caption3135"/>
      <w:bookmarkStart w:id="4270" w:name="_Caption1720"/>
      <w:bookmarkStart w:id="4271" w:name="_Caption6341"/>
      <w:bookmarkStart w:id="4272" w:name="_Caption7635"/>
      <w:bookmarkStart w:id="4273" w:name="_Caption1530"/>
      <w:bookmarkStart w:id="4274" w:name="_Caption6228"/>
      <w:bookmarkStart w:id="4275" w:name="_Caption1686"/>
      <w:bookmarkStart w:id="4276" w:name="_Caption7463"/>
      <w:bookmarkStart w:id="4277" w:name="_Caption5536"/>
      <w:bookmarkStart w:id="4278" w:name="_Caption1903"/>
      <w:bookmarkStart w:id="4279" w:name="_Caption0725"/>
      <w:bookmarkStart w:id="4280" w:name="_Caption2253"/>
      <w:bookmarkStart w:id="4281" w:name="_Caption0350"/>
      <w:bookmarkStart w:id="4282" w:name="_Caption3195"/>
      <w:bookmarkStart w:id="4283" w:name="_Caption5545"/>
      <w:bookmarkStart w:id="4284" w:name="_Caption9473"/>
      <w:bookmarkStart w:id="4285" w:name="_Caption6761"/>
      <w:bookmarkStart w:id="4286" w:name="_Caption2074"/>
      <w:bookmarkStart w:id="4287" w:name="_Caption9036"/>
      <w:bookmarkStart w:id="4288" w:name="_Caption4604"/>
      <w:bookmarkStart w:id="4289" w:name="_Caption3324"/>
      <w:bookmarkStart w:id="4290" w:name="_Caption5686"/>
      <w:bookmarkStart w:id="4291" w:name="_Caption9005"/>
      <w:bookmarkStart w:id="4292" w:name="_Caption9372"/>
      <w:bookmarkStart w:id="4293" w:name="_Caption7792"/>
      <w:bookmarkStart w:id="4294" w:name="_Caption2592"/>
      <w:bookmarkStart w:id="4295" w:name="_Caption6694"/>
      <w:bookmarkStart w:id="4296" w:name="_Caption1647"/>
      <w:bookmarkStart w:id="4297" w:name="_Toc19275615"/>
      <w:bookmarkStart w:id="4298" w:name="_Toc19276225"/>
      <w:bookmarkStart w:id="4299" w:name="_Toc19280224"/>
      <w:r w:rsidR="00C353B5">
        <w:rPr>
          <w:noProof/>
        </w:rPr>
        <w:t>7</w:t>
      </w:r>
      <w:r w:rsidR="00C353B5" w:rsidRPr="00695C93">
        <w:rPr>
          <w:noProof/>
        </w:rPr>
        <w:t>.</w:t>
      </w:r>
      <w:r w:rsidR="00C353B5">
        <w:rPr>
          <w:noProof/>
        </w:rPr>
        <w:t>1</w:t>
      </w:r>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r w:rsidRPr="00695C93">
        <w:fldChar w:fldCharType="end"/>
      </w:r>
      <w:r w:rsidRPr="00695C93">
        <w:tab/>
      </w:r>
      <w:r>
        <w:t>Major shopping centre portfolios</w:t>
      </w:r>
      <w:bookmarkEnd w:id="4297"/>
      <w:bookmarkEnd w:id="4298"/>
      <w:bookmarkEnd w:id="4299"/>
    </w:p>
    <w:tbl>
      <w:tblPr>
        <w:tblW w:w="0" w:type="auto"/>
        <w:tblLayout w:type="fixed"/>
        <w:tblLook w:val="0000" w:firstRow="0" w:lastRow="0" w:firstColumn="0" w:lastColumn="0" w:noHBand="0" w:noVBand="0"/>
      </w:tblPr>
      <w:tblGrid>
        <w:gridCol w:w="3261"/>
        <w:gridCol w:w="2030"/>
        <w:gridCol w:w="2646"/>
      </w:tblGrid>
      <w:tr w:rsidR="00ED0E85" w14:paraId="6285AC0E" w14:textId="77777777" w:rsidTr="00ED0E85">
        <w:trPr>
          <w:tblHeader/>
        </w:trPr>
        <w:tc>
          <w:tcPr>
            <w:tcW w:w="3261" w:type="dxa"/>
            <w:shd w:val="clear" w:color="auto" w:fill="6F6652"/>
            <w:tcMar>
              <w:left w:w="57" w:type="dxa"/>
              <w:right w:w="57" w:type="dxa"/>
            </w:tcMar>
          </w:tcPr>
          <w:p w14:paraId="5D2D8A59" w14:textId="77777777" w:rsidR="00ED0E85" w:rsidRDefault="00ED0E85" w:rsidP="00ED0E85">
            <w:pPr>
              <w:pStyle w:val="TableDataColumnHeading"/>
              <w:jc w:val="left"/>
            </w:pPr>
            <w:bookmarkStart w:id="4300" w:name="_Hlk16171431"/>
            <w:r>
              <w:t>Business</w:t>
            </w:r>
          </w:p>
        </w:tc>
        <w:tc>
          <w:tcPr>
            <w:tcW w:w="2030" w:type="dxa"/>
            <w:shd w:val="clear" w:color="auto" w:fill="6F6652"/>
            <w:tcMar>
              <w:left w:w="57" w:type="dxa"/>
              <w:right w:w="57" w:type="dxa"/>
            </w:tcMar>
          </w:tcPr>
          <w:p w14:paraId="37216522" w14:textId="77777777" w:rsidR="00ED0E85" w:rsidRDefault="00ED0E85" w:rsidP="00ED0E85">
            <w:pPr>
              <w:pStyle w:val="TableDataColumnHeading"/>
            </w:pPr>
            <w:r>
              <w:t>Number of shopping centres</w:t>
            </w:r>
          </w:p>
        </w:tc>
        <w:tc>
          <w:tcPr>
            <w:tcW w:w="2646" w:type="dxa"/>
            <w:shd w:val="clear" w:color="auto" w:fill="6F6652"/>
            <w:tcMar>
              <w:left w:w="57" w:type="dxa"/>
              <w:right w:w="57" w:type="dxa"/>
            </w:tcMar>
          </w:tcPr>
          <w:p w14:paraId="173189F1" w14:textId="77777777" w:rsidR="00ED0E85" w:rsidRDefault="00ED0E85" w:rsidP="00ED0E85">
            <w:pPr>
              <w:pStyle w:val="TableDataColumnHeading"/>
            </w:pPr>
            <w:r>
              <w:t>GLAR</w:t>
            </w:r>
          </w:p>
        </w:tc>
      </w:tr>
      <w:tr w:rsidR="00ED0E85" w14:paraId="57D7F1E5" w14:textId="77777777" w:rsidTr="00ED0E85">
        <w:trPr>
          <w:tblHeader/>
        </w:trPr>
        <w:tc>
          <w:tcPr>
            <w:tcW w:w="3261" w:type="dxa"/>
            <w:tcBorders>
              <w:bottom w:val="single" w:sz="8" w:space="0" w:color="FFFFFF" w:themeColor="background1"/>
            </w:tcBorders>
            <w:shd w:val="clear" w:color="auto" w:fill="auto"/>
            <w:tcMar>
              <w:left w:w="57" w:type="dxa"/>
              <w:right w:w="57" w:type="dxa"/>
            </w:tcMar>
          </w:tcPr>
          <w:p w14:paraId="3D267632" w14:textId="77777777" w:rsidR="00ED0E85" w:rsidRDefault="00ED0E85" w:rsidP="00ED0E85">
            <w:pPr>
              <w:pStyle w:val="TableUnit"/>
              <w:jc w:val="left"/>
            </w:pPr>
          </w:p>
        </w:tc>
        <w:tc>
          <w:tcPr>
            <w:tcW w:w="2030" w:type="dxa"/>
            <w:tcBorders>
              <w:bottom w:val="single" w:sz="8" w:space="0" w:color="FFFFFF" w:themeColor="background1"/>
            </w:tcBorders>
            <w:shd w:val="clear" w:color="auto" w:fill="auto"/>
            <w:tcMar>
              <w:left w:w="57" w:type="dxa"/>
              <w:right w:w="57" w:type="dxa"/>
            </w:tcMar>
          </w:tcPr>
          <w:p w14:paraId="07911F3B" w14:textId="77777777" w:rsidR="00ED0E85" w:rsidRDefault="00ED0E85" w:rsidP="00ED0E85">
            <w:pPr>
              <w:pStyle w:val="TableUnit"/>
            </w:pPr>
            <w:r>
              <w:t>No.</w:t>
            </w:r>
          </w:p>
        </w:tc>
        <w:tc>
          <w:tcPr>
            <w:tcW w:w="2646" w:type="dxa"/>
            <w:tcBorders>
              <w:bottom w:val="single" w:sz="8" w:space="0" w:color="FFFFFF" w:themeColor="background1"/>
            </w:tcBorders>
            <w:shd w:val="clear" w:color="auto" w:fill="auto"/>
            <w:tcMar>
              <w:left w:w="57" w:type="dxa"/>
              <w:right w:w="57" w:type="dxa"/>
            </w:tcMar>
          </w:tcPr>
          <w:p w14:paraId="6567BD59" w14:textId="77777777" w:rsidR="00ED0E85" w:rsidRDefault="00ED0E85" w:rsidP="00ED0E85">
            <w:pPr>
              <w:pStyle w:val="TableUnit"/>
            </w:pPr>
            <w:r>
              <w:t>m</w:t>
            </w:r>
            <w:r w:rsidRPr="009253DC">
              <w:rPr>
                <w:vertAlign w:val="superscript"/>
              </w:rPr>
              <w:t>2</w:t>
            </w:r>
          </w:p>
        </w:tc>
      </w:tr>
      <w:tr w:rsidR="00ED0E85" w14:paraId="16C2EF64" w14:textId="77777777" w:rsidTr="00ED0E85">
        <w:tc>
          <w:tcPr>
            <w:tcW w:w="32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267D3FB" w14:textId="77777777" w:rsidR="00ED0E85" w:rsidRDefault="00ED0E85" w:rsidP="00ED0E85">
            <w:pPr>
              <w:pStyle w:val="TableDataEntries"/>
              <w:jc w:val="left"/>
            </w:pPr>
            <w:r w:rsidRPr="00217B7F">
              <w:rPr>
                <w:sz w:val="18"/>
              </w:rPr>
              <w:t>Scentre</w:t>
            </w:r>
          </w:p>
        </w:tc>
        <w:tc>
          <w:tcPr>
            <w:tcW w:w="203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43C0C57" w14:textId="77777777" w:rsidR="00ED0E85" w:rsidRPr="00E163C0" w:rsidRDefault="00ED0E85" w:rsidP="00ED0E85">
            <w:pPr>
              <w:pStyle w:val="TableDataEntries"/>
            </w:pPr>
            <w:r w:rsidRPr="009253DC">
              <w:t>36</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EB23C5E" w14:textId="77777777" w:rsidR="00ED0E85" w:rsidRPr="00E163C0" w:rsidRDefault="00ED0E85" w:rsidP="00ED0E85">
            <w:pPr>
              <w:pStyle w:val="TableDataEntries"/>
            </w:pPr>
            <w:r w:rsidRPr="009253DC">
              <w:t>3 291 900</w:t>
            </w:r>
          </w:p>
        </w:tc>
      </w:tr>
      <w:tr w:rsidR="00ED0E85" w14:paraId="0B600296" w14:textId="77777777" w:rsidTr="00ED0E85">
        <w:tc>
          <w:tcPr>
            <w:tcW w:w="32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6691F0" w14:textId="77777777" w:rsidR="00ED0E85" w:rsidRDefault="00ED0E85" w:rsidP="00ED0E85">
            <w:pPr>
              <w:pStyle w:val="TableDataEntries"/>
              <w:jc w:val="left"/>
            </w:pPr>
            <w:r w:rsidRPr="00217B7F">
              <w:rPr>
                <w:sz w:val="18"/>
              </w:rPr>
              <w:t>Vicinity</w:t>
            </w:r>
          </w:p>
        </w:tc>
        <w:tc>
          <w:tcPr>
            <w:tcW w:w="203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CF99063" w14:textId="77777777" w:rsidR="00ED0E85" w:rsidRPr="00E163C0" w:rsidRDefault="00ED0E85" w:rsidP="00ED0E85">
            <w:pPr>
              <w:pStyle w:val="TableDataEntries"/>
            </w:pPr>
            <w:r w:rsidRPr="009253DC">
              <w:t>80</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D24E487" w14:textId="77777777" w:rsidR="00ED0E85" w:rsidRPr="00E163C0" w:rsidRDefault="00ED0E85" w:rsidP="00ED0E85">
            <w:pPr>
              <w:pStyle w:val="TableDataEntries"/>
            </w:pPr>
            <w:r w:rsidRPr="009253DC">
              <w:t>2 704 615</w:t>
            </w:r>
          </w:p>
        </w:tc>
      </w:tr>
      <w:tr w:rsidR="00ED0E85" w14:paraId="25B34CFF" w14:textId="77777777" w:rsidTr="00ED0E85">
        <w:tc>
          <w:tcPr>
            <w:tcW w:w="32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D4FEB90" w14:textId="77777777" w:rsidR="00ED0E85" w:rsidRDefault="00ED0E85" w:rsidP="00ED0E85">
            <w:pPr>
              <w:pStyle w:val="TableDataEntries"/>
              <w:jc w:val="left"/>
            </w:pPr>
            <w:r w:rsidRPr="00217B7F">
              <w:rPr>
                <w:sz w:val="18"/>
              </w:rPr>
              <w:t>SCA</w:t>
            </w:r>
          </w:p>
        </w:tc>
        <w:tc>
          <w:tcPr>
            <w:tcW w:w="203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E0CE08E" w14:textId="77777777" w:rsidR="00ED0E85" w:rsidRPr="00E163C0" w:rsidRDefault="00ED0E85" w:rsidP="00ED0E85">
            <w:pPr>
              <w:pStyle w:val="TableDataEntries"/>
            </w:pPr>
            <w:r w:rsidRPr="009253DC">
              <w:t>77</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0FA17E" w14:textId="77777777" w:rsidR="00ED0E85" w:rsidRPr="00E163C0" w:rsidRDefault="00ED0E85" w:rsidP="00ED0E85">
            <w:pPr>
              <w:pStyle w:val="TableDataEntries"/>
            </w:pPr>
            <w:r w:rsidRPr="009253DC">
              <w:t>537 264</w:t>
            </w:r>
          </w:p>
        </w:tc>
      </w:tr>
      <w:tr w:rsidR="00ED0E85" w14:paraId="2871863E" w14:textId="77777777" w:rsidTr="00ED0E85">
        <w:tc>
          <w:tcPr>
            <w:tcW w:w="32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A9D8D87" w14:textId="77777777" w:rsidR="00ED0E85" w:rsidRDefault="00ED0E85" w:rsidP="00ED0E85">
            <w:pPr>
              <w:pStyle w:val="TableDataEntries"/>
              <w:jc w:val="left"/>
            </w:pPr>
            <w:r w:rsidRPr="00217B7F">
              <w:rPr>
                <w:sz w:val="18"/>
              </w:rPr>
              <w:t>GPT</w:t>
            </w:r>
          </w:p>
        </w:tc>
        <w:tc>
          <w:tcPr>
            <w:tcW w:w="203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94B6B68" w14:textId="77777777" w:rsidR="00ED0E85" w:rsidRPr="00E163C0" w:rsidRDefault="00ED0E85" w:rsidP="00ED0E85">
            <w:pPr>
              <w:pStyle w:val="TableDataEntries"/>
            </w:pPr>
            <w:r w:rsidRPr="009253DC">
              <w:t>13</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D6435D2" w14:textId="77777777" w:rsidR="00ED0E85" w:rsidRPr="00E163C0" w:rsidRDefault="00ED0E85" w:rsidP="00ED0E85">
            <w:pPr>
              <w:pStyle w:val="TableDataEntries"/>
            </w:pPr>
            <w:r w:rsidRPr="009253DC">
              <w:t>940 763</w:t>
            </w:r>
          </w:p>
        </w:tc>
      </w:tr>
      <w:tr w:rsidR="00ED0E85" w14:paraId="6FCF002B" w14:textId="77777777" w:rsidTr="00ED0E85">
        <w:tc>
          <w:tcPr>
            <w:tcW w:w="32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637C0E8" w14:textId="77777777" w:rsidR="00ED0E85" w:rsidRDefault="00ED0E85" w:rsidP="00ED0E85">
            <w:pPr>
              <w:pStyle w:val="TableDataEntries"/>
              <w:jc w:val="left"/>
            </w:pPr>
            <w:r w:rsidRPr="00217B7F">
              <w:rPr>
                <w:sz w:val="18"/>
              </w:rPr>
              <w:t>Mirvac</w:t>
            </w:r>
          </w:p>
        </w:tc>
        <w:tc>
          <w:tcPr>
            <w:tcW w:w="203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3F04997" w14:textId="77777777" w:rsidR="00ED0E85" w:rsidRPr="00E163C0" w:rsidRDefault="00ED0E85" w:rsidP="00ED0E85">
            <w:pPr>
              <w:pStyle w:val="TableDataEntries"/>
            </w:pPr>
            <w:r w:rsidRPr="009253DC">
              <w:t>17</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444005E" w14:textId="77777777" w:rsidR="00ED0E85" w:rsidRPr="00E163C0" w:rsidRDefault="00ED0E85" w:rsidP="00ED0E85">
            <w:pPr>
              <w:pStyle w:val="TableDataEntries"/>
            </w:pPr>
            <w:r w:rsidRPr="009253DC">
              <w:t>419 262</w:t>
            </w:r>
          </w:p>
        </w:tc>
      </w:tr>
      <w:tr w:rsidR="00ED0E85" w14:paraId="6A4058FD" w14:textId="77777777" w:rsidTr="00ED0E85">
        <w:tc>
          <w:tcPr>
            <w:tcW w:w="32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34672B8" w14:textId="77777777" w:rsidR="00ED0E85" w:rsidRDefault="00ED0E85" w:rsidP="00ED0E85">
            <w:pPr>
              <w:pStyle w:val="TableDataEntries"/>
              <w:jc w:val="left"/>
            </w:pPr>
            <w:r w:rsidRPr="00217B7F">
              <w:rPr>
                <w:sz w:val="18"/>
              </w:rPr>
              <w:t>Stockland</w:t>
            </w:r>
          </w:p>
        </w:tc>
        <w:tc>
          <w:tcPr>
            <w:tcW w:w="203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0ABFBD8" w14:textId="77777777" w:rsidR="00ED0E85" w:rsidRPr="00E163C0" w:rsidRDefault="00ED0E85" w:rsidP="00ED0E85">
            <w:pPr>
              <w:pStyle w:val="TableDataEntries"/>
            </w:pPr>
            <w:r w:rsidRPr="009253DC">
              <w:t>37</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0E9892E" w14:textId="77777777" w:rsidR="00ED0E85" w:rsidRPr="00E163C0" w:rsidRDefault="00ED0E85" w:rsidP="00ED0E85">
            <w:pPr>
              <w:pStyle w:val="TableDataEntries"/>
            </w:pPr>
            <w:r w:rsidRPr="009253DC">
              <w:t>1 044 958</w:t>
            </w:r>
          </w:p>
        </w:tc>
      </w:tr>
      <w:tr w:rsidR="00ED0E85" w14:paraId="0F2F963A" w14:textId="77777777" w:rsidTr="00ED0E85">
        <w:tc>
          <w:tcPr>
            <w:tcW w:w="32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1A2D35A" w14:textId="77777777" w:rsidR="00ED0E85" w:rsidRDefault="00ED0E85" w:rsidP="00ED0E85">
            <w:pPr>
              <w:pStyle w:val="TableDataEntries"/>
              <w:jc w:val="left"/>
            </w:pPr>
            <w:r w:rsidRPr="00217B7F">
              <w:rPr>
                <w:sz w:val="18"/>
              </w:rPr>
              <w:t>AMP</w:t>
            </w:r>
          </w:p>
        </w:tc>
        <w:tc>
          <w:tcPr>
            <w:tcW w:w="203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E92FDB0" w14:textId="77777777" w:rsidR="00ED0E85" w:rsidRPr="00E163C0" w:rsidRDefault="00ED0E85" w:rsidP="00ED0E85">
            <w:pPr>
              <w:pStyle w:val="TableDataEntries"/>
            </w:pPr>
            <w:r w:rsidRPr="009253DC">
              <w:t>33</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81B0230" w14:textId="77777777" w:rsidR="00ED0E85" w:rsidRPr="00E163C0" w:rsidRDefault="00ED0E85" w:rsidP="00ED0E85">
            <w:pPr>
              <w:pStyle w:val="TableDataEntries"/>
            </w:pPr>
            <w:r w:rsidRPr="009253DC">
              <w:t>1 600 000</w:t>
            </w:r>
          </w:p>
        </w:tc>
      </w:tr>
      <w:tr w:rsidR="00ED0E85" w:rsidRPr="00E163C0" w14:paraId="70839AEE" w14:textId="77777777" w:rsidTr="00ED0E85">
        <w:tc>
          <w:tcPr>
            <w:tcW w:w="3261"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2FA2D7AF" w14:textId="77777777" w:rsidR="00ED0E85" w:rsidRPr="00E163C0" w:rsidRDefault="00ED0E85" w:rsidP="00ED0E85">
            <w:pPr>
              <w:pStyle w:val="TableDataEntries"/>
              <w:jc w:val="left"/>
              <w:rPr>
                <w:rFonts w:ascii="Franklin Gothic Demi" w:hAnsi="Franklin Gothic Demi"/>
              </w:rPr>
            </w:pPr>
            <w:r w:rsidRPr="00E163C0">
              <w:rPr>
                <w:rFonts w:ascii="Franklin Gothic Demi" w:hAnsi="Franklin Gothic Demi"/>
              </w:rPr>
              <w:t>Total selected portfolios</w:t>
            </w:r>
          </w:p>
        </w:tc>
        <w:tc>
          <w:tcPr>
            <w:tcW w:w="2030"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15391949" w14:textId="77777777" w:rsidR="00ED0E85" w:rsidRPr="00E163C0" w:rsidRDefault="00ED0E85" w:rsidP="00ED0E85">
            <w:pPr>
              <w:pStyle w:val="TableDataEntries"/>
              <w:rPr>
                <w:rFonts w:ascii="Franklin Gothic Demi" w:hAnsi="Franklin Gothic Demi"/>
              </w:rPr>
            </w:pPr>
            <w:r w:rsidRPr="00E163C0">
              <w:rPr>
                <w:rFonts w:ascii="Franklin Gothic Demi" w:hAnsi="Franklin Gothic Demi"/>
              </w:rPr>
              <w:t>293</w:t>
            </w:r>
          </w:p>
        </w:tc>
        <w:tc>
          <w:tcPr>
            <w:tcW w:w="2646"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4A8BCEA6" w14:textId="77777777" w:rsidR="00ED0E85" w:rsidRPr="00E163C0" w:rsidRDefault="00ED0E85" w:rsidP="00ED0E85">
            <w:pPr>
              <w:pStyle w:val="TableDataEntries"/>
              <w:rPr>
                <w:rFonts w:ascii="Franklin Gothic Demi" w:hAnsi="Franklin Gothic Demi"/>
              </w:rPr>
            </w:pPr>
            <w:r w:rsidRPr="00E163C0">
              <w:rPr>
                <w:rFonts w:ascii="Franklin Gothic Demi" w:hAnsi="Franklin Gothic Demi"/>
              </w:rPr>
              <w:t>10 538 762</w:t>
            </w:r>
          </w:p>
        </w:tc>
      </w:tr>
      <w:tr w:rsidR="00ED0E85" w14:paraId="10E1D8D3" w14:textId="77777777" w:rsidTr="00ED0E85">
        <w:tc>
          <w:tcPr>
            <w:tcW w:w="326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3DB9A7F" w14:textId="77777777" w:rsidR="00ED0E85" w:rsidRDefault="00ED0E85" w:rsidP="00ED0E85">
            <w:pPr>
              <w:pStyle w:val="TableDataEntries"/>
              <w:jc w:val="left"/>
            </w:pPr>
            <w:r w:rsidRPr="00217B7F">
              <w:rPr>
                <w:sz w:val="18"/>
              </w:rPr>
              <w:t>Centres over 1</w:t>
            </w:r>
            <w:r>
              <w:rPr>
                <w:sz w:val="18"/>
              </w:rPr>
              <w:t>0 </w:t>
            </w:r>
            <w:r w:rsidRPr="00217B7F">
              <w:rPr>
                <w:sz w:val="18"/>
              </w:rPr>
              <w:t>000</w:t>
            </w:r>
            <w:r>
              <w:rPr>
                <w:sz w:val="18"/>
              </w:rPr>
              <w:t xml:space="preserve"> </w:t>
            </w:r>
            <w:r w:rsidRPr="00217B7F">
              <w:rPr>
                <w:sz w:val="18"/>
              </w:rPr>
              <w:t>m</w:t>
            </w:r>
            <w:r w:rsidRPr="009253DC">
              <w:rPr>
                <w:sz w:val="18"/>
                <w:vertAlign w:val="superscript"/>
              </w:rPr>
              <w:t>2</w:t>
            </w:r>
            <w:r>
              <w:rPr>
                <w:sz w:val="18"/>
              </w:rPr>
              <w:t xml:space="preserve"> – source 1</w:t>
            </w:r>
          </w:p>
        </w:tc>
        <w:tc>
          <w:tcPr>
            <w:tcW w:w="203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AC29B55" w14:textId="77777777" w:rsidR="00ED0E85" w:rsidRPr="00E163C0" w:rsidRDefault="00ED0E85" w:rsidP="00ED0E85">
            <w:pPr>
              <w:pStyle w:val="TableDataEntries"/>
            </w:pPr>
            <w:r w:rsidRPr="009253DC">
              <w:t>588</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6CDD143" w14:textId="77777777" w:rsidR="00ED0E85" w:rsidRPr="00E163C0" w:rsidRDefault="00ED0E85" w:rsidP="00ED0E85">
            <w:pPr>
              <w:pStyle w:val="TableDataEntries"/>
            </w:pPr>
            <w:r w:rsidRPr="009253DC">
              <w:t>18 137 968</w:t>
            </w:r>
          </w:p>
        </w:tc>
      </w:tr>
      <w:tr w:rsidR="00ED0E85" w14:paraId="74AF66E3" w14:textId="77777777" w:rsidTr="00ED0E85">
        <w:tc>
          <w:tcPr>
            <w:tcW w:w="3261"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4347D631" w14:textId="77777777" w:rsidR="00ED0E85" w:rsidRPr="00217B7F" w:rsidRDefault="00ED0E85" w:rsidP="00ED0E85">
            <w:pPr>
              <w:pStyle w:val="TableDataEntries"/>
              <w:jc w:val="left"/>
              <w:rPr>
                <w:sz w:val="18"/>
              </w:rPr>
            </w:pPr>
            <w:r>
              <w:rPr>
                <w:sz w:val="18"/>
              </w:rPr>
              <w:t>Centres over 5000 m</w:t>
            </w:r>
            <w:r w:rsidRPr="009253DC">
              <w:rPr>
                <w:sz w:val="18"/>
                <w:vertAlign w:val="superscript"/>
              </w:rPr>
              <w:t>2</w:t>
            </w:r>
            <w:r>
              <w:rPr>
                <w:sz w:val="18"/>
              </w:rPr>
              <w:t xml:space="preserve"> – source 2</w:t>
            </w:r>
          </w:p>
        </w:tc>
        <w:tc>
          <w:tcPr>
            <w:tcW w:w="2030"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35F0F0D7" w14:textId="77777777" w:rsidR="00ED0E85" w:rsidRPr="009253DC" w:rsidRDefault="00ED0E85" w:rsidP="00ED0E85">
            <w:pPr>
              <w:pStyle w:val="TableDataEntries"/>
            </w:pPr>
            <w:r w:rsidRPr="009253DC">
              <w:t>875</w:t>
            </w:r>
          </w:p>
        </w:tc>
        <w:tc>
          <w:tcPr>
            <w:tcW w:w="2646"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7754362D" w14:textId="77777777" w:rsidR="00ED0E85" w:rsidRPr="009253DC" w:rsidRDefault="00ED0E85" w:rsidP="00ED0E85">
            <w:pPr>
              <w:pStyle w:val="TableDataEntries"/>
            </w:pPr>
            <w:r w:rsidRPr="009253DC">
              <w:t>17 187 167</w:t>
            </w:r>
          </w:p>
        </w:tc>
      </w:tr>
    </w:tbl>
    <w:bookmarkEnd w:id="4300"/>
    <w:p w14:paraId="080B0D20" w14:textId="77777777" w:rsidR="00ED0E85" w:rsidRDefault="00ED0E85" w:rsidP="00ED0E85">
      <w:pPr>
        <w:pStyle w:val="Source"/>
      </w:pPr>
      <w:r>
        <w:rPr>
          <w:i/>
        </w:rPr>
        <w:t>Source</w:t>
      </w:r>
      <w:r w:rsidRPr="00E4232C">
        <w:rPr>
          <w:i/>
        </w:rPr>
        <w:t>:</w:t>
      </w:r>
      <w:r>
        <w:t xml:space="preserve">  SCA Annual Report 2018, </w:t>
      </w:r>
      <w:hyperlink r:id="rId79" w:history="1">
        <w:r w:rsidRPr="00B26BE2">
          <w:rPr>
            <w:rStyle w:val="Hyperlink"/>
          </w:rPr>
          <w:t>https://www.scaproperty.com.au/Resources/pdf/LCM448_AR_2018_Complete%20vFs.pdf</w:t>
        </w:r>
      </w:hyperlink>
      <w:r>
        <w:t xml:space="preserve">; Mirvac Annual Report 2018, </w:t>
      </w:r>
      <w:hyperlink r:id="rId80" w:history="1">
        <w:r w:rsidRPr="00B26BE2">
          <w:rPr>
            <w:rStyle w:val="Hyperlink"/>
          </w:rPr>
          <w:t>https://groupir.mirvac.com/icms_docs/291482_MGR_FY18_Annual_Report.pdf</w:t>
        </w:r>
      </w:hyperlink>
      <w:r>
        <w:t xml:space="preserve">; AMP Capital website, </w:t>
      </w:r>
      <w:hyperlink r:id="rId81" w:history="1">
        <w:r w:rsidRPr="00B26BE2">
          <w:rPr>
            <w:rStyle w:val="Hyperlink"/>
          </w:rPr>
          <w:t>https://www.ampcapital.com/au/en/assets/shopping-centres</w:t>
        </w:r>
      </w:hyperlink>
      <w:r>
        <w:t xml:space="preserve">; GPT Sustainability data pack 2019, </w:t>
      </w:r>
    </w:p>
    <w:p w14:paraId="2B034571" w14:textId="77777777" w:rsidR="00ED0E85" w:rsidRDefault="00C353B5" w:rsidP="00ED0E85">
      <w:pPr>
        <w:pStyle w:val="Source"/>
      </w:pPr>
      <w:hyperlink r:id="rId82" w:history="1">
        <w:r w:rsidR="00ED0E85" w:rsidRPr="00391915">
          <w:rPr>
            <w:rStyle w:val="Hyperlink"/>
          </w:rPr>
          <w:t>https://www.gpt.com.au/sites/default/files/document/GPT_Environment%20Data%20Pack_2019.xlsx</w:t>
        </w:r>
      </w:hyperlink>
      <w:r w:rsidR="00ED0E85">
        <w:t xml:space="preserve">; Vicinity FY2018 Sustainability performance pack, </w:t>
      </w:r>
      <w:hyperlink r:id="rId83" w:history="1">
        <w:r w:rsidR="00ED0E85" w:rsidRPr="00B26BE2">
          <w:rPr>
            <w:rStyle w:val="Hyperlink"/>
          </w:rPr>
          <w:t>http://sustainability.vicinity.com.au/media/9601492/vcx-fy18-sustainability-performance-pack-2018.xlsx</w:t>
        </w:r>
      </w:hyperlink>
      <w:r w:rsidR="00ED0E85">
        <w:t xml:space="preserve">; Scentre Group Sustainability Report 2018, </w:t>
      </w:r>
      <w:hyperlink r:id="rId84" w:history="1">
        <w:r w:rsidR="00ED0E85">
          <w:rPr>
            <w:rStyle w:val="Hyperlink"/>
          </w:rPr>
          <w:t>https://www.scentregroup.com/getmedia/e29122fe-784f-42f4-88cc-d3657f5f8a32/Scentre-Group-2018-Sustainability-Report_V2.pdf?ext=.pdf</w:t>
        </w:r>
      </w:hyperlink>
      <w:r w:rsidR="00ED0E85">
        <w:t xml:space="preserve">; Stockland Property portfolio, </w:t>
      </w:r>
      <w:hyperlink r:id="rId85" w:history="1">
        <w:r w:rsidR="00ED0E85" w:rsidRPr="00B26BE2">
          <w:rPr>
            <w:rStyle w:val="Hyperlink"/>
          </w:rPr>
          <w:t>https://www.stockland.com.au/~/media/corporate/pdf/investor-centre/property-portfolio/stockland-property-portfolio-1h19-xls.ashx</w:t>
        </w:r>
      </w:hyperlink>
      <w:r w:rsidR="00ED0E85">
        <w:t xml:space="preserve">.     </w:t>
      </w:r>
    </w:p>
    <w:p w14:paraId="378BB819" w14:textId="77777777" w:rsidR="00ED0E85" w:rsidRDefault="00ED0E85" w:rsidP="00ED0E85">
      <w:pPr>
        <w:pStyle w:val="Heading3"/>
        <w:numPr>
          <w:ilvl w:val="2"/>
          <w:numId w:val="5"/>
        </w:numPr>
      </w:pPr>
      <w:r>
        <w:t>Energy use and energy costs</w:t>
      </w:r>
    </w:p>
    <w:p w14:paraId="06226BD4" w14:textId="77777777" w:rsidR="00ED0E85" w:rsidRDefault="00ED0E85" w:rsidP="00ED0E85">
      <w:pPr>
        <w:pStyle w:val="BodyText"/>
      </w:pPr>
      <w:r>
        <w:t>Shopping centre energy is similar to office and can be broken into ‘base building’ and ‘tenant’. Base building covers energy use such as lighting in common areas, car parks, heating and cooling, elevators and escalators. Tenant energy use covers lighting and equipment within the tenanted area. Major tenants may also provide their own heating and cooling, rather than using services provided by the shopping centre.</w:t>
      </w:r>
    </w:p>
    <w:p w14:paraId="718F6833" w14:textId="77777777" w:rsidR="00ED0E85" w:rsidRDefault="00ED0E85" w:rsidP="00ED0E85">
      <w:pPr>
        <w:pStyle w:val="BodyText"/>
      </w:pPr>
      <w:r>
        <w:t xml:space="preserve">The lease arrangements for shopping centres, similar to offices, can be gross lease or net lease. Larger tenants more typically pay a gross rent and the energy costs of the building are the responsibility of the building owner. Smaller tenants typically pay a net rent and then pay outgoings, of which energy costs are one component. </w:t>
      </w:r>
    </w:p>
    <w:p w14:paraId="259D519C" w14:textId="77777777" w:rsidR="00ED0E85" w:rsidRDefault="00ED0E85" w:rsidP="00ED0E85">
      <w:pPr>
        <w:pStyle w:val="BodyText"/>
      </w:pPr>
      <w:r>
        <w:t>Utilities costs (of which energy is a part) of a shopping centre is estimated by IBISworld at 2.5 per cent of the shopping centres costs (not including the tenants costs).</w:t>
      </w:r>
      <w:r>
        <w:rPr>
          <w:rStyle w:val="FootnoteReference"/>
          <w:rFonts w:cs="Georgia"/>
        </w:rPr>
        <w:footnoteReference w:id="42"/>
      </w:r>
      <w:r>
        <w:t xml:space="preserve"> Using data on energy intensity from NAB</w:t>
      </w:r>
      <w:r w:rsidRPr="002E0E82">
        <w:t>ERS energy ratings, the share for energy is smaller. For example, a typical shopping centre uses 300-400 MJ of energy per m</w:t>
      </w:r>
      <w:r w:rsidRPr="009253DC">
        <w:rPr>
          <w:vertAlign w:val="superscript"/>
        </w:rPr>
        <w:t>2</w:t>
      </w:r>
      <w:r w:rsidRPr="002E0E82">
        <w:t xml:space="preserve"> of GLAR. At a cost of 5-10 cents per MJ, this equates to $1.5-$4 per square metre. In comparison, property portfolio income per squar</w:t>
      </w:r>
      <w:r>
        <w:t>e metre for a business such as Scentre is ~$600 per square metre.</w:t>
      </w:r>
      <w:r>
        <w:rPr>
          <w:rStyle w:val="FootnoteReference"/>
        </w:rPr>
        <w:footnoteReference w:id="43"/>
      </w:r>
      <w:r>
        <w:t xml:space="preserve"> Sales of goods per square metre for some retail space can be above $10 000.</w:t>
      </w:r>
      <w:r>
        <w:rPr>
          <w:rStyle w:val="FootnoteReference"/>
        </w:rPr>
        <w:footnoteReference w:id="44"/>
      </w:r>
      <w:r>
        <w:t xml:space="preserve"> </w:t>
      </w:r>
    </w:p>
    <w:p w14:paraId="1F508280" w14:textId="77777777" w:rsidR="00ED0E85" w:rsidRDefault="00ED0E85" w:rsidP="00ED0E85">
      <w:pPr>
        <w:pStyle w:val="Heading3"/>
        <w:numPr>
          <w:ilvl w:val="2"/>
          <w:numId w:val="5"/>
        </w:numPr>
      </w:pPr>
      <w:r>
        <w:t>Current disclosure of energy performance by shopping centres</w:t>
      </w:r>
    </w:p>
    <w:p w14:paraId="6EAB1E25" w14:textId="77777777" w:rsidR="00ED0E85" w:rsidRPr="000E2FE4" w:rsidRDefault="00ED0E85" w:rsidP="00ED0E85">
      <w:pPr>
        <w:pStyle w:val="BodyText"/>
      </w:pPr>
      <w:r>
        <w:t>Shopping centres undertake a range of existing disclosures of energy performance, both mandatory and voluntary.</w:t>
      </w:r>
    </w:p>
    <w:p w14:paraId="35B073BE" w14:textId="77777777" w:rsidR="00ED0E85" w:rsidRDefault="00ED0E85" w:rsidP="00ED0E85">
      <w:pPr>
        <w:pStyle w:val="BodyText"/>
      </w:pPr>
      <w:r>
        <w:t>Shopping centre owners have legislative requirements to provide tenants with estimates of outgoings, which includes energy costs.</w:t>
      </w:r>
      <w:r>
        <w:rPr>
          <w:rStyle w:val="FootnoteReference"/>
        </w:rPr>
        <w:footnoteReference w:id="45"/>
      </w:r>
      <w:r>
        <w:t xml:space="preserve"> For example, in NSW, the </w:t>
      </w:r>
      <w:r w:rsidRPr="003A6E1B">
        <w:rPr>
          <w:i/>
        </w:rPr>
        <w:t>Retail Lease Act 1994</w:t>
      </w:r>
      <w:r>
        <w:t xml:space="preserve"> specifies that an outgoing statement should include the following information on electricity costs and gas costs (Schedule 2, Part 5, clause 14.11), as well as other outgoing such as waste management, air conditioning maintenance, administration and security. </w:t>
      </w:r>
    </w:p>
    <w:p w14:paraId="4D551511" w14:textId="77777777" w:rsidR="00ED0E85" w:rsidRDefault="00ED0E85" w:rsidP="00ED0E85">
      <w:pPr>
        <w:pStyle w:val="BodyText"/>
      </w:pPr>
      <w:r>
        <w:t>Shopping centres also often disclose their environmental performance, in public sustainability reports.</w:t>
      </w:r>
    </w:p>
    <w:p w14:paraId="54160D3C" w14:textId="77777777" w:rsidR="00ED0E85" w:rsidRDefault="00ED0E85" w:rsidP="00ED0E85">
      <w:pPr>
        <w:pStyle w:val="ListBullet"/>
      </w:pPr>
      <w:r>
        <w:t>Metrics presented include GHG emissions and GHG emissions per square metre of GLAR, as well as energy intensity (MJ or MWH per GLAR)</w:t>
      </w:r>
    </w:p>
    <w:p w14:paraId="6D068B63" w14:textId="77777777" w:rsidR="00ED0E85" w:rsidRDefault="00ED0E85" w:rsidP="00ED0E85">
      <w:pPr>
        <w:pStyle w:val="ListBullet"/>
      </w:pPr>
      <w:r>
        <w:t>Where companies use NABERS or other tools such as GreenStar, these ratings are often (but not always) reported in sustainability reports</w:t>
      </w:r>
    </w:p>
    <w:p w14:paraId="2F1E57F1" w14:textId="77777777" w:rsidR="00ED0E85" w:rsidRPr="003A6E1B" w:rsidRDefault="00ED0E85" w:rsidP="00ED0E85">
      <w:pPr>
        <w:pStyle w:val="ListBullet"/>
      </w:pPr>
      <w:r>
        <w:t>Sustainability reports either present data in aggregate for the retail portfolio, or at an individual asset level (i.e. for each shopping centre).</w:t>
      </w:r>
    </w:p>
    <w:p w14:paraId="3A207F82" w14:textId="050000F4" w:rsidR="00ED0E85" w:rsidRDefault="00ED0E85" w:rsidP="00ED0E85">
      <w:pPr>
        <w:pStyle w:val="BodyText"/>
      </w:pPr>
      <w:r>
        <w:t>Disclosure of energy performance also includes a large number of shopping centres that use NABERS energy ratings. In 2018, over 7.5 million square metres was rated using the NABERS energy tool covering 172 centres (chart</w:t>
      </w:r>
      <w:r>
        <w:rPr>
          <w:noProof/>
        </w:rPr>
        <w:t xml:space="preserve"> </w:t>
      </w:r>
      <w:r>
        <w:rPr>
          <w:noProof/>
        </w:rPr>
        <w:fldChar w:fldCharType="begin"/>
      </w:r>
      <w:r>
        <w:rPr>
          <w:noProof/>
        </w:rPr>
        <w:instrText xml:space="preserve"> REF _Caption8157 </w:instrText>
      </w:r>
      <w:r>
        <w:rPr>
          <w:noProof/>
        </w:rPr>
        <w:fldChar w:fldCharType="separate"/>
      </w:r>
      <w:r w:rsidR="00AD3561">
        <w:rPr>
          <w:noProof/>
        </w:rPr>
        <w:t>7</w:t>
      </w:r>
      <w:r w:rsidR="00AD3561" w:rsidRPr="00695C93">
        <w:rPr>
          <w:noProof/>
        </w:rPr>
        <w:t>.</w:t>
      </w:r>
      <w:r w:rsidR="00AD3561">
        <w:rPr>
          <w:noProof/>
        </w:rPr>
        <w:t>2</w:t>
      </w:r>
      <w:r>
        <w:rPr>
          <w:noProof/>
        </w:rPr>
        <w:fldChar w:fldCharType="end"/>
      </w:r>
      <w:r>
        <w:rPr>
          <w:noProof/>
        </w:rPr>
        <w:t>)</w:t>
      </w:r>
      <w:r>
        <w:t>. In total, more than 230 centres have been rated at some time. NABERS estimates that 46 per cent of the shopping centres over 15 000 m</w:t>
      </w:r>
      <w:r w:rsidRPr="009253DC">
        <w:rPr>
          <w:vertAlign w:val="superscript"/>
        </w:rPr>
        <w:t>2</w:t>
      </w:r>
      <w:r>
        <w:t xml:space="preserve"> are rated.</w:t>
      </w:r>
      <w:r>
        <w:rPr>
          <w:rStyle w:val="FootnoteReference"/>
        </w:rPr>
        <w:footnoteReference w:id="46"/>
      </w:r>
    </w:p>
    <w:p w14:paraId="0BC87898" w14:textId="77777777" w:rsidR="00ED0E85" w:rsidRDefault="00ED0E85" w:rsidP="00ED0E85">
      <w:pPr>
        <w:pStyle w:val="BodyText"/>
      </w:pPr>
      <w:r>
        <w:t>The penetration of NABERS energy ratings into shopping centres on a voluntary basis indicates that many shopping centres find that it provides them with useful information to either improve or promote their energy performance.</w:t>
      </w:r>
    </w:p>
    <w:p w14:paraId="24C714F2" w14:textId="34F85F76"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7</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7</w:instrText>
      </w:r>
      <w:r>
        <w:rPr>
          <w:noProof/>
        </w:rPr>
        <w:fldChar w:fldCharType="end"/>
      </w:r>
      <w:r w:rsidRPr="00695C93">
        <w:instrText xml:space="preserve">." </w:instrText>
      </w:r>
      <w:r w:rsidRPr="00695C93">
        <w:fldChar w:fldCharType="separate"/>
      </w:r>
      <w:r w:rsidR="00AD3561">
        <w:rPr>
          <w:noProof/>
        </w:rPr>
        <w:instrText>7</w:instrText>
      </w:r>
      <w:r w:rsidR="00AD3561"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sidR="00C353B5">
        <w:rPr>
          <w:noProof/>
        </w:rPr>
        <w:instrText>7</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7</w:instrText>
      </w:r>
      <w:r>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2</w:instrText>
      </w:r>
      <w:r w:rsidRPr="00695C93">
        <w:fldChar w:fldCharType="end"/>
      </w:r>
      <w:r w:rsidRPr="00695C93">
        <w:instrText xml:space="preserve">" "" </w:instrText>
      </w:r>
      <w:r w:rsidRPr="00695C93">
        <w:fldChar w:fldCharType="separate"/>
      </w:r>
      <w:bookmarkStart w:id="4301" w:name="_Caption1963"/>
      <w:bookmarkStart w:id="4302" w:name="_Caption0231"/>
      <w:bookmarkStart w:id="4303" w:name="_Caption0302"/>
      <w:bookmarkStart w:id="4304" w:name="_Caption2551"/>
      <w:bookmarkStart w:id="4305" w:name="_Caption5035"/>
      <w:bookmarkStart w:id="4306" w:name="_Caption8114"/>
      <w:bookmarkStart w:id="4307" w:name="_Caption0605"/>
      <w:bookmarkStart w:id="4308" w:name="_Caption4910"/>
      <w:bookmarkStart w:id="4309" w:name="_Caption9086"/>
      <w:bookmarkStart w:id="4310" w:name="_Caption1479"/>
      <w:bookmarkStart w:id="4311" w:name="_Caption0790"/>
      <w:bookmarkStart w:id="4312" w:name="_Caption4621"/>
      <w:bookmarkStart w:id="4313" w:name="_Caption8334"/>
      <w:bookmarkStart w:id="4314" w:name="_Caption4026"/>
      <w:bookmarkStart w:id="4315" w:name="_Caption2490"/>
      <w:bookmarkStart w:id="4316" w:name="_Caption3542"/>
      <w:bookmarkStart w:id="4317" w:name="_Caption1229"/>
      <w:bookmarkStart w:id="4318" w:name="_Caption9511"/>
      <w:bookmarkStart w:id="4319" w:name="_Caption1570"/>
      <w:bookmarkStart w:id="4320" w:name="_Caption1215"/>
      <w:bookmarkStart w:id="4321" w:name="_Caption1345"/>
      <w:bookmarkStart w:id="4322" w:name="_Caption5676"/>
      <w:bookmarkStart w:id="4323" w:name="_Caption9107"/>
      <w:bookmarkStart w:id="4324" w:name="_Caption6429"/>
      <w:bookmarkStart w:id="4325" w:name="_Caption4987"/>
      <w:bookmarkStart w:id="4326" w:name="_Caption1099"/>
      <w:bookmarkStart w:id="4327" w:name="_Caption5656"/>
      <w:bookmarkStart w:id="4328" w:name="_Caption2146"/>
      <w:bookmarkStart w:id="4329" w:name="_Caption7893"/>
      <w:bookmarkStart w:id="4330" w:name="_Caption5384"/>
      <w:bookmarkStart w:id="4331" w:name="_Caption6061"/>
      <w:bookmarkStart w:id="4332" w:name="_Caption3405"/>
      <w:bookmarkStart w:id="4333" w:name="_Caption4679"/>
      <w:bookmarkStart w:id="4334" w:name="_Caption9600"/>
      <w:bookmarkStart w:id="4335" w:name="_Caption6390"/>
      <w:bookmarkStart w:id="4336" w:name="_Caption8034"/>
      <w:bookmarkStart w:id="4337" w:name="_Caption0677"/>
      <w:bookmarkStart w:id="4338" w:name="_Caption7682"/>
      <w:bookmarkStart w:id="4339" w:name="_Caption7019"/>
      <w:bookmarkStart w:id="4340" w:name="_Caption8501"/>
      <w:bookmarkStart w:id="4341" w:name="_Caption9569"/>
      <w:bookmarkStart w:id="4342" w:name="_Caption7931"/>
      <w:bookmarkStart w:id="4343" w:name="_Caption3892"/>
      <w:bookmarkStart w:id="4344" w:name="_Caption8157"/>
      <w:bookmarkStart w:id="4345" w:name="_Caption6210"/>
      <w:bookmarkStart w:id="4346" w:name="_Caption0242"/>
      <w:bookmarkStart w:id="4347" w:name="_Caption8480"/>
      <w:bookmarkStart w:id="4348" w:name="_Caption9491"/>
      <w:bookmarkStart w:id="4349" w:name="_Caption4235"/>
      <w:bookmarkStart w:id="4350" w:name="_Caption1950"/>
      <w:bookmarkStart w:id="4351" w:name="_Caption6152"/>
      <w:bookmarkStart w:id="4352" w:name="_Caption4177"/>
      <w:bookmarkStart w:id="4353" w:name="_Caption8209"/>
      <w:bookmarkStart w:id="4354" w:name="_Caption0718"/>
      <w:bookmarkStart w:id="4355" w:name="_Caption4637"/>
      <w:bookmarkStart w:id="4356" w:name="_Caption9236"/>
      <w:bookmarkStart w:id="4357" w:name="_Caption2053"/>
      <w:bookmarkStart w:id="4358" w:name="_Caption6905"/>
      <w:bookmarkStart w:id="4359" w:name="_Caption1036"/>
      <w:bookmarkStart w:id="4360" w:name="_Caption7854"/>
      <w:bookmarkStart w:id="4361" w:name="_Toc19275616"/>
      <w:bookmarkStart w:id="4362" w:name="_Toc19276226"/>
      <w:bookmarkStart w:id="4363" w:name="_Toc19280225"/>
      <w:r w:rsidR="00C353B5">
        <w:rPr>
          <w:noProof/>
        </w:rPr>
        <w:t>7</w:t>
      </w:r>
      <w:r w:rsidR="00C353B5" w:rsidRPr="00695C93">
        <w:rPr>
          <w:noProof/>
        </w:rPr>
        <w:t>.</w:t>
      </w:r>
      <w:r w:rsidR="00C353B5">
        <w:rPr>
          <w:noProof/>
        </w:rPr>
        <w:t>2</w:t>
      </w:r>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r w:rsidRPr="00695C93">
        <w:fldChar w:fldCharType="end"/>
      </w:r>
      <w:r w:rsidRPr="00695C93">
        <w:tab/>
      </w:r>
      <w:r>
        <w:t>Shopping centres rated using NABERS energy</w:t>
      </w:r>
      <w:bookmarkEnd w:id="4361"/>
      <w:bookmarkEnd w:id="4362"/>
      <w:bookmarkEnd w:id="4363"/>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07FE0D5B" w14:textId="77777777" w:rsidTr="00ED0E85">
        <w:trPr>
          <w:cantSplit/>
        </w:trPr>
        <w:tc>
          <w:tcPr>
            <w:tcW w:w="7938" w:type="dxa"/>
            <w:shd w:val="clear" w:color="auto" w:fill="E9E8E5" w:themeFill="background2"/>
          </w:tcPr>
          <w:p w14:paraId="047B4476" w14:textId="77777777" w:rsidR="00ED0E85" w:rsidRDefault="00ED0E85" w:rsidP="00ED0E85">
            <w:pPr>
              <w:pStyle w:val="Chart"/>
              <w:jc w:val="center"/>
            </w:pPr>
            <w:r w:rsidRPr="00EE1DBB">
              <w:rPr>
                <w:noProof/>
                <w:lang w:eastAsia="en-AU"/>
              </w:rPr>
              <w:drawing>
                <wp:inline distT="0" distB="0" distL="0" distR="0" wp14:anchorId="1097B18A" wp14:editId="2682AC36">
                  <wp:extent cx="4986029" cy="254317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6">
                            <a:extLst>
                              <a:ext uri="{28A0092B-C50C-407E-A947-70E740481C1C}">
                                <a14:useLocalDpi xmlns:a14="http://schemas.microsoft.com/office/drawing/2010/main" val="0"/>
                              </a:ext>
                            </a:extLst>
                          </a:blip>
                          <a:srcRect l="1689" b="5072"/>
                          <a:stretch/>
                        </pic:blipFill>
                        <pic:spPr bwMode="auto">
                          <a:xfrm>
                            <a:off x="0" y="0"/>
                            <a:ext cx="4996943" cy="254874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8530F29" w14:textId="77777777" w:rsidR="00ED0E85" w:rsidRDefault="00ED0E85" w:rsidP="00ED0E85">
      <w:pPr>
        <w:pStyle w:val="Source"/>
      </w:pPr>
      <w:r>
        <w:rPr>
          <w:i/>
        </w:rPr>
        <w:t>Note:</w:t>
      </w:r>
      <w:r>
        <w:t xml:space="preserve"> Square metres rated is gross lettable area retail (GLAR).</w:t>
      </w:r>
      <w:r>
        <w:rPr>
          <w:i/>
        </w:rPr>
        <w:br/>
        <w:t>Data source</w:t>
      </w:r>
      <w:r w:rsidRPr="00A67576">
        <w:rPr>
          <w:i/>
        </w:rPr>
        <w:t>:</w:t>
      </w:r>
      <w:r>
        <w:t xml:space="preserve"> NABERS; CIE analysis.</w:t>
      </w:r>
    </w:p>
    <w:p w14:paraId="65796D16" w14:textId="77777777" w:rsidR="00ED0E85" w:rsidRDefault="00ED0E85" w:rsidP="00ED0E85">
      <w:pPr>
        <w:pStyle w:val="Heading3"/>
        <w:numPr>
          <w:ilvl w:val="2"/>
          <w:numId w:val="5"/>
        </w:numPr>
      </w:pPr>
      <w:r>
        <w:t>Energy performance of shopping centres that use NABERS energy ratings</w:t>
      </w:r>
    </w:p>
    <w:p w14:paraId="7E5AD2FC" w14:textId="2551A76B" w:rsidR="00ED0E85" w:rsidRPr="001026D0" w:rsidRDefault="00ED0E85" w:rsidP="00ED0E85">
      <w:pPr>
        <w:pStyle w:val="BodyText"/>
      </w:pPr>
      <w:r>
        <w:t>The majority of shopping centres entering NABERS have ratings of 3-4 stars (chart </w:t>
      </w:r>
      <w:r w:rsidR="004550CB">
        <w:rPr>
          <w:noProof/>
        </w:rPr>
        <w:fldChar w:fldCharType="begin"/>
      </w:r>
      <w:r w:rsidR="004550CB">
        <w:rPr>
          <w:noProof/>
        </w:rPr>
        <w:instrText xml:space="preserve"> REF _Caption5996 </w:instrText>
      </w:r>
      <w:r w:rsidR="004550CB">
        <w:rPr>
          <w:noProof/>
        </w:rPr>
        <w:fldChar w:fldCharType="separate"/>
      </w:r>
      <w:r w:rsidR="00AD3561">
        <w:rPr>
          <w:noProof/>
        </w:rPr>
        <w:t>7</w:t>
      </w:r>
      <w:r w:rsidR="00AD3561" w:rsidRPr="003734F7">
        <w:rPr>
          <w:noProof/>
        </w:rPr>
        <w:t>.</w:t>
      </w:r>
      <w:r w:rsidR="00AD3561">
        <w:rPr>
          <w:noProof/>
        </w:rPr>
        <w:t>3</w:t>
      </w:r>
      <w:r w:rsidR="004550CB">
        <w:rPr>
          <w:noProof/>
        </w:rPr>
        <w:fldChar w:fldCharType="end"/>
      </w:r>
      <w:r>
        <w:t xml:space="preserve">). The distribution is also more concentrated in the middle than for offices, with a smaller share of shopping centres with very low levels of energy efficiency and very high levels of energy efficiency, relative to offices. Note that this presents the distribution based on the first rating for each shopping centre following the change in the NABERS energy tool in 2013, and the first rating for offices following mandatory disclosure. Some shopping centres and offices were engaged in NABERS energy prior to this. </w:t>
      </w:r>
    </w:p>
    <w:p w14:paraId="7D5D0042" w14:textId="6B65445C" w:rsidR="00ED0E85" w:rsidRPr="00695C93" w:rsidRDefault="00ED0E85" w:rsidP="00ED0E85">
      <w:pPr>
        <w:pStyle w:val="Caption"/>
      </w:pPr>
      <w:r w:rsidRPr="003734F7">
        <w:fldChar w:fldCharType="begin"/>
      </w:r>
      <w:r w:rsidRPr="003734F7">
        <w:instrText xml:space="preserve"> IF 1 = 1 "</w:instrText>
      </w:r>
      <w:r w:rsidRPr="003734F7">
        <w:fldChar w:fldCharType="begin"/>
      </w:r>
      <w:r w:rsidRPr="003734F7">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3734F7">
        <w:instrText xml:space="preserve"> = 0 "</w:instrText>
      </w:r>
      <w:r w:rsidRPr="003734F7">
        <w:fldChar w:fldCharType="begin"/>
      </w:r>
      <w:r w:rsidRPr="003734F7">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7</w:instrText>
      </w:r>
      <w:r w:rsidR="004550CB">
        <w:rPr>
          <w:noProof/>
        </w:rPr>
        <w:fldChar w:fldCharType="end"/>
      </w:r>
      <w:r w:rsidRPr="003734F7">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7</w:instrText>
      </w:r>
      <w:r w:rsidR="004550CB">
        <w:rPr>
          <w:noProof/>
        </w:rPr>
        <w:fldChar w:fldCharType="end"/>
      </w:r>
      <w:r w:rsidRPr="003734F7">
        <w:instrText xml:space="preserve">." </w:instrText>
      </w:r>
      <w:r w:rsidRPr="003734F7">
        <w:fldChar w:fldCharType="separate"/>
      </w:r>
      <w:r w:rsidR="00AD3561">
        <w:rPr>
          <w:noProof/>
        </w:rPr>
        <w:instrText>7</w:instrText>
      </w:r>
      <w:r w:rsidR="00AD3561" w:rsidRPr="003734F7">
        <w:rPr>
          <w:noProof/>
        </w:rPr>
        <w:instrText>.</w:instrText>
      </w:r>
      <w:r w:rsidRPr="003734F7">
        <w:fldChar w:fldCharType="end"/>
      </w:r>
      <w:r w:rsidRPr="003734F7">
        <w:instrText>" "</w:instrText>
      </w:r>
      <w:r w:rsidR="004550CB">
        <w:rPr>
          <w:noProof/>
        </w:rPr>
        <w:fldChar w:fldCharType="begin"/>
      </w:r>
      <w:r w:rsidR="004550CB">
        <w:rPr>
          <w:noProof/>
        </w:rPr>
        <w:instrText xml:space="preserve"> STYLEREF "Heading 6" \l \n </w:instrText>
      </w:r>
      <w:r w:rsidR="004550CB">
        <w:rPr>
          <w:noProof/>
        </w:rPr>
        <w:fldChar w:fldCharType="separate"/>
      </w:r>
      <w:r w:rsidRPr="003734F7">
        <w:rPr>
          <w:noProof/>
        </w:rPr>
        <w:instrText>A</w:instrText>
      </w:r>
      <w:r w:rsidR="004550CB">
        <w:rPr>
          <w:noProof/>
        </w:rPr>
        <w:fldChar w:fldCharType="end"/>
      </w:r>
      <w:r w:rsidRPr="003734F7">
        <w:instrText xml:space="preserve">." </w:instrText>
      </w:r>
      <w:r w:rsidRPr="003734F7">
        <w:fldChar w:fldCharType="separate"/>
      </w:r>
      <w:r w:rsidR="00C353B5">
        <w:rPr>
          <w:noProof/>
        </w:rPr>
        <w:instrText>7</w:instrText>
      </w:r>
      <w:r w:rsidR="00C353B5" w:rsidRPr="003734F7">
        <w:rPr>
          <w:noProof/>
        </w:rPr>
        <w:instrText>.</w:instrText>
      </w:r>
      <w:r w:rsidRPr="003734F7">
        <w:fldChar w:fldCharType="end"/>
      </w:r>
      <w:r w:rsidRPr="003734F7">
        <w:fldChar w:fldCharType="begin"/>
      </w:r>
      <w:r w:rsidRPr="003734F7">
        <w:instrText xml:space="preserve"> SEQ Item \* ARABIC \s </w:instrText>
      </w:r>
      <w:r w:rsidRPr="003734F7">
        <w:fldChar w:fldCharType="begin"/>
      </w:r>
      <w:r w:rsidRPr="003734F7">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3734F7">
        <w:instrText xml:space="preserve"> = 0 "</w:instrText>
      </w:r>
      <w:r w:rsidRPr="003734F7">
        <w:fldChar w:fldCharType="begin"/>
      </w:r>
      <w:r w:rsidRPr="003734F7">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7</w:instrText>
      </w:r>
      <w:r w:rsidR="004550CB">
        <w:rPr>
          <w:noProof/>
        </w:rPr>
        <w:fldChar w:fldCharType="end"/>
      </w:r>
      <w:r w:rsidRPr="003734F7">
        <w:instrText xml:space="preserve"> = 0 "" "1" </w:instrText>
      </w:r>
      <w:r w:rsidRPr="003734F7">
        <w:fldChar w:fldCharType="separate"/>
      </w:r>
      <w:r w:rsidR="00C353B5" w:rsidRPr="003734F7">
        <w:rPr>
          <w:noProof/>
        </w:rPr>
        <w:instrText>1</w:instrText>
      </w:r>
      <w:r w:rsidRPr="003734F7">
        <w:fldChar w:fldCharType="end"/>
      </w:r>
      <w:r w:rsidRPr="003734F7">
        <w:instrText xml:space="preserve">" "6" </w:instrText>
      </w:r>
      <w:r w:rsidRPr="003734F7">
        <w:fldChar w:fldCharType="separate"/>
      </w:r>
      <w:r w:rsidR="00C353B5" w:rsidRPr="003734F7">
        <w:rPr>
          <w:noProof/>
        </w:rPr>
        <w:instrText>1</w:instrText>
      </w:r>
      <w:r w:rsidRPr="003734F7">
        <w:fldChar w:fldCharType="end"/>
      </w:r>
      <w:r w:rsidRPr="003734F7">
        <w:instrText xml:space="preserve"> </w:instrText>
      </w:r>
      <w:r w:rsidRPr="003734F7">
        <w:fldChar w:fldCharType="separate"/>
      </w:r>
      <w:r w:rsidR="00AD3561">
        <w:rPr>
          <w:noProof/>
        </w:rPr>
        <w:instrText>3</w:instrText>
      </w:r>
      <w:r w:rsidRPr="003734F7">
        <w:fldChar w:fldCharType="end"/>
      </w:r>
      <w:r w:rsidRPr="003734F7">
        <w:instrText xml:space="preserve">" "" </w:instrText>
      </w:r>
      <w:r w:rsidRPr="003734F7">
        <w:fldChar w:fldCharType="separate"/>
      </w:r>
      <w:bookmarkStart w:id="4364" w:name="_Caption2511"/>
      <w:bookmarkStart w:id="4365" w:name="_Caption7226"/>
      <w:bookmarkStart w:id="4366" w:name="_Caption1451"/>
      <w:bookmarkStart w:id="4367" w:name="_Caption5594"/>
      <w:bookmarkStart w:id="4368" w:name="_Caption1164"/>
      <w:bookmarkStart w:id="4369" w:name="_Caption9182"/>
      <w:bookmarkStart w:id="4370" w:name="_Caption5758"/>
      <w:bookmarkStart w:id="4371" w:name="_Caption4269"/>
      <w:bookmarkStart w:id="4372" w:name="_Caption2076"/>
      <w:bookmarkStart w:id="4373" w:name="_Caption7313"/>
      <w:bookmarkStart w:id="4374" w:name="_Caption5287"/>
      <w:bookmarkStart w:id="4375" w:name="_Caption0669"/>
      <w:bookmarkStart w:id="4376" w:name="_Caption8868"/>
      <w:bookmarkStart w:id="4377" w:name="_Caption0288"/>
      <w:bookmarkStart w:id="4378" w:name="_Caption5839"/>
      <w:bookmarkStart w:id="4379" w:name="_Caption7240"/>
      <w:bookmarkStart w:id="4380" w:name="_Caption2618"/>
      <w:bookmarkStart w:id="4381" w:name="_Caption8336"/>
      <w:bookmarkStart w:id="4382" w:name="_Caption0141"/>
      <w:bookmarkStart w:id="4383" w:name="_Caption0894"/>
      <w:bookmarkStart w:id="4384" w:name="_Caption9730"/>
      <w:bookmarkStart w:id="4385" w:name="_Caption5182"/>
      <w:bookmarkStart w:id="4386" w:name="_Caption7692"/>
      <w:bookmarkStart w:id="4387" w:name="_Caption5468"/>
      <w:bookmarkStart w:id="4388" w:name="_Caption2184"/>
      <w:bookmarkStart w:id="4389" w:name="_Caption4054"/>
      <w:bookmarkStart w:id="4390" w:name="_Caption5925"/>
      <w:bookmarkStart w:id="4391" w:name="_Caption0736"/>
      <w:bookmarkStart w:id="4392" w:name="_Caption5491"/>
      <w:bookmarkStart w:id="4393" w:name="_Caption4181"/>
      <w:bookmarkStart w:id="4394" w:name="_Caption1708"/>
      <w:bookmarkStart w:id="4395" w:name="_Caption5996"/>
      <w:bookmarkStart w:id="4396" w:name="_Caption8740"/>
      <w:bookmarkStart w:id="4397" w:name="_Caption1726"/>
      <w:bookmarkStart w:id="4398" w:name="_Caption9771"/>
      <w:bookmarkStart w:id="4399" w:name="_Caption8796"/>
      <w:bookmarkStart w:id="4400" w:name="_Caption9495"/>
      <w:bookmarkStart w:id="4401" w:name="_Caption2158"/>
      <w:bookmarkStart w:id="4402" w:name="_Caption7946"/>
      <w:bookmarkStart w:id="4403" w:name="_Caption0489"/>
      <w:bookmarkStart w:id="4404" w:name="_Caption8732"/>
      <w:bookmarkStart w:id="4405" w:name="_Caption8118"/>
      <w:bookmarkStart w:id="4406" w:name="_Caption3005"/>
      <w:bookmarkStart w:id="4407" w:name="_Caption6503"/>
      <w:bookmarkStart w:id="4408" w:name="_Caption4635"/>
      <w:bookmarkStart w:id="4409" w:name="_Caption3929"/>
      <w:bookmarkStart w:id="4410" w:name="_Caption1777"/>
      <w:bookmarkStart w:id="4411" w:name="_Caption2174"/>
      <w:bookmarkStart w:id="4412" w:name="_Caption8556"/>
      <w:bookmarkStart w:id="4413" w:name="_Caption0945"/>
      <w:bookmarkStart w:id="4414" w:name="_Caption3226"/>
      <w:bookmarkStart w:id="4415" w:name="_Caption5864"/>
      <w:bookmarkStart w:id="4416" w:name="_Caption6912"/>
      <w:bookmarkStart w:id="4417" w:name="_Caption6167"/>
      <w:bookmarkStart w:id="4418" w:name="_Caption5918"/>
      <w:bookmarkStart w:id="4419" w:name="_Caption5095"/>
      <w:bookmarkStart w:id="4420" w:name="_Caption7706"/>
      <w:bookmarkStart w:id="4421" w:name="_Toc19275617"/>
      <w:bookmarkStart w:id="4422" w:name="_Toc19276227"/>
      <w:bookmarkStart w:id="4423" w:name="_Toc19280226"/>
      <w:r w:rsidR="00C353B5">
        <w:rPr>
          <w:noProof/>
        </w:rPr>
        <w:t>7</w:t>
      </w:r>
      <w:r w:rsidR="00C353B5" w:rsidRPr="003734F7">
        <w:rPr>
          <w:noProof/>
        </w:rPr>
        <w:t>.</w:t>
      </w:r>
      <w:r w:rsidR="00C353B5">
        <w:rPr>
          <w:noProof/>
        </w:rPr>
        <w:t>3</w:t>
      </w:r>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r w:rsidRPr="003734F7">
        <w:fldChar w:fldCharType="end"/>
      </w:r>
      <w:r w:rsidRPr="003734F7">
        <w:tab/>
        <w:t>Distribution of NABERS energy ratings for shopping centres</w:t>
      </w:r>
      <w:bookmarkEnd w:id="4421"/>
      <w:bookmarkEnd w:id="4422"/>
      <w:bookmarkEnd w:id="4423"/>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6FCB843F" w14:textId="77777777" w:rsidTr="00ED0E85">
        <w:trPr>
          <w:cantSplit/>
        </w:trPr>
        <w:tc>
          <w:tcPr>
            <w:tcW w:w="7938" w:type="dxa"/>
            <w:shd w:val="clear" w:color="auto" w:fill="E9E8E5" w:themeFill="background2"/>
          </w:tcPr>
          <w:p w14:paraId="73DFE7C6" w14:textId="77777777" w:rsidR="00ED0E85" w:rsidRDefault="00ED0E85" w:rsidP="00ED0E85">
            <w:pPr>
              <w:pStyle w:val="Chart"/>
              <w:spacing w:after="120"/>
              <w:jc w:val="center"/>
            </w:pPr>
            <w:r w:rsidRPr="003734F7">
              <w:rPr>
                <w:noProof/>
                <w:lang w:eastAsia="en-AU"/>
              </w:rPr>
              <w:drawing>
                <wp:inline distT="0" distB="0" distL="0" distR="0" wp14:anchorId="7E156C7B" wp14:editId="16EF94DC">
                  <wp:extent cx="4752975" cy="2352675"/>
                  <wp:effectExtent l="0" t="0" r="0"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7">
                            <a:extLst>
                              <a:ext uri="{28A0092B-C50C-407E-A947-70E740481C1C}">
                                <a14:useLocalDpi xmlns:a14="http://schemas.microsoft.com/office/drawing/2010/main" val="0"/>
                              </a:ext>
                            </a:extLst>
                          </a:blip>
                          <a:srcRect l="2348"/>
                          <a:stretch/>
                        </pic:blipFill>
                        <pic:spPr bwMode="auto">
                          <a:xfrm>
                            <a:off x="0" y="0"/>
                            <a:ext cx="4752975" cy="23526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D9D65B0" w14:textId="77777777" w:rsidR="00ED0E85" w:rsidRDefault="00ED0E85" w:rsidP="00ED0E85">
      <w:pPr>
        <w:pStyle w:val="Source"/>
      </w:pPr>
      <w:r>
        <w:rPr>
          <w:i/>
        </w:rPr>
        <w:t>Data source</w:t>
      </w:r>
      <w:r w:rsidRPr="00A67576">
        <w:rPr>
          <w:i/>
        </w:rPr>
        <w:t>:</w:t>
      </w:r>
      <w:r>
        <w:t xml:space="preserve"> CIE analysis of NABERS energy ratings from 2013 onwards.</w:t>
      </w:r>
    </w:p>
    <w:p w14:paraId="4A52F411" w14:textId="77777777" w:rsidR="00ED0E85" w:rsidRDefault="00ED0E85" w:rsidP="00ED0E85">
      <w:pPr>
        <w:pStyle w:val="BodyText"/>
      </w:pPr>
      <w:r>
        <w:t xml:space="preserve">The shopping centres that have used NABERS energy and have rated multiple times have improved their energy efficiency over time. We have tracked performance of each individual shopping centre, to get as close to a like-for-like comparison, as possible. Note that there are still changes arising from shopping centre redevelopment, as shopping centres are not static buildings like offices tend to be, but often add space as demand grows.  </w:t>
      </w:r>
    </w:p>
    <w:p w14:paraId="6B6A1600" w14:textId="68EC8D83" w:rsidR="00ED0E85" w:rsidRPr="00720987" w:rsidRDefault="00ED0E85" w:rsidP="00ED0E85">
      <w:pPr>
        <w:pStyle w:val="BodyText"/>
        <w:rPr>
          <w:lang w:eastAsia="en-US"/>
        </w:rPr>
      </w:pPr>
      <w:r>
        <w:t>On an individual shopping centre basis, m</w:t>
      </w:r>
      <w:r>
        <w:rPr>
          <w:lang w:eastAsia="en-US"/>
        </w:rPr>
        <w:t>ost shopping centres that have been rated multiple times have either stayed at the same energy rating or have improved by 0.5 stars (chart </w:t>
      </w:r>
      <w:r>
        <w:rPr>
          <w:lang w:eastAsia="en-US"/>
        </w:rPr>
        <w:fldChar w:fldCharType="begin"/>
      </w:r>
      <w:r>
        <w:rPr>
          <w:lang w:eastAsia="en-US"/>
        </w:rPr>
        <w:instrText xml:space="preserve"> REF _Caption9702 </w:instrText>
      </w:r>
      <w:r>
        <w:rPr>
          <w:lang w:eastAsia="en-US"/>
        </w:rPr>
        <w:fldChar w:fldCharType="separate"/>
      </w:r>
      <w:r w:rsidR="00AD3561">
        <w:rPr>
          <w:noProof/>
        </w:rPr>
        <w:t>7</w:t>
      </w:r>
      <w:r w:rsidR="00AD3561" w:rsidRPr="0068146B">
        <w:rPr>
          <w:noProof/>
        </w:rPr>
        <w:t>.</w:t>
      </w:r>
      <w:r w:rsidR="00AD3561">
        <w:rPr>
          <w:noProof/>
        </w:rPr>
        <w:t>4</w:t>
      </w:r>
      <w:r>
        <w:rPr>
          <w:lang w:eastAsia="en-US"/>
        </w:rPr>
        <w:fldChar w:fldCharType="end"/>
      </w:r>
      <w:r>
        <w:rPr>
          <w:lang w:eastAsia="en-US"/>
        </w:rPr>
        <w:t>). Almost 30 per cent have increased their NABERS energy rating by 1 star or more.</w:t>
      </w:r>
    </w:p>
    <w:p w14:paraId="5FDAF86E" w14:textId="04F051B6" w:rsidR="00ED0E85" w:rsidRPr="00695C93" w:rsidRDefault="00ED0E85" w:rsidP="00ED0E85">
      <w:pPr>
        <w:pStyle w:val="Caption"/>
      </w:pPr>
      <w:r w:rsidRPr="0068146B">
        <w:fldChar w:fldCharType="begin"/>
      </w:r>
      <w:r w:rsidRPr="0068146B">
        <w:instrText xml:space="preserve"> IF 1 = 1 "</w:instrText>
      </w:r>
      <w:r w:rsidRPr="0068146B">
        <w:fldChar w:fldCharType="begin"/>
      </w:r>
      <w:r w:rsidRPr="0068146B">
        <w:instrText xml:space="preserve"> IF </w:instrText>
      </w:r>
      <w:r w:rsidRPr="0068146B">
        <w:rPr>
          <w:noProof/>
        </w:rPr>
        <w:fldChar w:fldCharType="begin"/>
      </w:r>
      <w:r w:rsidRPr="0068146B">
        <w:rPr>
          <w:noProof/>
        </w:rPr>
        <w:instrText xml:space="preserve"> STYLEREF "Heading 6" \l \n </w:instrText>
      </w:r>
      <w:r w:rsidRPr="0068146B">
        <w:rPr>
          <w:noProof/>
        </w:rPr>
        <w:fldChar w:fldCharType="separate"/>
      </w:r>
      <w:r w:rsidR="00AD3561">
        <w:rPr>
          <w:noProof/>
        </w:rPr>
        <w:instrText>0</w:instrText>
      </w:r>
      <w:r w:rsidRPr="0068146B">
        <w:rPr>
          <w:noProof/>
        </w:rPr>
        <w:fldChar w:fldCharType="end"/>
      </w:r>
      <w:r w:rsidRPr="0068146B">
        <w:instrText xml:space="preserve"> = 0 "</w:instrText>
      </w:r>
      <w:r w:rsidRPr="0068146B">
        <w:fldChar w:fldCharType="begin"/>
      </w:r>
      <w:r w:rsidRPr="0068146B">
        <w:instrText xml:space="preserve"> IF </w:instrText>
      </w:r>
      <w:r w:rsidRPr="0068146B">
        <w:rPr>
          <w:noProof/>
        </w:rPr>
        <w:fldChar w:fldCharType="begin"/>
      </w:r>
      <w:r w:rsidRPr="0068146B">
        <w:rPr>
          <w:noProof/>
        </w:rPr>
        <w:instrText xml:space="preserve"> STYLEREF "Heading 1" \l \n </w:instrText>
      </w:r>
      <w:r w:rsidRPr="0068146B">
        <w:rPr>
          <w:noProof/>
        </w:rPr>
        <w:fldChar w:fldCharType="separate"/>
      </w:r>
      <w:r w:rsidR="00AD3561">
        <w:rPr>
          <w:noProof/>
        </w:rPr>
        <w:instrText>7</w:instrText>
      </w:r>
      <w:r w:rsidRPr="0068146B">
        <w:rPr>
          <w:noProof/>
        </w:rPr>
        <w:fldChar w:fldCharType="end"/>
      </w:r>
      <w:r w:rsidRPr="0068146B">
        <w:instrText xml:space="preserve"> = 0 "" "</w:instrText>
      </w:r>
      <w:r w:rsidRPr="0068146B">
        <w:rPr>
          <w:noProof/>
        </w:rPr>
        <w:fldChar w:fldCharType="begin"/>
      </w:r>
      <w:r w:rsidRPr="0068146B">
        <w:rPr>
          <w:noProof/>
        </w:rPr>
        <w:instrText xml:space="preserve"> STYLEREF "Heading 1" \l \n </w:instrText>
      </w:r>
      <w:r w:rsidRPr="0068146B">
        <w:rPr>
          <w:noProof/>
        </w:rPr>
        <w:fldChar w:fldCharType="separate"/>
      </w:r>
      <w:r w:rsidR="00AD3561">
        <w:rPr>
          <w:noProof/>
        </w:rPr>
        <w:instrText>7</w:instrText>
      </w:r>
      <w:r w:rsidRPr="0068146B">
        <w:rPr>
          <w:noProof/>
        </w:rPr>
        <w:fldChar w:fldCharType="end"/>
      </w:r>
      <w:r w:rsidRPr="0068146B">
        <w:instrText xml:space="preserve">." </w:instrText>
      </w:r>
      <w:r w:rsidRPr="0068146B">
        <w:fldChar w:fldCharType="separate"/>
      </w:r>
      <w:r w:rsidR="00AD3561">
        <w:rPr>
          <w:noProof/>
        </w:rPr>
        <w:instrText>7</w:instrText>
      </w:r>
      <w:r w:rsidR="00AD3561" w:rsidRPr="0068146B">
        <w:rPr>
          <w:noProof/>
        </w:rPr>
        <w:instrText>.</w:instrText>
      </w:r>
      <w:r w:rsidRPr="0068146B">
        <w:fldChar w:fldCharType="end"/>
      </w:r>
      <w:r w:rsidRPr="0068146B">
        <w:instrText>" "</w:instrText>
      </w:r>
      <w:r w:rsidRPr="0068146B">
        <w:rPr>
          <w:noProof/>
        </w:rPr>
        <w:fldChar w:fldCharType="begin"/>
      </w:r>
      <w:r w:rsidRPr="0068146B">
        <w:rPr>
          <w:noProof/>
        </w:rPr>
        <w:instrText xml:space="preserve"> STYLEREF "Heading 6" \l \n </w:instrText>
      </w:r>
      <w:r w:rsidRPr="0068146B">
        <w:rPr>
          <w:noProof/>
        </w:rPr>
        <w:fldChar w:fldCharType="separate"/>
      </w:r>
      <w:r w:rsidRPr="0068146B">
        <w:rPr>
          <w:noProof/>
        </w:rPr>
        <w:instrText>A</w:instrText>
      </w:r>
      <w:r w:rsidRPr="0068146B">
        <w:rPr>
          <w:noProof/>
        </w:rPr>
        <w:fldChar w:fldCharType="end"/>
      </w:r>
      <w:r w:rsidRPr="0068146B">
        <w:instrText xml:space="preserve">." </w:instrText>
      </w:r>
      <w:r w:rsidRPr="0068146B">
        <w:fldChar w:fldCharType="separate"/>
      </w:r>
      <w:r w:rsidR="00C353B5">
        <w:rPr>
          <w:noProof/>
        </w:rPr>
        <w:instrText>7</w:instrText>
      </w:r>
      <w:r w:rsidR="00C353B5" w:rsidRPr="0068146B">
        <w:rPr>
          <w:noProof/>
        </w:rPr>
        <w:instrText>.</w:instrText>
      </w:r>
      <w:r w:rsidRPr="0068146B">
        <w:fldChar w:fldCharType="end"/>
      </w:r>
      <w:r w:rsidRPr="0068146B">
        <w:fldChar w:fldCharType="begin"/>
      </w:r>
      <w:r w:rsidRPr="0068146B">
        <w:instrText xml:space="preserve"> SEQ Item \* ARABIC \s </w:instrText>
      </w:r>
      <w:r w:rsidRPr="0068146B">
        <w:fldChar w:fldCharType="begin"/>
      </w:r>
      <w:r w:rsidRPr="0068146B">
        <w:instrText xml:space="preserve"> IF </w:instrText>
      </w:r>
      <w:r w:rsidRPr="0068146B">
        <w:rPr>
          <w:noProof/>
        </w:rPr>
        <w:fldChar w:fldCharType="begin"/>
      </w:r>
      <w:r w:rsidRPr="0068146B">
        <w:rPr>
          <w:noProof/>
        </w:rPr>
        <w:instrText xml:space="preserve"> STYLEREF "Heading 6" \l \n </w:instrText>
      </w:r>
      <w:r w:rsidRPr="0068146B">
        <w:rPr>
          <w:noProof/>
        </w:rPr>
        <w:fldChar w:fldCharType="separate"/>
      </w:r>
      <w:r w:rsidR="00AD3561">
        <w:rPr>
          <w:noProof/>
        </w:rPr>
        <w:instrText>0</w:instrText>
      </w:r>
      <w:r w:rsidRPr="0068146B">
        <w:rPr>
          <w:noProof/>
        </w:rPr>
        <w:fldChar w:fldCharType="end"/>
      </w:r>
      <w:r w:rsidRPr="0068146B">
        <w:instrText xml:space="preserve"> = 0 "</w:instrText>
      </w:r>
      <w:r w:rsidRPr="0068146B">
        <w:fldChar w:fldCharType="begin"/>
      </w:r>
      <w:r w:rsidRPr="0068146B">
        <w:instrText xml:space="preserve"> IF </w:instrText>
      </w:r>
      <w:r w:rsidRPr="0068146B">
        <w:rPr>
          <w:noProof/>
        </w:rPr>
        <w:fldChar w:fldCharType="begin"/>
      </w:r>
      <w:r w:rsidRPr="0068146B">
        <w:rPr>
          <w:noProof/>
        </w:rPr>
        <w:instrText xml:space="preserve"> STYLEREF "Heading 1" \l \n </w:instrText>
      </w:r>
      <w:r w:rsidRPr="0068146B">
        <w:rPr>
          <w:noProof/>
        </w:rPr>
        <w:fldChar w:fldCharType="separate"/>
      </w:r>
      <w:r w:rsidR="00AD3561">
        <w:rPr>
          <w:noProof/>
        </w:rPr>
        <w:instrText>7</w:instrText>
      </w:r>
      <w:r w:rsidRPr="0068146B">
        <w:rPr>
          <w:noProof/>
        </w:rPr>
        <w:fldChar w:fldCharType="end"/>
      </w:r>
      <w:r w:rsidRPr="0068146B">
        <w:instrText xml:space="preserve"> = 0 "" "1" </w:instrText>
      </w:r>
      <w:r w:rsidRPr="0068146B">
        <w:fldChar w:fldCharType="separate"/>
      </w:r>
      <w:r w:rsidR="00C353B5" w:rsidRPr="0068146B">
        <w:rPr>
          <w:noProof/>
        </w:rPr>
        <w:instrText>1</w:instrText>
      </w:r>
      <w:r w:rsidRPr="0068146B">
        <w:fldChar w:fldCharType="end"/>
      </w:r>
      <w:r w:rsidRPr="0068146B">
        <w:instrText xml:space="preserve">" "6" </w:instrText>
      </w:r>
      <w:r w:rsidRPr="0068146B">
        <w:fldChar w:fldCharType="separate"/>
      </w:r>
      <w:r w:rsidR="00C353B5" w:rsidRPr="0068146B">
        <w:rPr>
          <w:noProof/>
        </w:rPr>
        <w:instrText>1</w:instrText>
      </w:r>
      <w:r w:rsidRPr="0068146B">
        <w:fldChar w:fldCharType="end"/>
      </w:r>
      <w:r w:rsidRPr="0068146B">
        <w:instrText xml:space="preserve"> </w:instrText>
      </w:r>
      <w:r w:rsidRPr="0068146B">
        <w:fldChar w:fldCharType="separate"/>
      </w:r>
      <w:r w:rsidR="00AD3561">
        <w:rPr>
          <w:noProof/>
        </w:rPr>
        <w:instrText>4</w:instrText>
      </w:r>
      <w:r w:rsidRPr="0068146B">
        <w:fldChar w:fldCharType="end"/>
      </w:r>
      <w:r w:rsidRPr="0068146B">
        <w:instrText xml:space="preserve">" "" </w:instrText>
      </w:r>
      <w:r w:rsidRPr="0068146B">
        <w:fldChar w:fldCharType="separate"/>
      </w:r>
      <w:bookmarkStart w:id="4424" w:name="_Caption1764"/>
      <w:bookmarkStart w:id="4425" w:name="_Caption2463"/>
      <w:bookmarkStart w:id="4426" w:name="_Caption8313"/>
      <w:bookmarkStart w:id="4427" w:name="_Caption5420"/>
      <w:bookmarkStart w:id="4428" w:name="_Caption7079"/>
      <w:bookmarkStart w:id="4429" w:name="_Caption7697"/>
      <w:bookmarkStart w:id="4430" w:name="_Caption4727"/>
      <w:bookmarkStart w:id="4431" w:name="_Caption5963"/>
      <w:bookmarkStart w:id="4432" w:name="_Caption0393"/>
      <w:bookmarkStart w:id="4433" w:name="_Caption9810"/>
      <w:bookmarkStart w:id="4434" w:name="_Caption5928"/>
      <w:bookmarkStart w:id="4435" w:name="_Caption3619"/>
      <w:bookmarkStart w:id="4436" w:name="_Caption2072"/>
      <w:bookmarkStart w:id="4437" w:name="_Caption0822"/>
      <w:bookmarkStart w:id="4438" w:name="_Caption8509"/>
      <w:bookmarkStart w:id="4439" w:name="_Caption0205"/>
      <w:bookmarkStart w:id="4440" w:name="_Caption8879"/>
      <w:bookmarkStart w:id="4441" w:name="_Caption1861"/>
      <w:bookmarkStart w:id="4442" w:name="_Caption7084"/>
      <w:bookmarkStart w:id="4443" w:name="_Caption1855"/>
      <w:bookmarkStart w:id="4444" w:name="_Caption7528"/>
      <w:bookmarkStart w:id="4445" w:name="_Caption1337"/>
      <w:bookmarkStart w:id="4446" w:name="_Caption0149"/>
      <w:bookmarkStart w:id="4447" w:name="_Caption4801"/>
      <w:bookmarkStart w:id="4448" w:name="_Caption5281"/>
      <w:bookmarkStart w:id="4449" w:name="_Caption1846"/>
      <w:bookmarkStart w:id="4450" w:name="_Caption8860"/>
      <w:bookmarkStart w:id="4451" w:name="_Caption4861"/>
      <w:bookmarkStart w:id="4452" w:name="_Caption5171"/>
      <w:bookmarkStart w:id="4453" w:name="_Caption2579"/>
      <w:bookmarkStart w:id="4454" w:name="_Caption4205"/>
      <w:bookmarkStart w:id="4455" w:name="_Caption6983"/>
      <w:bookmarkStart w:id="4456" w:name="_Caption4900"/>
      <w:bookmarkStart w:id="4457" w:name="_Caption2756"/>
      <w:bookmarkStart w:id="4458" w:name="_Caption0296"/>
      <w:bookmarkStart w:id="4459" w:name="_Caption0496"/>
      <w:bookmarkStart w:id="4460" w:name="_Caption0962"/>
      <w:bookmarkStart w:id="4461" w:name="_Caption8527"/>
      <w:bookmarkStart w:id="4462" w:name="_Caption4905"/>
      <w:bookmarkStart w:id="4463" w:name="_Caption2213"/>
      <w:bookmarkStart w:id="4464" w:name="_Caption6847"/>
      <w:bookmarkStart w:id="4465" w:name="_Caption9775"/>
      <w:bookmarkStart w:id="4466" w:name="_Caption9702"/>
      <w:bookmarkStart w:id="4467" w:name="_Caption6557"/>
      <w:bookmarkStart w:id="4468" w:name="_Caption2732"/>
      <w:bookmarkStart w:id="4469" w:name="_Caption3899"/>
      <w:bookmarkStart w:id="4470" w:name="_Caption0361"/>
      <w:bookmarkStart w:id="4471" w:name="_Caption3645"/>
      <w:bookmarkStart w:id="4472" w:name="_Caption8786"/>
      <w:bookmarkStart w:id="4473" w:name="_Caption8027"/>
      <w:bookmarkStart w:id="4474" w:name="_Caption5078"/>
      <w:bookmarkStart w:id="4475" w:name="_Caption3872"/>
      <w:bookmarkStart w:id="4476" w:name="_Caption8435"/>
      <w:bookmarkStart w:id="4477" w:name="_Caption3723"/>
      <w:bookmarkStart w:id="4478" w:name="_Caption1332"/>
      <w:bookmarkStart w:id="4479" w:name="_Caption7031"/>
      <w:bookmarkStart w:id="4480" w:name="_Caption9216"/>
      <w:bookmarkStart w:id="4481" w:name="_Caption3535"/>
      <w:bookmarkStart w:id="4482" w:name="_Caption0613"/>
      <w:bookmarkStart w:id="4483" w:name="_Caption7093"/>
      <w:bookmarkStart w:id="4484" w:name="_Caption7972"/>
      <w:bookmarkStart w:id="4485" w:name="_Caption6612"/>
      <w:bookmarkStart w:id="4486" w:name="_Toc19275618"/>
      <w:bookmarkStart w:id="4487" w:name="_Toc19276228"/>
      <w:bookmarkStart w:id="4488" w:name="_Toc19280227"/>
      <w:r w:rsidR="00C353B5">
        <w:rPr>
          <w:noProof/>
        </w:rPr>
        <w:t>7</w:t>
      </w:r>
      <w:r w:rsidR="00C353B5" w:rsidRPr="0068146B">
        <w:rPr>
          <w:noProof/>
        </w:rPr>
        <w:t>.</w:t>
      </w:r>
      <w:r w:rsidR="00C353B5">
        <w:rPr>
          <w:noProof/>
        </w:rPr>
        <w:t>4</w:t>
      </w:r>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r w:rsidRPr="0068146B">
        <w:fldChar w:fldCharType="end"/>
      </w:r>
      <w:r w:rsidRPr="0068146B">
        <w:tab/>
        <w:t>Share of shopping centres by change in energy rating</w:t>
      </w:r>
      <w:bookmarkEnd w:id="4486"/>
      <w:bookmarkEnd w:id="4487"/>
      <w:bookmarkEnd w:id="4488"/>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48166DDD" w14:textId="77777777" w:rsidTr="00ED0E85">
        <w:trPr>
          <w:cantSplit/>
        </w:trPr>
        <w:tc>
          <w:tcPr>
            <w:tcW w:w="7938" w:type="dxa"/>
            <w:shd w:val="clear" w:color="auto" w:fill="E9E8E5" w:themeFill="background2"/>
          </w:tcPr>
          <w:p w14:paraId="6E798CAB" w14:textId="77777777" w:rsidR="00ED0E85" w:rsidRDefault="00ED0E85" w:rsidP="00ED0E85">
            <w:pPr>
              <w:pStyle w:val="Chart"/>
              <w:spacing w:after="120"/>
              <w:jc w:val="center"/>
            </w:pPr>
            <w:r w:rsidRPr="0068146B">
              <w:rPr>
                <w:noProof/>
                <w:lang w:eastAsia="en-AU"/>
              </w:rPr>
              <w:drawing>
                <wp:inline distT="0" distB="0" distL="0" distR="0" wp14:anchorId="002E7E3D" wp14:editId="12AD9420">
                  <wp:extent cx="4876800" cy="25527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76800" cy="2552700"/>
                          </a:xfrm>
                          <a:prstGeom prst="rect">
                            <a:avLst/>
                          </a:prstGeom>
                          <a:noFill/>
                          <a:ln>
                            <a:noFill/>
                          </a:ln>
                        </pic:spPr>
                      </pic:pic>
                    </a:graphicData>
                  </a:graphic>
                </wp:inline>
              </w:drawing>
            </w:r>
          </w:p>
        </w:tc>
      </w:tr>
    </w:tbl>
    <w:p w14:paraId="1F8186F0" w14:textId="77777777" w:rsidR="00ED0E85" w:rsidRPr="00720987" w:rsidRDefault="00ED0E85" w:rsidP="00ED0E85">
      <w:pPr>
        <w:pStyle w:val="Note"/>
      </w:pPr>
      <w:r w:rsidRPr="00A97BEC">
        <w:rPr>
          <w:i/>
        </w:rPr>
        <w:t xml:space="preserve">Note: </w:t>
      </w:r>
      <w:r>
        <w:t>This excludes ratings under the previous NABERS tool (pre 2012). The energy rating is without greenpower.</w:t>
      </w:r>
    </w:p>
    <w:p w14:paraId="47225BE3" w14:textId="77777777" w:rsidR="00ED0E85" w:rsidRDefault="00ED0E85" w:rsidP="00ED0E85">
      <w:pPr>
        <w:pStyle w:val="Source"/>
      </w:pPr>
      <w:r>
        <w:rPr>
          <w:i/>
        </w:rPr>
        <w:t>Data source</w:t>
      </w:r>
      <w:r w:rsidRPr="00A67576">
        <w:rPr>
          <w:i/>
        </w:rPr>
        <w:t>:</w:t>
      </w:r>
      <w:r>
        <w:t xml:space="preserve"> NABERS; CIE analysis.</w:t>
      </w:r>
    </w:p>
    <w:p w14:paraId="0C2BDDDF" w14:textId="77777777" w:rsidR="00ED0E85" w:rsidRDefault="00ED0E85" w:rsidP="00ED0E85">
      <w:pPr>
        <w:pStyle w:val="BodyText"/>
      </w:pPr>
      <w:r>
        <w:t>In terms of translating these changes into reductions in energy, we have used an approach to measure the change in energy use for centres after 1 rating, two ratings etc. This avoids issues with looking at average ratings over time, which are impacted by changes in the composition of the buildings that are rated. A shopping centre that has undertaken 7 NABERS ratings, which is the maximum in the sample, has achieved a reduction in energy use of ~20 per cent.</w:t>
      </w:r>
    </w:p>
    <w:p w14:paraId="09EB75A7" w14:textId="418ADAD7" w:rsidR="00ED0E85" w:rsidRPr="00695C93" w:rsidRDefault="00ED0E85" w:rsidP="00ED0E85">
      <w:pPr>
        <w:pStyle w:val="Caption"/>
        <w:spacing w:before="240"/>
      </w:pPr>
      <w:r w:rsidRPr="0068146B">
        <w:fldChar w:fldCharType="begin"/>
      </w:r>
      <w:r w:rsidRPr="0068146B">
        <w:instrText xml:space="preserve"> IF 1 = 1 "</w:instrText>
      </w:r>
      <w:r w:rsidRPr="0068146B">
        <w:fldChar w:fldCharType="begin"/>
      </w:r>
      <w:r w:rsidRPr="0068146B">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8146B">
        <w:instrText xml:space="preserve"> = 0 "</w:instrText>
      </w:r>
      <w:r w:rsidRPr="0068146B">
        <w:fldChar w:fldCharType="begin"/>
      </w:r>
      <w:r w:rsidRPr="0068146B">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7</w:instrText>
      </w:r>
      <w:r w:rsidR="004550CB">
        <w:rPr>
          <w:noProof/>
        </w:rPr>
        <w:fldChar w:fldCharType="end"/>
      </w:r>
      <w:r w:rsidRPr="0068146B">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7</w:instrText>
      </w:r>
      <w:r w:rsidR="004550CB">
        <w:rPr>
          <w:noProof/>
        </w:rPr>
        <w:fldChar w:fldCharType="end"/>
      </w:r>
      <w:r w:rsidRPr="0068146B">
        <w:instrText xml:space="preserve">." </w:instrText>
      </w:r>
      <w:r w:rsidRPr="0068146B">
        <w:fldChar w:fldCharType="separate"/>
      </w:r>
      <w:r w:rsidR="00AD3561">
        <w:rPr>
          <w:noProof/>
        </w:rPr>
        <w:instrText>7</w:instrText>
      </w:r>
      <w:r w:rsidR="00AD3561" w:rsidRPr="0068146B">
        <w:rPr>
          <w:noProof/>
        </w:rPr>
        <w:instrText>.</w:instrText>
      </w:r>
      <w:r w:rsidRPr="0068146B">
        <w:fldChar w:fldCharType="end"/>
      </w:r>
      <w:r w:rsidRPr="0068146B">
        <w:instrText>" "</w:instrText>
      </w:r>
      <w:r w:rsidR="004550CB">
        <w:rPr>
          <w:noProof/>
        </w:rPr>
        <w:fldChar w:fldCharType="begin"/>
      </w:r>
      <w:r w:rsidR="004550CB">
        <w:rPr>
          <w:noProof/>
        </w:rPr>
        <w:instrText xml:space="preserve"> STYLEREF "Heading 6" \l \n </w:instrText>
      </w:r>
      <w:r w:rsidR="004550CB">
        <w:rPr>
          <w:noProof/>
        </w:rPr>
        <w:fldChar w:fldCharType="separate"/>
      </w:r>
      <w:r w:rsidRPr="0068146B">
        <w:rPr>
          <w:noProof/>
        </w:rPr>
        <w:instrText>A</w:instrText>
      </w:r>
      <w:r w:rsidR="004550CB">
        <w:rPr>
          <w:noProof/>
        </w:rPr>
        <w:fldChar w:fldCharType="end"/>
      </w:r>
      <w:r w:rsidRPr="0068146B">
        <w:instrText xml:space="preserve">." </w:instrText>
      </w:r>
      <w:r w:rsidRPr="0068146B">
        <w:fldChar w:fldCharType="separate"/>
      </w:r>
      <w:r w:rsidR="00C353B5">
        <w:rPr>
          <w:noProof/>
        </w:rPr>
        <w:instrText>7</w:instrText>
      </w:r>
      <w:r w:rsidR="00C353B5" w:rsidRPr="0068146B">
        <w:rPr>
          <w:noProof/>
        </w:rPr>
        <w:instrText>.</w:instrText>
      </w:r>
      <w:r w:rsidRPr="0068146B">
        <w:fldChar w:fldCharType="end"/>
      </w:r>
      <w:r w:rsidRPr="0068146B">
        <w:fldChar w:fldCharType="begin"/>
      </w:r>
      <w:r w:rsidRPr="0068146B">
        <w:instrText xml:space="preserve"> SEQ Item \* ARABIC \s </w:instrText>
      </w:r>
      <w:r w:rsidRPr="0068146B">
        <w:fldChar w:fldCharType="begin"/>
      </w:r>
      <w:r w:rsidRPr="0068146B">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8146B">
        <w:instrText xml:space="preserve"> = 0 "</w:instrText>
      </w:r>
      <w:r w:rsidRPr="0068146B">
        <w:fldChar w:fldCharType="begin"/>
      </w:r>
      <w:r w:rsidRPr="0068146B">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7</w:instrText>
      </w:r>
      <w:r w:rsidR="004550CB">
        <w:rPr>
          <w:noProof/>
        </w:rPr>
        <w:fldChar w:fldCharType="end"/>
      </w:r>
      <w:r w:rsidRPr="0068146B">
        <w:instrText xml:space="preserve"> = 0 "" "1" </w:instrText>
      </w:r>
      <w:r w:rsidRPr="0068146B">
        <w:fldChar w:fldCharType="separate"/>
      </w:r>
      <w:r w:rsidR="00C353B5" w:rsidRPr="0068146B">
        <w:rPr>
          <w:noProof/>
        </w:rPr>
        <w:instrText>1</w:instrText>
      </w:r>
      <w:r w:rsidRPr="0068146B">
        <w:fldChar w:fldCharType="end"/>
      </w:r>
      <w:r w:rsidRPr="0068146B">
        <w:instrText xml:space="preserve">" "6" </w:instrText>
      </w:r>
      <w:r w:rsidRPr="0068146B">
        <w:fldChar w:fldCharType="separate"/>
      </w:r>
      <w:r w:rsidR="00C353B5" w:rsidRPr="0068146B">
        <w:rPr>
          <w:noProof/>
        </w:rPr>
        <w:instrText>1</w:instrText>
      </w:r>
      <w:r w:rsidRPr="0068146B">
        <w:fldChar w:fldCharType="end"/>
      </w:r>
      <w:r w:rsidRPr="0068146B">
        <w:instrText xml:space="preserve"> </w:instrText>
      </w:r>
      <w:r w:rsidRPr="0068146B">
        <w:fldChar w:fldCharType="separate"/>
      </w:r>
      <w:r w:rsidR="00AD3561">
        <w:rPr>
          <w:noProof/>
        </w:rPr>
        <w:instrText>5</w:instrText>
      </w:r>
      <w:r w:rsidRPr="0068146B">
        <w:fldChar w:fldCharType="end"/>
      </w:r>
      <w:r w:rsidRPr="0068146B">
        <w:instrText xml:space="preserve">" "" </w:instrText>
      </w:r>
      <w:r w:rsidRPr="0068146B">
        <w:fldChar w:fldCharType="separate"/>
      </w:r>
      <w:bookmarkStart w:id="4489" w:name="_Caption1351"/>
      <w:bookmarkStart w:id="4490" w:name="_Caption4477"/>
      <w:bookmarkStart w:id="4491" w:name="_Caption1517"/>
      <w:bookmarkStart w:id="4492" w:name="_Caption6728"/>
      <w:bookmarkStart w:id="4493" w:name="_Caption1366"/>
      <w:bookmarkStart w:id="4494" w:name="_Caption7523"/>
      <w:bookmarkStart w:id="4495" w:name="_Caption3659"/>
      <w:bookmarkStart w:id="4496" w:name="_Caption1985"/>
      <w:bookmarkStart w:id="4497" w:name="_Caption3410"/>
      <w:bookmarkStart w:id="4498" w:name="_Caption9663"/>
      <w:bookmarkStart w:id="4499" w:name="_Caption6717"/>
      <w:bookmarkStart w:id="4500" w:name="_Caption7998"/>
      <w:bookmarkStart w:id="4501" w:name="_Caption7652"/>
      <w:bookmarkStart w:id="4502" w:name="_Caption3343"/>
      <w:bookmarkStart w:id="4503" w:name="_Caption7187"/>
      <w:bookmarkStart w:id="4504" w:name="_Caption2047"/>
      <w:bookmarkStart w:id="4505" w:name="_Caption2750"/>
      <w:bookmarkStart w:id="4506" w:name="_Caption1287"/>
      <w:bookmarkStart w:id="4507" w:name="_Caption3600"/>
      <w:bookmarkStart w:id="4508" w:name="_Caption6316"/>
      <w:bookmarkStart w:id="4509" w:name="_Caption1480"/>
      <w:bookmarkStart w:id="4510" w:name="_Caption7412"/>
      <w:bookmarkStart w:id="4511" w:name="_Caption2392"/>
      <w:bookmarkStart w:id="4512" w:name="_Caption1490"/>
      <w:bookmarkStart w:id="4513" w:name="_Caption5988"/>
      <w:bookmarkStart w:id="4514" w:name="_Caption7614"/>
      <w:bookmarkStart w:id="4515" w:name="_Caption4441"/>
      <w:bookmarkStart w:id="4516" w:name="_Caption6566"/>
      <w:bookmarkStart w:id="4517" w:name="_Caption6957"/>
      <w:bookmarkStart w:id="4518" w:name="_Caption0310"/>
      <w:bookmarkStart w:id="4519" w:name="_Caption7848"/>
      <w:bookmarkStart w:id="4520" w:name="_Caption3189"/>
      <w:bookmarkStart w:id="4521" w:name="_Caption9502"/>
      <w:bookmarkStart w:id="4522" w:name="_Caption5779"/>
      <w:bookmarkStart w:id="4523" w:name="_Caption8799"/>
      <w:bookmarkStart w:id="4524" w:name="_Caption7072"/>
      <w:bookmarkStart w:id="4525" w:name="_Caption2068"/>
      <w:bookmarkStart w:id="4526" w:name="_Caption3347"/>
      <w:bookmarkStart w:id="4527" w:name="_Caption4006"/>
      <w:bookmarkStart w:id="4528" w:name="_Caption3632"/>
      <w:bookmarkStart w:id="4529" w:name="_Caption3417"/>
      <w:bookmarkStart w:id="4530" w:name="_Caption2657"/>
      <w:bookmarkStart w:id="4531" w:name="_Caption9601"/>
      <w:bookmarkStart w:id="4532" w:name="_Caption4010"/>
      <w:bookmarkStart w:id="4533" w:name="_Caption3084"/>
      <w:bookmarkStart w:id="4534" w:name="_Caption2881"/>
      <w:bookmarkStart w:id="4535" w:name="_Caption7190"/>
      <w:bookmarkStart w:id="4536" w:name="_Caption9903"/>
      <w:bookmarkStart w:id="4537" w:name="_Caption6350"/>
      <w:bookmarkStart w:id="4538" w:name="_Caption2767"/>
      <w:bookmarkStart w:id="4539" w:name="_Caption3307"/>
      <w:bookmarkStart w:id="4540" w:name="_Caption2108"/>
      <w:bookmarkStart w:id="4541" w:name="_Caption7402"/>
      <w:bookmarkStart w:id="4542" w:name="_Caption8013"/>
      <w:bookmarkStart w:id="4543" w:name="_Caption2081"/>
      <w:bookmarkStart w:id="4544" w:name="_Toc19275619"/>
      <w:bookmarkStart w:id="4545" w:name="_Toc19276229"/>
      <w:bookmarkStart w:id="4546" w:name="_Toc19280228"/>
      <w:r w:rsidR="00C353B5">
        <w:rPr>
          <w:noProof/>
        </w:rPr>
        <w:t>7</w:t>
      </w:r>
      <w:r w:rsidR="00C353B5" w:rsidRPr="0068146B">
        <w:rPr>
          <w:noProof/>
        </w:rPr>
        <w:t>.</w:t>
      </w:r>
      <w:r w:rsidR="00C353B5">
        <w:rPr>
          <w:noProof/>
        </w:rPr>
        <w:t>5</w:t>
      </w:r>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r w:rsidRPr="0068146B">
        <w:fldChar w:fldCharType="end"/>
      </w:r>
      <w:r w:rsidRPr="0068146B">
        <w:tab/>
        <w:t>Change in energy use for different number of ratings</w:t>
      </w:r>
      <w:bookmarkEnd w:id="4544"/>
      <w:bookmarkEnd w:id="4545"/>
      <w:bookmarkEnd w:id="4546"/>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7C4F445A" w14:textId="77777777" w:rsidTr="00ED0E85">
        <w:trPr>
          <w:cantSplit/>
        </w:trPr>
        <w:tc>
          <w:tcPr>
            <w:tcW w:w="7938" w:type="dxa"/>
            <w:shd w:val="clear" w:color="auto" w:fill="E9E8E5" w:themeFill="background2"/>
          </w:tcPr>
          <w:p w14:paraId="290D3FA4" w14:textId="77777777" w:rsidR="00ED0E85" w:rsidRDefault="00ED0E85" w:rsidP="00ED0E85">
            <w:pPr>
              <w:pStyle w:val="Chart"/>
              <w:jc w:val="center"/>
            </w:pPr>
            <w:r w:rsidRPr="0068146B">
              <w:rPr>
                <w:noProof/>
                <w:lang w:eastAsia="en-AU"/>
              </w:rPr>
              <w:drawing>
                <wp:inline distT="0" distB="0" distL="0" distR="0" wp14:anchorId="28183850" wp14:editId="44352F1C">
                  <wp:extent cx="4857750" cy="253365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57750" cy="2533650"/>
                          </a:xfrm>
                          <a:prstGeom prst="rect">
                            <a:avLst/>
                          </a:prstGeom>
                          <a:noFill/>
                          <a:ln>
                            <a:noFill/>
                          </a:ln>
                        </pic:spPr>
                      </pic:pic>
                    </a:graphicData>
                  </a:graphic>
                </wp:inline>
              </w:drawing>
            </w:r>
          </w:p>
        </w:tc>
      </w:tr>
    </w:tbl>
    <w:p w14:paraId="07FE1F5E" w14:textId="77777777" w:rsidR="00ED0E85" w:rsidRDefault="00ED0E85" w:rsidP="00ED0E85">
      <w:pPr>
        <w:pStyle w:val="Source"/>
      </w:pPr>
      <w:r>
        <w:rPr>
          <w:i/>
        </w:rPr>
        <w:t>Data source</w:t>
      </w:r>
      <w:r w:rsidRPr="00A67576">
        <w:rPr>
          <w:i/>
        </w:rPr>
        <w:t>:</w:t>
      </w:r>
      <w:r>
        <w:t xml:space="preserve"> The CIE, based on NABERS shopping centre data.</w:t>
      </w:r>
    </w:p>
    <w:p w14:paraId="3B061790" w14:textId="49455498" w:rsidR="00ED0E85" w:rsidRDefault="00ED0E85" w:rsidP="00ED0E85">
      <w:pPr>
        <w:pStyle w:val="BodyText"/>
        <w:rPr>
          <w:lang w:eastAsia="en-US"/>
        </w:rPr>
      </w:pPr>
      <w:r>
        <w:rPr>
          <w:lang w:eastAsia="en-US"/>
        </w:rPr>
        <w:t>Similar to offices, the shopping centres that had the lowest initial ratings have had the largest changes in ratings and largest reductions in their energy use (chart </w:t>
      </w:r>
      <w:r>
        <w:rPr>
          <w:highlight w:val="yellow"/>
          <w:lang w:eastAsia="en-US"/>
        </w:rPr>
        <w:fldChar w:fldCharType="begin"/>
      </w:r>
      <w:r>
        <w:rPr>
          <w:lang w:eastAsia="en-US"/>
        </w:rPr>
        <w:instrText xml:space="preserve"> REF _Caption9600 </w:instrText>
      </w:r>
      <w:r>
        <w:rPr>
          <w:highlight w:val="yellow"/>
          <w:lang w:eastAsia="en-US"/>
        </w:rPr>
        <w:fldChar w:fldCharType="separate"/>
      </w:r>
      <w:r w:rsidR="00AD3561">
        <w:rPr>
          <w:noProof/>
        </w:rPr>
        <w:t>7</w:t>
      </w:r>
      <w:r w:rsidR="00AD3561" w:rsidRPr="00695C93">
        <w:rPr>
          <w:noProof/>
        </w:rPr>
        <w:t>.</w:t>
      </w:r>
      <w:r w:rsidR="00AD3561">
        <w:rPr>
          <w:noProof/>
        </w:rPr>
        <w:t>2</w:t>
      </w:r>
      <w:r>
        <w:rPr>
          <w:highlight w:val="yellow"/>
          <w:lang w:eastAsia="en-US"/>
        </w:rPr>
        <w:fldChar w:fldCharType="end"/>
      </w:r>
      <w:r>
        <w:rPr>
          <w:lang w:eastAsia="en-US"/>
        </w:rPr>
        <w:t>). The pattern is most distinctive for shopping centres with a zero star initial rating, and less strong than offices across higher ratings. For the shopping centres that had a zero initial star rating, some changes appear to be changes in what energy was captured in the NABERS energy rating, rather than real improvements in energy performance.</w:t>
      </w:r>
    </w:p>
    <w:p w14:paraId="73C2D4EA" w14:textId="77777777" w:rsidR="00ED0E85" w:rsidRDefault="00ED0E85" w:rsidP="00ED0E85">
      <w:pPr>
        <w:pStyle w:val="BodyText"/>
        <w:rPr>
          <w:lang w:eastAsia="en-US"/>
        </w:rPr>
      </w:pPr>
      <w:r>
        <w:rPr>
          <w:lang w:eastAsia="en-US"/>
        </w:rPr>
        <w:t>Note that on a percentage basis, the largest impacts have been achieved by shopping centres that started with a 5.5 star rating — they have reduced their energy use by 45 per cent on average.</w:t>
      </w:r>
    </w:p>
    <w:p w14:paraId="146EFA8A" w14:textId="30351BC3" w:rsidR="00ED0E85" w:rsidRPr="00D177B7" w:rsidRDefault="00ED0E85" w:rsidP="00ED0E85">
      <w:pPr>
        <w:pStyle w:val="Caption"/>
      </w:pPr>
      <w:r w:rsidRPr="0068146B">
        <w:fldChar w:fldCharType="begin"/>
      </w:r>
      <w:r w:rsidRPr="0068146B">
        <w:instrText xml:space="preserve"> IF 1 = 1 "</w:instrText>
      </w:r>
      <w:r w:rsidRPr="0068146B">
        <w:fldChar w:fldCharType="begin"/>
      </w:r>
      <w:r w:rsidRPr="0068146B">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8146B">
        <w:instrText xml:space="preserve"> = 0 "</w:instrText>
      </w:r>
      <w:r w:rsidRPr="0068146B">
        <w:fldChar w:fldCharType="begin"/>
      </w:r>
      <w:r w:rsidRPr="0068146B">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7</w:instrText>
      </w:r>
      <w:r w:rsidR="004550CB">
        <w:rPr>
          <w:noProof/>
        </w:rPr>
        <w:fldChar w:fldCharType="end"/>
      </w:r>
      <w:r w:rsidRPr="0068146B">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7</w:instrText>
      </w:r>
      <w:r w:rsidR="004550CB">
        <w:rPr>
          <w:noProof/>
        </w:rPr>
        <w:fldChar w:fldCharType="end"/>
      </w:r>
      <w:r w:rsidRPr="0068146B">
        <w:instrText xml:space="preserve">." </w:instrText>
      </w:r>
      <w:r w:rsidRPr="0068146B">
        <w:fldChar w:fldCharType="separate"/>
      </w:r>
      <w:r w:rsidR="00AD3561">
        <w:rPr>
          <w:noProof/>
        </w:rPr>
        <w:instrText>7</w:instrText>
      </w:r>
      <w:r w:rsidR="00AD3561" w:rsidRPr="0068146B">
        <w:rPr>
          <w:noProof/>
        </w:rPr>
        <w:instrText>.</w:instrText>
      </w:r>
      <w:r w:rsidRPr="0068146B">
        <w:fldChar w:fldCharType="end"/>
      </w:r>
      <w:r w:rsidRPr="0068146B">
        <w:instrText>" "</w:instrText>
      </w:r>
      <w:r w:rsidR="004550CB">
        <w:rPr>
          <w:noProof/>
        </w:rPr>
        <w:fldChar w:fldCharType="begin"/>
      </w:r>
      <w:r w:rsidR="004550CB">
        <w:rPr>
          <w:noProof/>
        </w:rPr>
        <w:instrText xml:space="preserve"> STYLEREF "Heading 6" \l \n </w:instrText>
      </w:r>
      <w:r w:rsidR="004550CB">
        <w:rPr>
          <w:noProof/>
        </w:rPr>
        <w:fldChar w:fldCharType="separate"/>
      </w:r>
      <w:r w:rsidRPr="0068146B">
        <w:rPr>
          <w:noProof/>
        </w:rPr>
        <w:instrText>A</w:instrText>
      </w:r>
      <w:r w:rsidR="004550CB">
        <w:rPr>
          <w:noProof/>
        </w:rPr>
        <w:fldChar w:fldCharType="end"/>
      </w:r>
      <w:r w:rsidRPr="0068146B">
        <w:instrText xml:space="preserve">." </w:instrText>
      </w:r>
      <w:r w:rsidRPr="0068146B">
        <w:fldChar w:fldCharType="separate"/>
      </w:r>
      <w:r w:rsidR="00C353B5">
        <w:rPr>
          <w:noProof/>
        </w:rPr>
        <w:instrText>7</w:instrText>
      </w:r>
      <w:r w:rsidR="00C353B5" w:rsidRPr="0068146B">
        <w:rPr>
          <w:noProof/>
        </w:rPr>
        <w:instrText>.</w:instrText>
      </w:r>
      <w:r w:rsidRPr="0068146B">
        <w:fldChar w:fldCharType="end"/>
      </w:r>
      <w:r w:rsidRPr="0068146B">
        <w:fldChar w:fldCharType="begin"/>
      </w:r>
      <w:r w:rsidRPr="0068146B">
        <w:instrText xml:space="preserve"> SEQ Item \* ARABIC \s </w:instrText>
      </w:r>
      <w:r w:rsidRPr="0068146B">
        <w:fldChar w:fldCharType="begin"/>
      </w:r>
      <w:r w:rsidRPr="0068146B">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8146B">
        <w:instrText xml:space="preserve"> = 0 "</w:instrText>
      </w:r>
      <w:r w:rsidRPr="0068146B">
        <w:fldChar w:fldCharType="begin"/>
      </w:r>
      <w:r w:rsidRPr="0068146B">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7</w:instrText>
      </w:r>
      <w:r w:rsidR="004550CB">
        <w:rPr>
          <w:noProof/>
        </w:rPr>
        <w:fldChar w:fldCharType="end"/>
      </w:r>
      <w:r w:rsidRPr="0068146B">
        <w:instrText xml:space="preserve"> = 0 "" "1" </w:instrText>
      </w:r>
      <w:r w:rsidRPr="0068146B">
        <w:fldChar w:fldCharType="separate"/>
      </w:r>
      <w:r w:rsidR="00C353B5" w:rsidRPr="0068146B">
        <w:rPr>
          <w:noProof/>
        </w:rPr>
        <w:instrText>1</w:instrText>
      </w:r>
      <w:r w:rsidRPr="0068146B">
        <w:fldChar w:fldCharType="end"/>
      </w:r>
      <w:r w:rsidRPr="0068146B">
        <w:instrText xml:space="preserve">" "6" </w:instrText>
      </w:r>
      <w:r w:rsidRPr="0068146B">
        <w:fldChar w:fldCharType="separate"/>
      </w:r>
      <w:r w:rsidR="00C353B5" w:rsidRPr="0068146B">
        <w:rPr>
          <w:noProof/>
        </w:rPr>
        <w:instrText>1</w:instrText>
      </w:r>
      <w:r w:rsidRPr="0068146B">
        <w:fldChar w:fldCharType="end"/>
      </w:r>
      <w:r w:rsidRPr="0068146B">
        <w:instrText xml:space="preserve"> </w:instrText>
      </w:r>
      <w:r w:rsidRPr="0068146B">
        <w:fldChar w:fldCharType="separate"/>
      </w:r>
      <w:r w:rsidR="00AD3561">
        <w:rPr>
          <w:noProof/>
        </w:rPr>
        <w:instrText>6</w:instrText>
      </w:r>
      <w:r w:rsidRPr="0068146B">
        <w:fldChar w:fldCharType="end"/>
      </w:r>
      <w:r w:rsidRPr="0068146B">
        <w:instrText xml:space="preserve">" "" </w:instrText>
      </w:r>
      <w:r w:rsidRPr="0068146B">
        <w:fldChar w:fldCharType="separate"/>
      </w:r>
      <w:bookmarkStart w:id="4547" w:name="_Caption9215"/>
      <w:bookmarkStart w:id="4548" w:name="_Caption4654"/>
      <w:bookmarkStart w:id="4549" w:name="_Caption0770"/>
      <w:bookmarkStart w:id="4550" w:name="_Caption9826"/>
      <w:bookmarkStart w:id="4551" w:name="_Caption0537"/>
      <w:bookmarkStart w:id="4552" w:name="_Caption0967"/>
      <w:bookmarkStart w:id="4553" w:name="_Caption7305"/>
      <w:bookmarkStart w:id="4554" w:name="_Caption1495"/>
      <w:bookmarkStart w:id="4555" w:name="_Caption7016"/>
      <w:bookmarkStart w:id="4556" w:name="_Caption0105"/>
      <w:bookmarkStart w:id="4557" w:name="_Caption8919"/>
      <w:bookmarkStart w:id="4558" w:name="_Caption0172"/>
      <w:bookmarkStart w:id="4559" w:name="_Caption6223"/>
      <w:bookmarkStart w:id="4560" w:name="_Caption3129"/>
      <w:bookmarkStart w:id="4561" w:name="_Caption4664"/>
      <w:bookmarkStart w:id="4562" w:name="_Caption2688"/>
      <w:bookmarkStart w:id="4563" w:name="_Caption5662"/>
      <w:bookmarkStart w:id="4564" w:name="_Caption3010"/>
      <w:bookmarkStart w:id="4565" w:name="_Caption1397"/>
      <w:bookmarkStart w:id="4566" w:name="_Caption9012"/>
      <w:bookmarkStart w:id="4567" w:name="_Caption0519"/>
      <w:bookmarkStart w:id="4568" w:name="_Caption4768"/>
      <w:bookmarkStart w:id="4569" w:name="_Caption5663"/>
      <w:bookmarkStart w:id="4570" w:name="_Caption4080"/>
      <w:bookmarkStart w:id="4571" w:name="_Caption6522"/>
      <w:bookmarkStart w:id="4572" w:name="_Caption8854"/>
      <w:bookmarkStart w:id="4573" w:name="_Caption9811"/>
      <w:bookmarkStart w:id="4574" w:name="_Caption8158"/>
      <w:bookmarkStart w:id="4575" w:name="_Caption6329"/>
      <w:bookmarkStart w:id="4576" w:name="_Caption4808"/>
      <w:bookmarkStart w:id="4577" w:name="_Caption6059"/>
      <w:bookmarkStart w:id="4578" w:name="_Caption1964"/>
      <w:bookmarkStart w:id="4579" w:name="_Caption6287"/>
      <w:bookmarkStart w:id="4580" w:name="_Caption2323"/>
      <w:bookmarkStart w:id="4581" w:name="_Caption9426"/>
      <w:bookmarkStart w:id="4582" w:name="_Caption7797"/>
      <w:bookmarkStart w:id="4583" w:name="_Caption2306"/>
      <w:bookmarkStart w:id="4584" w:name="_Caption4672"/>
      <w:bookmarkStart w:id="4585" w:name="_Caption6190"/>
      <w:bookmarkStart w:id="4586" w:name="_Caption4647"/>
      <w:bookmarkStart w:id="4587" w:name="_Caption9131"/>
      <w:bookmarkStart w:id="4588" w:name="_Caption2069"/>
      <w:bookmarkStart w:id="4589" w:name="_Caption7602"/>
      <w:bookmarkStart w:id="4590" w:name="_Caption9575"/>
      <w:bookmarkStart w:id="4591" w:name="_Caption2364"/>
      <w:bookmarkStart w:id="4592" w:name="_Caption3445"/>
      <w:bookmarkStart w:id="4593" w:name="_Caption8778"/>
      <w:bookmarkStart w:id="4594" w:name="_Caption4906"/>
      <w:bookmarkStart w:id="4595" w:name="_Caption0423"/>
      <w:bookmarkStart w:id="4596" w:name="_Caption4519"/>
      <w:bookmarkStart w:id="4597" w:name="_Caption1444"/>
      <w:bookmarkStart w:id="4598" w:name="_Caption9181"/>
      <w:bookmarkStart w:id="4599" w:name="_Caption5245"/>
      <w:bookmarkStart w:id="4600" w:name="_Caption9243"/>
      <w:bookmarkStart w:id="4601" w:name="_Caption6197"/>
      <w:bookmarkStart w:id="4602" w:name="_Caption3602"/>
      <w:bookmarkStart w:id="4603" w:name="_Toc19275620"/>
      <w:bookmarkStart w:id="4604" w:name="_Toc19276230"/>
      <w:bookmarkStart w:id="4605" w:name="_Toc19280229"/>
      <w:r w:rsidR="00C353B5">
        <w:rPr>
          <w:noProof/>
        </w:rPr>
        <w:t>7</w:t>
      </w:r>
      <w:r w:rsidR="00C353B5" w:rsidRPr="0068146B">
        <w:rPr>
          <w:noProof/>
        </w:rPr>
        <w:t>.</w:t>
      </w:r>
      <w:r w:rsidR="00C353B5">
        <w:rPr>
          <w:noProof/>
        </w:rPr>
        <w:t>6</w:t>
      </w:r>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r w:rsidRPr="0068146B">
        <w:fldChar w:fldCharType="end"/>
      </w:r>
      <w:r w:rsidRPr="0068146B">
        <w:tab/>
        <w:t>Change in NABERS energy rating and energy intensity by starting rating</w:t>
      </w:r>
      <w:bookmarkEnd w:id="4603"/>
      <w:bookmarkEnd w:id="4604"/>
      <w:bookmarkEnd w:id="4605"/>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6B16B111" w14:textId="77777777" w:rsidTr="00ED0E85">
        <w:trPr>
          <w:cantSplit/>
        </w:trPr>
        <w:tc>
          <w:tcPr>
            <w:tcW w:w="7938" w:type="dxa"/>
            <w:shd w:val="clear" w:color="auto" w:fill="E9E8E5" w:themeFill="background2"/>
          </w:tcPr>
          <w:p w14:paraId="008E3868" w14:textId="77777777" w:rsidR="00ED0E85" w:rsidRDefault="00ED0E85" w:rsidP="00ED0E85">
            <w:pPr>
              <w:pStyle w:val="Chart"/>
              <w:spacing w:after="120"/>
              <w:ind w:left="-57"/>
              <w:jc w:val="center"/>
            </w:pPr>
            <w:r>
              <w:rPr>
                <w:noProof/>
                <w:lang w:eastAsia="en-AU"/>
              </w:rPr>
              <mc:AlternateContent>
                <mc:Choice Requires="wps">
                  <w:drawing>
                    <wp:anchor distT="0" distB="0" distL="114300" distR="114300" simplePos="0" relativeHeight="251689984" behindDoc="0" locked="0" layoutInCell="1" allowOverlap="1" wp14:anchorId="475D0D41" wp14:editId="57D24669">
                      <wp:simplePos x="0" y="0"/>
                      <wp:positionH relativeFrom="column">
                        <wp:posOffset>304800</wp:posOffset>
                      </wp:positionH>
                      <wp:positionV relativeFrom="paragraph">
                        <wp:posOffset>1320165</wp:posOffset>
                      </wp:positionV>
                      <wp:extent cx="226060" cy="968375"/>
                      <wp:effectExtent l="0" t="0" r="2540" b="3175"/>
                      <wp:wrapNone/>
                      <wp:docPr id="283" name="Rectangle 283"/>
                      <wp:cNvGraphicFramePr/>
                      <a:graphic xmlns:a="http://schemas.openxmlformats.org/drawingml/2006/main">
                        <a:graphicData uri="http://schemas.microsoft.com/office/word/2010/wordprocessingShape">
                          <wps:wsp>
                            <wps:cNvSpPr/>
                            <wps:spPr>
                              <a:xfrm>
                                <a:off x="0" y="0"/>
                                <a:ext cx="226060" cy="9683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B95CF18" id="Rectangle 283" o:spid="_x0000_s1026" style="position:absolute;margin-left:24pt;margin-top:103.95pt;width:17.8pt;height:76.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" fillcolor="#e9e8e5 [3214]" stroked="f" strokeweight="2pt"/>
                  </w:pict>
                </mc:Fallback>
              </mc:AlternateContent>
            </w:r>
            <w:r>
              <w:rPr>
                <w:noProof/>
                <w:lang w:eastAsia="en-AU"/>
              </w:rPr>
              <mc:AlternateContent>
                <mc:Choice Requires="wps">
                  <w:drawing>
                    <wp:anchor distT="0" distB="0" distL="114300" distR="114300" simplePos="0" relativeHeight="251688960" behindDoc="0" locked="0" layoutInCell="1" allowOverlap="1" wp14:anchorId="38E41525" wp14:editId="210BEE9B">
                      <wp:simplePos x="0" y="0"/>
                      <wp:positionH relativeFrom="column">
                        <wp:posOffset>4551045</wp:posOffset>
                      </wp:positionH>
                      <wp:positionV relativeFrom="paragraph">
                        <wp:posOffset>73025</wp:posOffset>
                      </wp:positionV>
                      <wp:extent cx="226060" cy="968375"/>
                      <wp:effectExtent l="0" t="0" r="2540" b="3175"/>
                      <wp:wrapNone/>
                      <wp:docPr id="262" name="Rectangle 262"/>
                      <wp:cNvGraphicFramePr/>
                      <a:graphic xmlns:a="http://schemas.openxmlformats.org/drawingml/2006/main">
                        <a:graphicData uri="http://schemas.microsoft.com/office/word/2010/wordprocessingShape">
                          <wps:wsp>
                            <wps:cNvSpPr/>
                            <wps:spPr>
                              <a:xfrm>
                                <a:off x="0" y="0"/>
                                <a:ext cx="226060" cy="9683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0855984" id="Rectangle 262" o:spid="_x0000_s1026" style="position:absolute;margin-left:358.35pt;margin-top:5.75pt;width:17.8pt;height:76.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" fillcolor="#e9e8e5 [3214]" stroked="f" strokeweight="2pt"/>
                  </w:pict>
                </mc:Fallback>
              </mc:AlternateContent>
            </w:r>
            <w:r>
              <w:t xml:space="preserve"> </w:t>
            </w:r>
            <w:r w:rsidRPr="0068146B">
              <w:rPr>
                <w:noProof/>
                <w:lang w:eastAsia="en-AU"/>
              </w:rPr>
              <w:drawing>
                <wp:inline distT="0" distB="0" distL="0" distR="0" wp14:anchorId="61CD72B1" wp14:editId="21B5EDF5">
                  <wp:extent cx="4876800" cy="2505075"/>
                  <wp:effectExtent l="0" t="0" r="0"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76800" cy="2505075"/>
                          </a:xfrm>
                          <a:prstGeom prst="rect">
                            <a:avLst/>
                          </a:prstGeom>
                          <a:noFill/>
                          <a:ln>
                            <a:noFill/>
                          </a:ln>
                        </pic:spPr>
                      </pic:pic>
                    </a:graphicData>
                  </a:graphic>
                </wp:inline>
              </w:drawing>
            </w:r>
          </w:p>
        </w:tc>
      </w:tr>
    </w:tbl>
    <w:p w14:paraId="6093B75C" w14:textId="77777777" w:rsidR="00ED0E85" w:rsidRDefault="00ED0E85" w:rsidP="00ED0E85">
      <w:pPr>
        <w:pStyle w:val="Source"/>
      </w:pPr>
      <w:r>
        <w:rPr>
          <w:i/>
        </w:rPr>
        <w:t>Note:</w:t>
      </w:r>
      <w:r>
        <w:t xml:space="preserve"> This only compares shopping centres that have been rated multiple times.</w:t>
      </w:r>
      <w:r>
        <w:rPr>
          <w:i/>
        </w:rPr>
        <w:br/>
        <w:t>Data source</w:t>
      </w:r>
      <w:r w:rsidRPr="00A67576">
        <w:rPr>
          <w:i/>
        </w:rPr>
        <w:t>:</w:t>
      </w:r>
      <w:r>
        <w:t xml:space="preserve"> The CIE based on NABERS dataset.</w:t>
      </w:r>
      <w:r w:rsidRPr="006C3713">
        <w:rPr>
          <w:noProof/>
        </w:rPr>
        <w:t xml:space="preserve"> </w:t>
      </w:r>
    </w:p>
    <w:p w14:paraId="1DEE363E" w14:textId="77777777" w:rsidR="00ED0E85" w:rsidRDefault="00ED0E85" w:rsidP="00ED0E85">
      <w:pPr>
        <w:pStyle w:val="Heading2"/>
        <w:numPr>
          <w:ilvl w:val="1"/>
          <w:numId w:val="5"/>
        </w:numPr>
      </w:pPr>
      <w:bookmarkStart w:id="4606" w:name="_Toc12633677"/>
      <w:bookmarkStart w:id="4607" w:name="_Toc19275524"/>
      <w:bookmarkStart w:id="4608" w:name="_Toc19276134"/>
      <w:bookmarkStart w:id="4609" w:name="_Toc19280133"/>
      <w:r>
        <w:t>Evidence of market and behavioural failures</w:t>
      </w:r>
      <w:bookmarkEnd w:id="4606"/>
      <w:bookmarkEnd w:id="4607"/>
      <w:bookmarkEnd w:id="4608"/>
      <w:bookmarkEnd w:id="4609"/>
    </w:p>
    <w:p w14:paraId="56A398A0" w14:textId="77777777" w:rsidR="00ED0E85" w:rsidRDefault="00ED0E85" w:rsidP="00ED0E85">
      <w:pPr>
        <w:pStyle w:val="Heading3"/>
        <w:numPr>
          <w:ilvl w:val="2"/>
          <w:numId w:val="5"/>
        </w:numPr>
        <w:spacing w:before="360"/>
      </w:pPr>
      <w:r>
        <w:t>Bounded rationality of shopping centre owners and operators</w:t>
      </w:r>
    </w:p>
    <w:p w14:paraId="5D23237D" w14:textId="77777777" w:rsidR="00ED0E85" w:rsidRDefault="00ED0E85" w:rsidP="00ED0E85">
      <w:pPr>
        <w:pStyle w:val="BodyText"/>
      </w:pPr>
      <w:r>
        <w:t>Within shopping centres, there is little evidence of behavioural issues that lead to poor energy decisions, such as salience and bounded rationality.</w:t>
      </w:r>
    </w:p>
    <w:p w14:paraId="28156BCC" w14:textId="77777777" w:rsidR="00ED0E85" w:rsidRDefault="00ED0E85" w:rsidP="00ED0E85">
      <w:pPr>
        <w:pStyle w:val="ListBullet"/>
      </w:pPr>
      <w:r>
        <w:t>Shopping centres tend to be larger professionally managed buildings that understand the cost trade-offs for different decisions impacting on energy use. Many shopping centres voluntarily use NABERS to assist in these decisions and to communicate their performance, while other shopping centres use other information.</w:t>
      </w:r>
    </w:p>
    <w:p w14:paraId="58D52E79" w14:textId="77777777" w:rsidR="00ED0E85" w:rsidRDefault="00ED0E85" w:rsidP="00ED0E85">
      <w:pPr>
        <w:pStyle w:val="ListBullet"/>
      </w:pPr>
      <w:r>
        <w:t>Consultations with shopping centre owners that do not use NABERS indicated that they understood their energy use relative to others and they measured their energy performance.  One shopping centre owner indicated that they had tracked their reduction in energy use over time and this was similar to what they could see from NABERS rated shopping centres.</w:t>
      </w:r>
    </w:p>
    <w:p w14:paraId="0564CF19" w14:textId="441610A7" w:rsidR="00ED0E85" w:rsidRDefault="00ED0E85" w:rsidP="00ED0E85">
      <w:pPr>
        <w:pStyle w:val="BodyText"/>
        <w:rPr>
          <w:lang w:eastAsia="en-US"/>
        </w:rPr>
      </w:pPr>
      <w:r w:rsidRPr="009B60EE">
        <w:rPr>
          <w:lang w:eastAsia="en-US"/>
        </w:rPr>
        <w:t>We have sought to more systematically examine the performance of shopping centres that have rated using NABERS energy and shopping centres that have not used NABERS energy ratings.</w:t>
      </w:r>
      <w:r>
        <w:rPr>
          <w:lang w:eastAsia="en-US"/>
        </w:rPr>
        <w:t xml:space="preserve"> In chart </w:t>
      </w:r>
      <w:r>
        <w:rPr>
          <w:lang w:eastAsia="en-US"/>
        </w:rPr>
        <w:fldChar w:fldCharType="begin"/>
      </w:r>
      <w:r>
        <w:rPr>
          <w:lang w:eastAsia="en-US"/>
        </w:rPr>
        <w:instrText xml:space="preserve"> REF _Caption2295 </w:instrText>
      </w:r>
      <w:r>
        <w:rPr>
          <w:lang w:eastAsia="en-US"/>
        </w:rPr>
        <w:fldChar w:fldCharType="separate"/>
      </w:r>
      <w:r w:rsidR="00AD3561">
        <w:rPr>
          <w:noProof/>
        </w:rPr>
        <w:t>7</w:t>
      </w:r>
      <w:r w:rsidR="00AD3561" w:rsidRPr="0068146B">
        <w:rPr>
          <w:noProof/>
        </w:rPr>
        <w:t>.</w:t>
      </w:r>
      <w:r w:rsidR="00AD3561">
        <w:rPr>
          <w:noProof/>
        </w:rPr>
        <w:t>7</w:t>
      </w:r>
      <w:r>
        <w:rPr>
          <w:lang w:eastAsia="en-US"/>
        </w:rPr>
        <w:fldChar w:fldCharType="end"/>
      </w:r>
      <w:r>
        <w:rPr>
          <w:lang w:eastAsia="en-US"/>
        </w:rPr>
        <w:t xml:space="preserve"> we show energy intensity trends for different shopping centre companies, against shopping centres that were in the NABERS in 2013. We start each company at 100 for the first year for which we have data.</w:t>
      </w:r>
    </w:p>
    <w:p w14:paraId="07699E38" w14:textId="77777777" w:rsidR="00ED0E85" w:rsidRDefault="00ED0E85" w:rsidP="00ED0E85">
      <w:pPr>
        <w:pStyle w:val="ListBullet"/>
        <w:rPr>
          <w:lang w:eastAsia="en-US"/>
        </w:rPr>
      </w:pPr>
      <w:r>
        <w:rPr>
          <w:lang w:eastAsia="en-US"/>
        </w:rPr>
        <w:t xml:space="preserve">Shopping centres that have used NABERS have improved their energy intensity substantially, by about 15 per cent from 2013 to 2018, which is a </w:t>
      </w:r>
      <w:r w:rsidRPr="008A4B37">
        <w:rPr>
          <w:b/>
          <w:lang w:eastAsia="en-US"/>
        </w:rPr>
        <w:t>3.3 per cent annual reduction</w:t>
      </w:r>
      <w:r>
        <w:rPr>
          <w:lang w:eastAsia="en-US"/>
        </w:rPr>
        <w:t>.</w:t>
      </w:r>
    </w:p>
    <w:p w14:paraId="79E77D4B" w14:textId="77777777" w:rsidR="00ED0E85" w:rsidRDefault="00ED0E85" w:rsidP="00ED0E85">
      <w:pPr>
        <w:pStyle w:val="ListBullet"/>
        <w:rPr>
          <w:lang w:eastAsia="en-US"/>
        </w:rPr>
      </w:pPr>
      <w:r>
        <w:rPr>
          <w:lang w:eastAsia="en-US"/>
        </w:rPr>
        <w:t>The companies for which we have data, which comprise various users of NABERS energy ratings, have also all improved their energy performance</w:t>
      </w:r>
    </w:p>
    <w:p w14:paraId="40BE93DE" w14:textId="77777777" w:rsidR="00ED0E85" w:rsidRDefault="00ED0E85" w:rsidP="00ED0E85">
      <w:pPr>
        <w:pStyle w:val="ListBullet2"/>
        <w:rPr>
          <w:lang w:eastAsia="en-US"/>
        </w:rPr>
      </w:pPr>
      <w:r>
        <w:rPr>
          <w:lang w:eastAsia="en-US"/>
        </w:rPr>
        <w:t>Scentre, which is focused on large shopping centres, has reduced its energy per square metre by 1.5 per cent per syear. All of its shopping centres have been rated using NABERS energy at some time, although they are not consistently rated and Scentre does not report NABERS energy ratings in its sustainability reporting any more</w:t>
      </w:r>
    </w:p>
    <w:p w14:paraId="6A3B7B98" w14:textId="77777777" w:rsidR="00ED0E85" w:rsidRDefault="00ED0E85" w:rsidP="00ED0E85">
      <w:pPr>
        <w:pStyle w:val="ListBullet2"/>
        <w:rPr>
          <w:lang w:eastAsia="en-US"/>
        </w:rPr>
      </w:pPr>
      <w:r>
        <w:rPr>
          <w:lang w:eastAsia="en-US"/>
        </w:rPr>
        <w:t>Mirvac has reduced its energy per square metre by 5.5 per cent per year, the most of any company.</w:t>
      </w:r>
      <w:r>
        <w:rPr>
          <w:rStyle w:val="FootnoteReference"/>
          <w:lang w:eastAsia="en-US"/>
        </w:rPr>
        <w:footnoteReference w:id="47"/>
      </w:r>
      <w:r>
        <w:rPr>
          <w:lang w:eastAsia="en-US"/>
        </w:rPr>
        <w:t xml:space="preserve">  Mirvac does not use NABERS energy ratings</w:t>
      </w:r>
    </w:p>
    <w:p w14:paraId="07016F28" w14:textId="77777777" w:rsidR="00ED0E85" w:rsidRDefault="00ED0E85" w:rsidP="00ED0E85">
      <w:pPr>
        <w:pStyle w:val="ListBullet2"/>
        <w:rPr>
          <w:lang w:eastAsia="en-US"/>
        </w:rPr>
      </w:pPr>
      <w:r>
        <w:rPr>
          <w:lang w:eastAsia="en-US"/>
        </w:rPr>
        <w:t>Vicinity, which has a portfolio comprising mostly of smaller and medium-sized shopping centres, as well as the high-profile Chadstone Shopping Centre and Emporium Melbourne. It has reduced its energy per square metre by 4.3 per cent per year. It rates all its shopping centres using GreenStar and rates most shopping centres that are able to be rated with NABERS using NABERS. For 2017 and 2018 we have data on each shopping centre. Comparing on a like-for-like basis, the energy use per square metre of floor space for those rated with NABERS energy fell by 3.6 per cent in one year, compared to a 3.3 per cent fall for those not rated with NABERS energy</w:t>
      </w:r>
    </w:p>
    <w:p w14:paraId="5D120B73" w14:textId="77777777" w:rsidR="00ED0E85" w:rsidRDefault="00ED0E85" w:rsidP="00ED0E85">
      <w:pPr>
        <w:pStyle w:val="ListBullet2"/>
        <w:rPr>
          <w:lang w:eastAsia="en-US"/>
        </w:rPr>
      </w:pPr>
      <w:r>
        <w:rPr>
          <w:lang w:eastAsia="en-US"/>
        </w:rPr>
        <w:t>GPT retail, which uses NABERS energy ratings for all its retail assets, reduced its energy use by 2.7 per cent per year on a like-for-like basis</w:t>
      </w:r>
    </w:p>
    <w:p w14:paraId="184E2447" w14:textId="77777777" w:rsidR="00ED0E85" w:rsidRPr="009B60EE" w:rsidRDefault="00ED0E85" w:rsidP="00ED0E85">
      <w:pPr>
        <w:pStyle w:val="ListBullet2"/>
        <w:rPr>
          <w:lang w:eastAsia="en-US"/>
        </w:rPr>
      </w:pPr>
      <w:r>
        <w:rPr>
          <w:lang w:eastAsia="en-US"/>
        </w:rPr>
        <w:t>Shopping Centres Australasia (SCA), which concentrates on smaller shopping centres that have not until recently been able to be rated with NABERS energy, has reduced its energy use by 3.7 per cent per year on a like-for-like basis</w:t>
      </w:r>
    </w:p>
    <w:p w14:paraId="08D2880B" w14:textId="77777777" w:rsidR="00ED0E85" w:rsidRPr="007B583B" w:rsidRDefault="00ED0E85" w:rsidP="00ED0E85">
      <w:pPr>
        <w:pStyle w:val="BodyText"/>
        <w:rPr>
          <w:lang w:eastAsia="en-US"/>
        </w:rPr>
      </w:pPr>
      <w:r w:rsidRPr="007B583B">
        <w:rPr>
          <w:lang w:eastAsia="en-US"/>
        </w:rPr>
        <w:t xml:space="preserve">The companies reporting sustainability data are likely to be more focused on energy performance than some others. However, these companies do not all use NABERS </w:t>
      </w:r>
      <w:r>
        <w:rPr>
          <w:lang w:eastAsia="en-US"/>
        </w:rPr>
        <w:t xml:space="preserve">energy </w:t>
      </w:r>
      <w:r w:rsidRPr="007B583B">
        <w:rPr>
          <w:lang w:eastAsia="en-US"/>
        </w:rPr>
        <w:t xml:space="preserve">and would be required to if mandated. The evidence of historical changes in energy intensity is not sufficient to conclude that there is an impact from adopting NABERS energy ratings. </w:t>
      </w:r>
    </w:p>
    <w:p w14:paraId="0FB9D615" w14:textId="1EEADA98" w:rsidR="00ED0E85" w:rsidRPr="00695C93" w:rsidRDefault="00ED0E85" w:rsidP="00ED0E85">
      <w:pPr>
        <w:pStyle w:val="Caption"/>
      </w:pPr>
      <w:r w:rsidRPr="0068146B">
        <w:fldChar w:fldCharType="begin"/>
      </w:r>
      <w:r w:rsidRPr="0068146B">
        <w:instrText xml:space="preserve"> IF 1 = 1 "</w:instrText>
      </w:r>
      <w:r w:rsidRPr="0068146B">
        <w:fldChar w:fldCharType="begin"/>
      </w:r>
      <w:r w:rsidRPr="0068146B">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8146B">
        <w:instrText xml:space="preserve"> = 0 "</w:instrText>
      </w:r>
      <w:r w:rsidRPr="0068146B">
        <w:fldChar w:fldCharType="begin"/>
      </w:r>
      <w:r w:rsidRPr="0068146B">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7</w:instrText>
      </w:r>
      <w:r w:rsidR="004550CB">
        <w:rPr>
          <w:noProof/>
        </w:rPr>
        <w:fldChar w:fldCharType="end"/>
      </w:r>
      <w:r w:rsidRPr="0068146B">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7</w:instrText>
      </w:r>
      <w:r w:rsidR="004550CB">
        <w:rPr>
          <w:noProof/>
        </w:rPr>
        <w:fldChar w:fldCharType="end"/>
      </w:r>
      <w:r w:rsidRPr="0068146B">
        <w:instrText xml:space="preserve">." </w:instrText>
      </w:r>
      <w:r w:rsidRPr="0068146B">
        <w:fldChar w:fldCharType="separate"/>
      </w:r>
      <w:r w:rsidR="00AD3561">
        <w:rPr>
          <w:noProof/>
        </w:rPr>
        <w:instrText>7</w:instrText>
      </w:r>
      <w:r w:rsidR="00AD3561" w:rsidRPr="0068146B">
        <w:rPr>
          <w:noProof/>
        </w:rPr>
        <w:instrText>.</w:instrText>
      </w:r>
      <w:r w:rsidRPr="0068146B">
        <w:fldChar w:fldCharType="end"/>
      </w:r>
      <w:r w:rsidRPr="0068146B">
        <w:instrText>" "</w:instrText>
      </w:r>
      <w:r w:rsidR="004550CB">
        <w:rPr>
          <w:noProof/>
        </w:rPr>
        <w:fldChar w:fldCharType="begin"/>
      </w:r>
      <w:r w:rsidR="004550CB">
        <w:rPr>
          <w:noProof/>
        </w:rPr>
        <w:instrText xml:space="preserve"> STYLEREF "Heading 6" \l \n </w:instrText>
      </w:r>
      <w:r w:rsidR="004550CB">
        <w:rPr>
          <w:noProof/>
        </w:rPr>
        <w:fldChar w:fldCharType="separate"/>
      </w:r>
      <w:r w:rsidRPr="0068146B">
        <w:rPr>
          <w:noProof/>
        </w:rPr>
        <w:instrText>A</w:instrText>
      </w:r>
      <w:r w:rsidR="004550CB">
        <w:rPr>
          <w:noProof/>
        </w:rPr>
        <w:fldChar w:fldCharType="end"/>
      </w:r>
      <w:r w:rsidRPr="0068146B">
        <w:instrText xml:space="preserve">." </w:instrText>
      </w:r>
      <w:r w:rsidRPr="0068146B">
        <w:fldChar w:fldCharType="separate"/>
      </w:r>
      <w:r w:rsidR="00C353B5">
        <w:rPr>
          <w:noProof/>
        </w:rPr>
        <w:instrText>7</w:instrText>
      </w:r>
      <w:r w:rsidR="00C353B5" w:rsidRPr="0068146B">
        <w:rPr>
          <w:noProof/>
        </w:rPr>
        <w:instrText>.</w:instrText>
      </w:r>
      <w:r w:rsidRPr="0068146B">
        <w:fldChar w:fldCharType="end"/>
      </w:r>
      <w:r w:rsidRPr="0068146B">
        <w:fldChar w:fldCharType="begin"/>
      </w:r>
      <w:r w:rsidRPr="0068146B">
        <w:instrText xml:space="preserve"> SEQ Item \* ARABIC \s </w:instrText>
      </w:r>
      <w:r w:rsidRPr="0068146B">
        <w:fldChar w:fldCharType="begin"/>
      </w:r>
      <w:r w:rsidRPr="0068146B">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8146B">
        <w:instrText xml:space="preserve"> = 0 "</w:instrText>
      </w:r>
      <w:r w:rsidRPr="0068146B">
        <w:fldChar w:fldCharType="begin"/>
      </w:r>
      <w:r w:rsidRPr="0068146B">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7</w:instrText>
      </w:r>
      <w:r w:rsidR="004550CB">
        <w:rPr>
          <w:noProof/>
        </w:rPr>
        <w:fldChar w:fldCharType="end"/>
      </w:r>
      <w:r w:rsidRPr="0068146B">
        <w:instrText xml:space="preserve"> = 0 "" "1" </w:instrText>
      </w:r>
      <w:r w:rsidRPr="0068146B">
        <w:fldChar w:fldCharType="separate"/>
      </w:r>
      <w:r w:rsidR="00C353B5" w:rsidRPr="0068146B">
        <w:rPr>
          <w:noProof/>
        </w:rPr>
        <w:instrText>1</w:instrText>
      </w:r>
      <w:r w:rsidRPr="0068146B">
        <w:fldChar w:fldCharType="end"/>
      </w:r>
      <w:r w:rsidRPr="0068146B">
        <w:instrText xml:space="preserve">" "6" </w:instrText>
      </w:r>
      <w:r w:rsidRPr="0068146B">
        <w:fldChar w:fldCharType="separate"/>
      </w:r>
      <w:r w:rsidR="00C353B5" w:rsidRPr="0068146B">
        <w:rPr>
          <w:noProof/>
        </w:rPr>
        <w:instrText>1</w:instrText>
      </w:r>
      <w:r w:rsidRPr="0068146B">
        <w:fldChar w:fldCharType="end"/>
      </w:r>
      <w:r w:rsidRPr="0068146B">
        <w:instrText xml:space="preserve"> </w:instrText>
      </w:r>
      <w:r w:rsidRPr="0068146B">
        <w:fldChar w:fldCharType="separate"/>
      </w:r>
      <w:r w:rsidR="00AD3561">
        <w:rPr>
          <w:noProof/>
        </w:rPr>
        <w:instrText>7</w:instrText>
      </w:r>
      <w:r w:rsidRPr="0068146B">
        <w:fldChar w:fldCharType="end"/>
      </w:r>
      <w:r w:rsidRPr="0068146B">
        <w:instrText xml:space="preserve">" "" </w:instrText>
      </w:r>
      <w:r w:rsidRPr="0068146B">
        <w:fldChar w:fldCharType="separate"/>
      </w:r>
      <w:bookmarkStart w:id="4610" w:name="_Caption4931"/>
      <w:bookmarkStart w:id="4611" w:name="_Caption8205"/>
      <w:bookmarkStart w:id="4612" w:name="_Caption3013"/>
      <w:bookmarkStart w:id="4613" w:name="_Caption0452"/>
      <w:bookmarkStart w:id="4614" w:name="_Caption5679"/>
      <w:bookmarkStart w:id="4615" w:name="_Caption0636"/>
      <w:bookmarkStart w:id="4616" w:name="_Caption1217"/>
      <w:bookmarkStart w:id="4617" w:name="_Caption1521"/>
      <w:bookmarkStart w:id="4618" w:name="_Caption0887"/>
      <w:bookmarkStart w:id="4619" w:name="_Caption0812"/>
      <w:bookmarkStart w:id="4620" w:name="_Caption3302"/>
      <w:bookmarkStart w:id="4621" w:name="_Caption4897"/>
      <w:bookmarkStart w:id="4622" w:name="_Caption3166"/>
      <w:bookmarkStart w:id="4623" w:name="_Caption9859"/>
      <w:bookmarkStart w:id="4624" w:name="_Caption2034"/>
      <w:bookmarkStart w:id="4625" w:name="_Caption9844"/>
      <w:bookmarkStart w:id="4626" w:name="_Caption7224"/>
      <w:bookmarkStart w:id="4627" w:name="_Caption7216"/>
      <w:bookmarkStart w:id="4628" w:name="_Caption1718"/>
      <w:bookmarkStart w:id="4629" w:name="_Caption7343"/>
      <w:bookmarkStart w:id="4630" w:name="_Caption2508"/>
      <w:bookmarkStart w:id="4631" w:name="_Caption8227"/>
      <w:bookmarkStart w:id="4632" w:name="_Caption7883"/>
      <w:bookmarkStart w:id="4633" w:name="_Caption7068"/>
      <w:bookmarkStart w:id="4634" w:name="_Caption4920"/>
      <w:bookmarkStart w:id="4635" w:name="_Caption4837"/>
      <w:bookmarkStart w:id="4636" w:name="_Caption7299"/>
      <w:bookmarkStart w:id="4637" w:name="_Caption0051"/>
      <w:bookmarkStart w:id="4638" w:name="_Caption0518"/>
      <w:bookmarkStart w:id="4639" w:name="_Caption0508"/>
      <w:bookmarkStart w:id="4640" w:name="_Caption1843"/>
      <w:bookmarkStart w:id="4641" w:name="_Caption2295"/>
      <w:bookmarkStart w:id="4642" w:name="_Caption3495"/>
      <w:bookmarkStart w:id="4643" w:name="_Caption6994"/>
      <w:bookmarkStart w:id="4644" w:name="_Caption9958"/>
      <w:bookmarkStart w:id="4645" w:name="_Caption6368"/>
      <w:bookmarkStart w:id="4646" w:name="_Caption6475"/>
      <w:bookmarkStart w:id="4647" w:name="_Caption4735"/>
      <w:bookmarkStart w:id="4648" w:name="_Caption6698"/>
      <w:bookmarkStart w:id="4649" w:name="_Caption7660"/>
      <w:bookmarkStart w:id="4650" w:name="_Caption1763"/>
      <w:bookmarkStart w:id="4651" w:name="_Caption3257"/>
      <w:bookmarkStart w:id="4652" w:name="_Caption6113"/>
      <w:bookmarkStart w:id="4653" w:name="_Caption7134"/>
      <w:bookmarkStart w:id="4654" w:name="_Caption3879"/>
      <w:bookmarkStart w:id="4655" w:name="_Caption4607"/>
      <w:bookmarkStart w:id="4656" w:name="_Caption0330"/>
      <w:bookmarkStart w:id="4657" w:name="_Caption7416"/>
      <w:bookmarkStart w:id="4658" w:name="_Caption0568"/>
      <w:bookmarkStart w:id="4659" w:name="_Caption5910"/>
      <w:bookmarkStart w:id="4660" w:name="_Caption1488"/>
      <w:bookmarkStart w:id="4661" w:name="_Caption0723"/>
      <w:bookmarkStart w:id="4662" w:name="_Caption4334"/>
      <w:bookmarkStart w:id="4663" w:name="_Caption2549"/>
      <w:bookmarkStart w:id="4664" w:name="_Caption8760"/>
      <w:bookmarkStart w:id="4665" w:name="_Caption2658"/>
      <w:bookmarkStart w:id="4666" w:name="_Caption2987"/>
      <w:bookmarkStart w:id="4667" w:name="_Toc19275621"/>
      <w:bookmarkStart w:id="4668" w:name="_Toc19276231"/>
      <w:bookmarkStart w:id="4669" w:name="_Toc19280230"/>
      <w:r w:rsidR="00C353B5">
        <w:rPr>
          <w:noProof/>
        </w:rPr>
        <w:t>7</w:t>
      </w:r>
      <w:r w:rsidR="00C353B5" w:rsidRPr="0068146B">
        <w:rPr>
          <w:noProof/>
        </w:rPr>
        <w:t>.</w:t>
      </w:r>
      <w:r w:rsidR="00C353B5">
        <w:rPr>
          <w:noProof/>
        </w:rPr>
        <w:t>7</w:t>
      </w:r>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r w:rsidRPr="0068146B">
        <w:fldChar w:fldCharType="end"/>
      </w:r>
      <w:r w:rsidRPr="0068146B">
        <w:tab/>
        <w:t>Energy intensity changes for companies using and not using NABERS energy</w:t>
      </w:r>
      <w:bookmarkEnd w:id="4667"/>
      <w:bookmarkEnd w:id="4668"/>
      <w:bookmarkEnd w:id="4669"/>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7E6E89CE" w14:textId="77777777" w:rsidTr="00ED0E85">
        <w:trPr>
          <w:cantSplit/>
        </w:trPr>
        <w:tc>
          <w:tcPr>
            <w:tcW w:w="7938" w:type="dxa"/>
            <w:shd w:val="clear" w:color="auto" w:fill="E9E8E5" w:themeFill="background2"/>
          </w:tcPr>
          <w:p w14:paraId="67568D10" w14:textId="77777777" w:rsidR="00ED0E85" w:rsidRDefault="00ED0E85" w:rsidP="00ED0E85">
            <w:pPr>
              <w:pStyle w:val="Chart"/>
              <w:jc w:val="center"/>
            </w:pPr>
            <w:r w:rsidRPr="0068146B">
              <w:rPr>
                <w:noProof/>
                <w:lang w:eastAsia="en-AU"/>
              </w:rPr>
              <w:drawing>
                <wp:inline distT="0" distB="0" distL="0" distR="0" wp14:anchorId="5B769AEE" wp14:editId="70228EE0">
                  <wp:extent cx="4876800" cy="24574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76800" cy="2457450"/>
                          </a:xfrm>
                          <a:prstGeom prst="rect">
                            <a:avLst/>
                          </a:prstGeom>
                          <a:noFill/>
                          <a:ln>
                            <a:noFill/>
                          </a:ln>
                        </pic:spPr>
                      </pic:pic>
                    </a:graphicData>
                  </a:graphic>
                </wp:inline>
              </w:drawing>
            </w:r>
          </w:p>
        </w:tc>
      </w:tr>
    </w:tbl>
    <w:p w14:paraId="71A9B2B9" w14:textId="77777777" w:rsidR="00ED0E85" w:rsidRPr="00EB79DD" w:rsidRDefault="00ED0E85" w:rsidP="00ED0E85">
      <w:pPr>
        <w:pStyle w:val="Note"/>
      </w:pPr>
      <w:r w:rsidRPr="00A97BEC">
        <w:rPr>
          <w:i/>
        </w:rPr>
        <w:t xml:space="preserve">Note: </w:t>
      </w:r>
      <w:r>
        <w:t>To make comparisons as like for like as possible, where we have data for individual shopping centres, we have removed centres whose GLAR has changed by more than 5 per cent.</w:t>
      </w:r>
    </w:p>
    <w:p w14:paraId="163A4C09" w14:textId="77777777" w:rsidR="00ED0E85" w:rsidRDefault="00ED0E85" w:rsidP="00ED0E85">
      <w:pPr>
        <w:pStyle w:val="Source"/>
      </w:pPr>
      <w:r>
        <w:rPr>
          <w:i/>
        </w:rPr>
        <w:t>Data source</w:t>
      </w:r>
      <w:r w:rsidRPr="00A67576">
        <w:rPr>
          <w:i/>
        </w:rPr>
        <w:t>:</w:t>
      </w:r>
      <w:r>
        <w:t xml:space="preserve"> Sustainability reports and data packs for each company.</w:t>
      </w:r>
    </w:p>
    <w:p w14:paraId="5583AD3D" w14:textId="323FFFCA" w:rsidR="00ED0E85" w:rsidRDefault="00ED0E85" w:rsidP="00ED0E85">
      <w:pPr>
        <w:pStyle w:val="BodyText"/>
        <w:rPr>
          <w:lang w:eastAsia="en-US"/>
        </w:rPr>
      </w:pPr>
      <w:r>
        <w:rPr>
          <w:lang w:eastAsia="en-US"/>
        </w:rPr>
        <w:t>We can also look at the most recent NABERS energy rating to observe how new or newer entrants to NABERS perform relative to those shopping centres that have already been using NABERS. If NABERS was making a substantial difference to shopping centre energy performance, then the newer entrants would have poorer ratings than those already using NABERS to improve their energy performance. The average of the most recent ratings for shopping centres that started using NABERS energy ratings at different time periods is shown in chart </w:t>
      </w:r>
      <w:r>
        <w:rPr>
          <w:lang w:eastAsia="en-US"/>
        </w:rPr>
        <w:fldChar w:fldCharType="begin"/>
      </w:r>
      <w:r>
        <w:rPr>
          <w:lang w:eastAsia="en-US"/>
        </w:rPr>
        <w:instrText xml:space="preserve"> REF _Caption7347 </w:instrText>
      </w:r>
      <w:r>
        <w:rPr>
          <w:lang w:eastAsia="en-US"/>
        </w:rPr>
        <w:fldChar w:fldCharType="separate"/>
      </w:r>
      <w:r w:rsidR="00AD3561">
        <w:rPr>
          <w:noProof/>
        </w:rPr>
        <w:t>7</w:t>
      </w:r>
      <w:r w:rsidR="00AD3561" w:rsidRPr="00695C93">
        <w:rPr>
          <w:noProof/>
        </w:rPr>
        <w:t>.</w:t>
      </w:r>
      <w:r w:rsidR="00AD3561">
        <w:rPr>
          <w:noProof/>
        </w:rPr>
        <w:t>8</w:t>
      </w:r>
      <w:r>
        <w:rPr>
          <w:lang w:eastAsia="en-US"/>
        </w:rPr>
        <w:fldChar w:fldCharType="end"/>
      </w:r>
      <w:r>
        <w:rPr>
          <w:lang w:eastAsia="en-US"/>
        </w:rPr>
        <w:t xml:space="preserve">. There is not a clear pattern of higher ratings for shopping centres that have been part of NABERS for longer. Hence this does not support a conclusion that shopping centres using NABERS have improved their performance while others have not.   </w:t>
      </w:r>
    </w:p>
    <w:p w14:paraId="3799F14D" w14:textId="38040A8A"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7</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7</w:instrText>
      </w:r>
      <w:r>
        <w:rPr>
          <w:noProof/>
        </w:rPr>
        <w:fldChar w:fldCharType="end"/>
      </w:r>
      <w:r w:rsidRPr="00695C93">
        <w:instrText xml:space="preserve">." </w:instrText>
      </w:r>
      <w:r w:rsidRPr="00695C93">
        <w:fldChar w:fldCharType="separate"/>
      </w:r>
      <w:r w:rsidR="00AD3561">
        <w:rPr>
          <w:noProof/>
        </w:rPr>
        <w:instrText>7</w:instrText>
      </w:r>
      <w:r w:rsidR="00AD3561"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sidR="00C353B5">
        <w:rPr>
          <w:noProof/>
        </w:rPr>
        <w:instrText>7</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7</w:instrText>
      </w:r>
      <w:r>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8</w:instrText>
      </w:r>
      <w:r w:rsidRPr="00695C93">
        <w:fldChar w:fldCharType="end"/>
      </w:r>
      <w:r w:rsidRPr="00695C93">
        <w:instrText xml:space="preserve">" "" </w:instrText>
      </w:r>
      <w:r w:rsidRPr="00695C93">
        <w:fldChar w:fldCharType="separate"/>
      </w:r>
      <w:bookmarkStart w:id="4670" w:name="_Caption1553"/>
      <w:bookmarkStart w:id="4671" w:name="_Caption2226"/>
      <w:bookmarkStart w:id="4672" w:name="_Caption0596"/>
      <w:bookmarkStart w:id="4673" w:name="_Caption0931"/>
      <w:bookmarkStart w:id="4674" w:name="_Caption7775"/>
      <w:bookmarkStart w:id="4675" w:name="_Caption5696"/>
      <w:bookmarkStart w:id="4676" w:name="_Caption3136"/>
      <w:bookmarkStart w:id="4677" w:name="_Caption8876"/>
      <w:bookmarkStart w:id="4678" w:name="_Caption3654"/>
      <w:bookmarkStart w:id="4679" w:name="_Caption1346"/>
      <w:bookmarkStart w:id="4680" w:name="_Caption7106"/>
      <w:bookmarkStart w:id="4681" w:name="_Caption3376"/>
      <w:bookmarkStart w:id="4682" w:name="_Caption1865"/>
      <w:bookmarkStart w:id="4683" w:name="_Caption2529"/>
      <w:bookmarkStart w:id="4684" w:name="_Caption7268"/>
      <w:bookmarkStart w:id="4685" w:name="_Caption7548"/>
      <w:bookmarkStart w:id="4686" w:name="_Caption5194"/>
      <w:bookmarkStart w:id="4687" w:name="_Caption1942"/>
      <w:bookmarkStart w:id="4688" w:name="_Caption4388"/>
      <w:bookmarkStart w:id="4689" w:name="_Caption0294"/>
      <w:bookmarkStart w:id="4690" w:name="_Caption9196"/>
      <w:bookmarkStart w:id="4691" w:name="_Caption2352"/>
      <w:bookmarkStart w:id="4692" w:name="_Caption1448"/>
      <w:bookmarkStart w:id="4693" w:name="_Caption7094"/>
      <w:bookmarkStart w:id="4694" w:name="_Caption9727"/>
      <w:bookmarkStart w:id="4695" w:name="_Caption7334"/>
      <w:bookmarkStart w:id="4696" w:name="_Caption8220"/>
      <w:bookmarkStart w:id="4697" w:name="_Caption1038"/>
      <w:bookmarkStart w:id="4698" w:name="_Caption4136"/>
      <w:bookmarkStart w:id="4699" w:name="_Caption6567"/>
      <w:bookmarkStart w:id="4700" w:name="_Caption2963"/>
      <w:bookmarkStart w:id="4701" w:name="_Caption3708"/>
      <w:bookmarkStart w:id="4702" w:name="_Caption7278"/>
      <w:bookmarkStart w:id="4703" w:name="_Caption8358"/>
      <w:bookmarkStart w:id="4704" w:name="_Caption0403"/>
      <w:bookmarkStart w:id="4705" w:name="_Caption7347"/>
      <w:bookmarkStart w:id="4706" w:name="_Caption5901"/>
      <w:bookmarkStart w:id="4707" w:name="_Caption7877"/>
      <w:bookmarkStart w:id="4708" w:name="_Caption7959"/>
      <w:bookmarkStart w:id="4709" w:name="_Caption7675"/>
      <w:bookmarkStart w:id="4710" w:name="_Caption0681"/>
      <w:bookmarkStart w:id="4711" w:name="_Caption6608"/>
      <w:bookmarkStart w:id="4712" w:name="_Caption4495"/>
      <w:bookmarkStart w:id="4713" w:name="_Caption2105"/>
      <w:bookmarkStart w:id="4714" w:name="_Caption5284"/>
      <w:bookmarkStart w:id="4715" w:name="_Caption9988"/>
      <w:bookmarkStart w:id="4716" w:name="_Caption3537"/>
      <w:bookmarkStart w:id="4717" w:name="_Caption1948"/>
      <w:bookmarkStart w:id="4718" w:name="_Caption7720"/>
      <w:bookmarkStart w:id="4719" w:name="_Caption7872"/>
      <w:bookmarkStart w:id="4720" w:name="_Caption5222"/>
      <w:bookmarkStart w:id="4721" w:name="_Caption9114"/>
      <w:bookmarkStart w:id="4722" w:name="_Caption9806"/>
      <w:bookmarkStart w:id="4723" w:name="_Caption9886"/>
      <w:bookmarkStart w:id="4724" w:name="_Caption1450"/>
      <w:bookmarkStart w:id="4725" w:name="_Caption7536"/>
      <w:bookmarkStart w:id="4726" w:name="_Caption9146"/>
      <w:bookmarkStart w:id="4727" w:name="_Caption7285"/>
      <w:bookmarkStart w:id="4728" w:name="_Caption4832"/>
      <w:bookmarkStart w:id="4729" w:name="_Caption6878"/>
      <w:bookmarkStart w:id="4730" w:name="_Caption8429"/>
      <w:bookmarkStart w:id="4731" w:name="_Caption5363"/>
      <w:bookmarkStart w:id="4732" w:name="_Toc19275622"/>
      <w:bookmarkStart w:id="4733" w:name="_Toc19276232"/>
      <w:bookmarkStart w:id="4734" w:name="_Toc19280231"/>
      <w:r w:rsidR="00C353B5">
        <w:rPr>
          <w:noProof/>
        </w:rPr>
        <w:t>7</w:t>
      </w:r>
      <w:r w:rsidR="00C353B5" w:rsidRPr="00695C93">
        <w:rPr>
          <w:noProof/>
        </w:rPr>
        <w:t>.</w:t>
      </w:r>
      <w:r w:rsidR="00C353B5">
        <w:rPr>
          <w:noProof/>
        </w:rPr>
        <w:t>8</w:t>
      </w:r>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r w:rsidRPr="00695C93">
        <w:fldChar w:fldCharType="end"/>
      </w:r>
      <w:r w:rsidRPr="00695C93">
        <w:tab/>
      </w:r>
      <w:r>
        <w:t>Most recent rating achieved for each shopping centre that has been rated</w:t>
      </w:r>
      <w:bookmarkEnd w:id="4732"/>
      <w:bookmarkEnd w:id="4733"/>
      <w:bookmarkEnd w:id="4734"/>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2CE48B80" w14:textId="77777777" w:rsidTr="00ED0E85">
        <w:trPr>
          <w:cantSplit/>
        </w:trPr>
        <w:tc>
          <w:tcPr>
            <w:tcW w:w="7938" w:type="dxa"/>
            <w:shd w:val="clear" w:color="auto" w:fill="E9E8E5" w:themeFill="background2"/>
          </w:tcPr>
          <w:p w14:paraId="27CADF48" w14:textId="77777777" w:rsidR="00ED0E85" w:rsidRDefault="00ED0E85" w:rsidP="00ED0E85">
            <w:pPr>
              <w:pStyle w:val="Chart"/>
              <w:spacing w:before="120" w:after="120"/>
              <w:jc w:val="center"/>
            </w:pPr>
            <w:r w:rsidRPr="00EB79DD">
              <w:rPr>
                <w:noProof/>
                <w:lang w:eastAsia="en-AU"/>
              </w:rPr>
              <w:drawing>
                <wp:inline distT="0" distB="0" distL="0" distR="0" wp14:anchorId="78D00F39" wp14:editId="60E4F49E">
                  <wp:extent cx="4943475" cy="2489200"/>
                  <wp:effectExtent l="0" t="0" r="9525" b="635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964342" cy="2499707"/>
                          </a:xfrm>
                          <a:prstGeom prst="rect">
                            <a:avLst/>
                          </a:prstGeom>
                          <a:noFill/>
                          <a:ln>
                            <a:noFill/>
                          </a:ln>
                        </pic:spPr>
                      </pic:pic>
                    </a:graphicData>
                  </a:graphic>
                </wp:inline>
              </w:drawing>
            </w:r>
          </w:p>
        </w:tc>
      </w:tr>
    </w:tbl>
    <w:p w14:paraId="56C865C5" w14:textId="77777777" w:rsidR="00ED0E85" w:rsidRDefault="00ED0E85" w:rsidP="00ED0E85">
      <w:pPr>
        <w:pStyle w:val="Source"/>
      </w:pPr>
      <w:r>
        <w:rPr>
          <w:i/>
        </w:rPr>
        <w:t xml:space="preserve">Note: </w:t>
      </w:r>
      <w:r>
        <w:t>NABERS without greenpower.</w:t>
      </w:r>
      <w:r>
        <w:rPr>
          <w:i/>
        </w:rPr>
        <w:br/>
        <w:t>Data source</w:t>
      </w:r>
      <w:r w:rsidRPr="00A67576">
        <w:rPr>
          <w:i/>
        </w:rPr>
        <w:t>:</w:t>
      </w:r>
      <w:r>
        <w:t xml:space="preserve"> NABERS; CIE analysis.</w:t>
      </w:r>
    </w:p>
    <w:p w14:paraId="60F52037" w14:textId="77777777" w:rsidR="00ED0E85" w:rsidRDefault="00ED0E85" w:rsidP="00ED0E85">
      <w:pPr>
        <w:pStyle w:val="BodyText"/>
      </w:pPr>
      <w:r>
        <w:t xml:space="preserve">Consultations have suggested that bounded rationality issues may be more likely for smaller shopping centre owners or operators than those that we have obtained data for. </w:t>
      </w:r>
    </w:p>
    <w:p w14:paraId="36E1BC2B" w14:textId="77777777" w:rsidR="00ED0E85" w:rsidRDefault="00ED0E85" w:rsidP="00ED0E85">
      <w:pPr>
        <w:pStyle w:val="ListBullet"/>
      </w:pPr>
      <w:r>
        <w:t xml:space="preserve">The data does not support that owners of </w:t>
      </w:r>
      <w:r w:rsidRPr="009B60EE">
        <w:rPr>
          <w:i/>
        </w:rPr>
        <w:t>small shopping centres</w:t>
      </w:r>
      <w:r>
        <w:t xml:space="preserve"> will be impacted particularly by a NABERS energy rating, as Vicinity and SCA both have a large number of smaller centres that are improving their energy performance.</w:t>
      </w:r>
    </w:p>
    <w:p w14:paraId="0CFC7D77" w14:textId="77777777" w:rsidR="00ED0E85" w:rsidRDefault="00ED0E85" w:rsidP="00ED0E85">
      <w:pPr>
        <w:pStyle w:val="ListBullet"/>
      </w:pPr>
      <w:r>
        <w:t xml:space="preserve">We cannot evaluate whether </w:t>
      </w:r>
      <w:r w:rsidRPr="009B60EE">
        <w:rPr>
          <w:i/>
        </w:rPr>
        <w:t>small owners</w:t>
      </w:r>
      <w:r>
        <w:t xml:space="preserve"> of shopping centres — i.e. companies that may own only one or two smaller shopping centres — would be impacted. However, given the highly capital intensive nature of shopping centres and reports noted above on ownership and operator concentration, any such centres would be a fairly small share of the market. </w:t>
      </w:r>
    </w:p>
    <w:p w14:paraId="4D65E86A" w14:textId="77777777" w:rsidR="00ED0E85" w:rsidRDefault="00ED0E85" w:rsidP="00ED0E85">
      <w:pPr>
        <w:pStyle w:val="Heading3"/>
        <w:numPr>
          <w:ilvl w:val="2"/>
          <w:numId w:val="5"/>
        </w:numPr>
      </w:pPr>
      <w:r>
        <w:t>Unmet demand for energy efficiency information from tenants</w:t>
      </w:r>
    </w:p>
    <w:p w14:paraId="59920E76" w14:textId="77777777" w:rsidR="00ED0E85" w:rsidRDefault="00ED0E85" w:rsidP="00ED0E85">
      <w:pPr>
        <w:pStyle w:val="BodyText"/>
      </w:pPr>
      <w:r>
        <w:t>There is also no evidence that tenants are seeking comparative energy efficiency information, but cannot obtain this.</w:t>
      </w:r>
    </w:p>
    <w:p w14:paraId="5341AA8B" w14:textId="77777777" w:rsidR="00ED0E85" w:rsidRPr="000A6323" w:rsidRDefault="00ED0E85" w:rsidP="00ED0E85">
      <w:pPr>
        <w:pStyle w:val="ListBullet"/>
      </w:pPr>
      <w:r w:rsidRPr="000A6323">
        <w:t>We have received submissions form the two major groups representing retail tenants, the National Retailers Association and the Australian Retailers Association. Both submissions noted that tenants main requirement is for information on costs, including costs of energy</w:t>
      </w:r>
      <w:r>
        <w:t xml:space="preserve"> that they pay in their outgoings</w:t>
      </w:r>
      <w:r w:rsidRPr="000A6323">
        <w:t>. Their views are that existing disclosure requirements from state governments require comparable information on costs, including energy costs, to be disclosed to tenants. Disclosure of energy efficiency information would therefore be less useful to tenants than existing disclosure</w:t>
      </w:r>
      <w:r>
        <w:t xml:space="preserve"> arrangements that are focused on cost</w:t>
      </w:r>
      <w:r w:rsidRPr="000A6323">
        <w:t xml:space="preserve">. </w:t>
      </w:r>
    </w:p>
    <w:p w14:paraId="193882FF" w14:textId="77777777" w:rsidR="00ED0E85" w:rsidRDefault="00ED0E85" w:rsidP="00ED0E85">
      <w:pPr>
        <w:pStyle w:val="ListBullet"/>
      </w:pPr>
      <w:r w:rsidRPr="000A6323">
        <w:t>We have been provided with evidence from the Shopping</w:t>
      </w:r>
      <w:r>
        <w:t xml:space="preserve"> Centre Council of Australia that compares NABERS energy ratings and costs for tenants. This does not show conclusive evidence that a higher NABERS energy rating will mean a lower cost for tenants. There are many reasons for this, including climate zones, contracts for energy and other factors NABERS accounts for in its benchmarking. </w:t>
      </w:r>
    </w:p>
    <w:p w14:paraId="280624B7" w14:textId="77777777" w:rsidR="00ED0E85" w:rsidRDefault="00ED0E85" w:rsidP="00ED0E85">
      <w:pPr>
        <w:pStyle w:val="ListBullet2"/>
      </w:pPr>
      <w:r>
        <w:t xml:space="preserve">This is not surprising, as NABERS has intentionally been designed to measure the performance of a particular building. As such it seeks to use factors that could influence cost, but would provide a misleading view as to how well a building performs relative to how well it could perform. </w:t>
      </w:r>
    </w:p>
    <w:p w14:paraId="0EBB3D2D" w14:textId="77777777" w:rsidR="00ED0E85" w:rsidRDefault="00ED0E85" w:rsidP="00ED0E85">
      <w:pPr>
        <w:pStyle w:val="ListBullet2"/>
      </w:pPr>
      <w:r>
        <w:t xml:space="preserve">Stakeholders have indicated widespread acceptance of the view that energy efficiency and cost are different, and one is not a good indicator of the other. </w:t>
      </w:r>
    </w:p>
    <w:p w14:paraId="40269FC5" w14:textId="77777777" w:rsidR="00ED0E85" w:rsidRDefault="00ED0E85" w:rsidP="00ED0E85">
      <w:pPr>
        <w:pStyle w:val="ListBullet"/>
      </w:pPr>
      <w:r>
        <w:t xml:space="preserve">Other parties not actually in the shopping centre industry have suggested that energy efficiency is the information that retail tenants require. However, given the views of the tenant associations, we place no weight on these views. </w:t>
      </w:r>
    </w:p>
    <w:p w14:paraId="24CC19CA" w14:textId="77777777" w:rsidR="00ED0E85" w:rsidRDefault="00ED0E85" w:rsidP="00ED0E85">
      <w:pPr>
        <w:pStyle w:val="BodyText"/>
      </w:pPr>
      <w:r>
        <w:t>Based on these consultations, we consider that there is not sufficient demand from tenants to support making disclosure of relative energy efficiency mandatory, given that there are existing disclosure arrangements better suited to tenants requirements.</w:t>
      </w:r>
    </w:p>
    <w:p w14:paraId="45063053" w14:textId="77777777" w:rsidR="00ED0E85" w:rsidRDefault="00ED0E85" w:rsidP="00ED0E85">
      <w:pPr>
        <w:pStyle w:val="Heading3"/>
        <w:numPr>
          <w:ilvl w:val="2"/>
          <w:numId w:val="5"/>
        </w:numPr>
        <w:rPr>
          <w:lang w:eastAsia="en-US"/>
        </w:rPr>
      </w:pPr>
      <w:r>
        <w:rPr>
          <w:lang w:eastAsia="en-US"/>
        </w:rPr>
        <w:t>Corporate social responsibility</w:t>
      </w:r>
    </w:p>
    <w:p w14:paraId="1978C71B" w14:textId="77777777" w:rsidR="00ED0E85" w:rsidRDefault="00ED0E85" w:rsidP="00ED0E85">
      <w:pPr>
        <w:pStyle w:val="BodyText"/>
        <w:rPr>
          <w:lang w:eastAsia="en-US"/>
        </w:rPr>
      </w:pPr>
      <w:r>
        <w:rPr>
          <w:lang w:eastAsia="en-US"/>
        </w:rPr>
        <w:t>Corporate social responsibility is of relevance for shopping centre owners/investors, and some tenants, although only one of many things of relevance to investors. Many shopping centre owners present sustainability reports, often with substantial detail (regardless of whether they use NABERS energy ratings or not).</w:t>
      </w:r>
    </w:p>
    <w:p w14:paraId="497B2050" w14:textId="77777777" w:rsidR="00ED0E85" w:rsidRDefault="00ED0E85" w:rsidP="00ED0E85">
      <w:pPr>
        <w:pStyle w:val="BodyText"/>
        <w:rPr>
          <w:lang w:eastAsia="en-US"/>
        </w:rPr>
      </w:pPr>
      <w:r>
        <w:rPr>
          <w:lang w:eastAsia="en-US"/>
        </w:rPr>
        <w:t>The ability to translate corporate social responsibility outcomes into higher market demand is less clear in shopping centres than in offices:</w:t>
      </w:r>
    </w:p>
    <w:p w14:paraId="13937E2C" w14:textId="77777777" w:rsidR="00ED0E85" w:rsidRDefault="00ED0E85" w:rsidP="00ED0E85">
      <w:pPr>
        <w:pStyle w:val="ListBullet"/>
        <w:rPr>
          <w:lang w:eastAsia="en-US"/>
        </w:rPr>
      </w:pPr>
      <w:r>
        <w:rPr>
          <w:lang w:eastAsia="en-US"/>
        </w:rPr>
        <w:t>the main focus of tenants is the location — it will generally be difficult for a tenant to consider multiple shopping centres in a similar location, unlike for offices where there will be multiple office options in a similar location. Tenants have not indicated a desire for any additional disclosure to what they currently obtain</w:t>
      </w:r>
    </w:p>
    <w:p w14:paraId="1C5C210C" w14:textId="77777777" w:rsidR="00ED0E85" w:rsidRDefault="00ED0E85" w:rsidP="00ED0E85">
      <w:pPr>
        <w:pStyle w:val="ListBullet"/>
        <w:rPr>
          <w:lang w:eastAsia="en-US"/>
        </w:rPr>
      </w:pPr>
      <w:r>
        <w:rPr>
          <w:lang w:eastAsia="en-US"/>
        </w:rPr>
        <w:t>customers are also unlikely to be heavily influenced by energy efficiency performance in choosing which shopping centre to shop at. This differs to offices where there is both government and corporate demand for higher rated buildings.</w:t>
      </w:r>
    </w:p>
    <w:p w14:paraId="156C92A4" w14:textId="77777777" w:rsidR="00ED0E85" w:rsidRDefault="00ED0E85" w:rsidP="00ED0E85">
      <w:pPr>
        <w:pStyle w:val="BodyText"/>
        <w:rPr>
          <w:lang w:eastAsia="en-US"/>
        </w:rPr>
      </w:pPr>
      <w:r>
        <w:rPr>
          <w:lang w:eastAsia="en-US"/>
        </w:rPr>
        <w:t>For shopping centres, we cannot see that CSR demand that would drive better outcomes is buildings were required to provide mandatory disclosure of energy efficiency. For example, in offices, government requirements for higher star rated buildings has been important in driving change in the sector. The same driver is not present for shopping centres.</w:t>
      </w:r>
    </w:p>
    <w:p w14:paraId="014269C9" w14:textId="77777777" w:rsidR="00ED0E85" w:rsidRDefault="00ED0E85" w:rsidP="00ED0E85">
      <w:pPr>
        <w:pStyle w:val="Heading3"/>
        <w:numPr>
          <w:ilvl w:val="2"/>
          <w:numId w:val="5"/>
        </w:numPr>
      </w:pPr>
      <w:r>
        <w:t>Other market failures</w:t>
      </w:r>
    </w:p>
    <w:p w14:paraId="6BE0ED14" w14:textId="77777777" w:rsidR="00ED0E85" w:rsidRDefault="00ED0E85" w:rsidP="00ED0E85">
      <w:pPr>
        <w:pStyle w:val="BodyText"/>
      </w:pPr>
      <w:r>
        <w:t>There is a split incentive issue where outgoings are paid by tenants, while energy efficiency improvements are paid for by the owner. Within the contract period, the financial incentive for shopping centres to improve energy efficiency is muted by having to pass savings on to tenants for part of the tenant base. The increasing focus on solar PV from shopping centre owners is interesting, because it does not suffer from this incentive issue. Note that mandatory disclosure of energy performance does not address a split incentive problem directly, and tenants already have information on energy costs, as discussed below.</w:t>
      </w:r>
    </w:p>
    <w:p w14:paraId="2EF406CA" w14:textId="77777777" w:rsidR="00ED0E85" w:rsidRDefault="00ED0E85" w:rsidP="00ED0E85">
      <w:pPr>
        <w:pStyle w:val="BodyText"/>
      </w:pPr>
      <w:r>
        <w:t xml:space="preserve">As an indicator for a tenant of energy cost, the NABERS energy rating is less useful than direct information provided on estimated outgoings, which includes energy cost. </w:t>
      </w:r>
    </w:p>
    <w:p w14:paraId="62B52F66" w14:textId="77777777" w:rsidR="00ED0E85" w:rsidRDefault="00ED0E85" w:rsidP="00ED0E85">
      <w:pPr>
        <w:pStyle w:val="Heading2"/>
        <w:numPr>
          <w:ilvl w:val="1"/>
          <w:numId w:val="5"/>
        </w:numPr>
      </w:pPr>
      <w:bookmarkStart w:id="4735" w:name="_Toc12633678"/>
      <w:bookmarkStart w:id="4736" w:name="_Toc19275525"/>
      <w:bookmarkStart w:id="4737" w:name="_Toc19276135"/>
      <w:bookmarkStart w:id="4738" w:name="_Toc19280134"/>
      <w:r>
        <w:t>Would mandatory disclosure drive behavioural change?</w:t>
      </w:r>
      <w:bookmarkEnd w:id="4735"/>
      <w:bookmarkEnd w:id="4736"/>
      <w:bookmarkEnd w:id="4737"/>
      <w:bookmarkEnd w:id="4738"/>
    </w:p>
    <w:p w14:paraId="5BE848D9" w14:textId="77777777" w:rsidR="00ED0E85" w:rsidRDefault="00ED0E85" w:rsidP="00ED0E85">
      <w:pPr>
        <w:pStyle w:val="BodyText"/>
      </w:pPr>
      <w:r>
        <w:t>Mandatory disclosure would generally only be effective if it overcomes a market or behavioural failure. Our draft view is that NABERS energy ratings continue to be promoted as a voluntary tool for shopping centres. If there are specific concerns about bounded rationality of smaller shopping centre owners, then these owners could be targeted through programs for energy audits and NABERS ratings, building on NABERS recent expansion of the tool into smaller shopping centres.</w:t>
      </w:r>
    </w:p>
    <w:p w14:paraId="793FA324" w14:textId="77777777" w:rsidR="00ED0E85" w:rsidRDefault="00ED0E85" w:rsidP="00ED0E85">
      <w:pPr>
        <w:pStyle w:val="BodyText"/>
      </w:pPr>
      <w:r>
        <w:t>Our reasons for this view are that:</w:t>
      </w:r>
    </w:p>
    <w:p w14:paraId="19629504" w14:textId="77777777" w:rsidR="00ED0E85" w:rsidRDefault="00ED0E85" w:rsidP="00ED0E85">
      <w:pPr>
        <w:pStyle w:val="ListBullet"/>
      </w:pPr>
      <w:r>
        <w:t>there is no behavioural failure that mandatory disclosure of energy performance would solve for shopping centre owners or operators</w:t>
      </w:r>
    </w:p>
    <w:p w14:paraId="75FB7485" w14:textId="77777777" w:rsidR="00ED0E85" w:rsidRDefault="00ED0E85" w:rsidP="00ED0E85">
      <w:pPr>
        <w:pStyle w:val="ListBullet"/>
      </w:pPr>
      <w:r>
        <w:t>mandatory disclosure of energy performance would not provide information to tenants that is more useful than the information they currently obtain on energy costs from shopping centre owners</w:t>
      </w:r>
    </w:p>
    <w:p w14:paraId="4AB209C0" w14:textId="77777777" w:rsidR="00ED0E85" w:rsidRDefault="00ED0E85" w:rsidP="00ED0E85">
      <w:pPr>
        <w:pStyle w:val="ListBullet"/>
      </w:pPr>
      <w:r>
        <w:t>there is not sufficient influence that energy performance information could have in influencing tenant or customer decisions to make this information important to the shopping centre market.</w:t>
      </w:r>
    </w:p>
    <w:p w14:paraId="2B2CF945" w14:textId="77777777" w:rsidR="00ED0E85" w:rsidRDefault="00ED0E85" w:rsidP="00ED0E85">
      <w:pPr>
        <w:pStyle w:val="BodyText"/>
      </w:pPr>
      <w:r w:rsidRPr="000A6323">
        <w:t>We cannot rule out that mandatory disclosure may act as a shame factor for some shopping centre owners, thereby driving some change.</w:t>
      </w:r>
      <w:r>
        <w:t xml:space="preserve">   </w:t>
      </w:r>
    </w:p>
    <w:p w14:paraId="7763A2D5" w14:textId="77777777" w:rsidR="00ED0E85" w:rsidRDefault="00ED0E85" w:rsidP="00ED0E85">
      <w:pPr>
        <w:pStyle w:val="Heading2"/>
        <w:numPr>
          <w:ilvl w:val="1"/>
          <w:numId w:val="5"/>
        </w:numPr>
      </w:pPr>
      <w:bookmarkStart w:id="4739" w:name="_Toc19275526"/>
      <w:bookmarkStart w:id="4740" w:name="_Toc19276136"/>
      <w:bookmarkStart w:id="4741" w:name="_Toc19280135"/>
      <w:bookmarkStart w:id="4742" w:name="_Toc12633679"/>
      <w:r>
        <w:t>Views of stakeholders</w:t>
      </w:r>
      <w:bookmarkEnd w:id="4739"/>
      <w:bookmarkEnd w:id="4740"/>
      <w:bookmarkEnd w:id="4741"/>
    </w:p>
    <w:p w14:paraId="446AAC41" w14:textId="77777777" w:rsidR="00ED0E85" w:rsidRDefault="00ED0E85" w:rsidP="00ED0E85">
      <w:pPr>
        <w:pStyle w:val="BodyText"/>
      </w:pPr>
      <w:r>
        <w:t>A large number of consultations with groups not directly related to shopping centres (although with commercial building policy experience) have supported mandatory disclosure of energy performance for shopping centres. The reasons stated for this include:</w:t>
      </w:r>
    </w:p>
    <w:p w14:paraId="4B5F2296" w14:textId="77777777" w:rsidR="00ED0E85" w:rsidRDefault="00ED0E85" w:rsidP="00ED0E85">
      <w:pPr>
        <w:pStyle w:val="ListBullet"/>
      </w:pPr>
      <w:r>
        <w:t>the retail sector is one of the largest users of energy — this is true for the retail sector as a whole, which includes tenant use and many retail activities not within shopping centres. A mandatory scheme for energy disclosure would apply to 6PJ/ year, of which slightly more than half is already rating under NABERS energy. This compares to 11PJ for the office buildings. Applying a mandatory disclosure scheme to an addition ~3PJ per year would be a substantial expansion, but not equivalent to capturing all retail energy</w:t>
      </w:r>
    </w:p>
    <w:p w14:paraId="1BBEC0B1" w14:textId="77777777" w:rsidR="00ED0E85" w:rsidRDefault="00ED0E85" w:rsidP="00ED0E85">
      <w:pPr>
        <w:pStyle w:val="ListBullet"/>
      </w:pPr>
      <w:r>
        <w:t>shopping centres already have a high voluntary uptake rate, so it would be relatively easy to move to a mandatory disclosure scheme — a high voluntary uptake is not a basis for making the use of NABERS energy mandatory. The behaviour of those not using the NABERS energy tool, such as whether they are using other tools or analysis to understand and improve their energy use, is critical. Diversity of options for building owners to evaluate their performance should be encouraged</w:t>
      </w:r>
    </w:p>
    <w:p w14:paraId="7FF304DD" w14:textId="77777777" w:rsidR="00ED0E85" w:rsidRDefault="00ED0E85" w:rsidP="00ED0E85">
      <w:pPr>
        <w:pStyle w:val="ListBullet"/>
      </w:pPr>
      <w:r>
        <w:t>shopping centres that use NABERS energy ratings have reduced their energy use — this is true. It is also true that those not using NABERS energy ratings have also reduced their energy use</w:t>
      </w:r>
    </w:p>
    <w:p w14:paraId="290E85D4" w14:textId="77777777" w:rsidR="00ED0E85" w:rsidRDefault="00ED0E85" w:rsidP="00ED0E85">
      <w:pPr>
        <w:pStyle w:val="ListBullet"/>
      </w:pPr>
      <w:r>
        <w:t>tenants are not getting information on the energy performance of the buildings that they lease — tenant groups have not supported that they desire additional information</w:t>
      </w:r>
    </w:p>
    <w:p w14:paraId="2D30CD17" w14:textId="77777777" w:rsidR="00ED0E85" w:rsidRPr="000B7A0C" w:rsidRDefault="00ED0E85" w:rsidP="00ED0E85">
      <w:pPr>
        <w:pStyle w:val="ListBullet"/>
      </w:pPr>
      <w:r>
        <w:t>the skill set from the commercial building sector can be easily transferred to shopping centres — this is true and will happen as shopping centres consider their energy efficiency using NABERS energy ratings or their own methods.</w:t>
      </w:r>
    </w:p>
    <w:p w14:paraId="4438B23D" w14:textId="77777777" w:rsidR="00ED0E85" w:rsidRDefault="00ED0E85" w:rsidP="00ED0E85">
      <w:pPr>
        <w:pStyle w:val="Heading2"/>
        <w:numPr>
          <w:ilvl w:val="1"/>
          <w:numId w:val="5"/>
        </w:numPr>
      </w:pPr>
      <w:bookmarkStart w:id="4743" w:name="_Toc19275527"/>
      <w:bookmarkStart w:id="4744" w:name="_Toc19276137"/>
      <w:bookmarkStart w:id="4745" w:name="_Toc19280136"/>
      <w:r>
        <w:t>Costs and benefits of mandatory disclosure</w:t>
      </w:r>
      <w:bookmarkEnd w:id="4742"/>
      <w:r>
        <w:t xml:space="preserve"> for shopping centres</w:t>
      </w:r>
      <w:bookmarkEnd w:id="4743"/>
      <w:bookmarkEnd w:id="4744"/>
      <w:bookmarkEnd w:id="4745"/>
    </w:p>
    <w:p w14:paraId="4E1AA18E" w14:textId="77777777" w:rsidR="00ED0E85" w:rsidRDefault="00ED0E85" w:rsidP="00ED0E85">
      <w:pPr>
        <w:pStyle w:val="BodyText"/>
      </w:pPr>
      <w:r>
        <w:t>To provide illustrative costs and benefits from expanding the CBD Program to shopping centres, we have developed a reference scheme. This scheme involves:</w:t>
      </w:r>
    </w:p>
    <w:p w14:paraId="6EB4A4CB" w14:textId="77777777" w:rsidR="00ED0E85" w:rsidRDefault="00ED0E85" w:rsidP="00ED0E85">
      <w:pPr>
        <w:pStyle w:val="ListBullet"/>
      </w:pPr>
      <w:r>
        <w:t>mandatory NABERS energy ratings for all shopping centres above 15 000 m</w:t>
      </w:r>
      <w:r w:rsidRPr="009253DC">
        <w:rPr>
          <w:vertAlign w:val="superscript"/>
        </w:rPr>
        <w:t>2</w:t>
      </w:r>
      <w:r>
        <w:t xml:space="preserve"> on an annual basis — whether the trigger is sale or lease or periodic, we expect that shopping centres would rate annually given the large number of leases</w:t>
      </w:r>
    </w:p>
    <w:p w14:paraId="2322E247" w14:textId="77777777" w:rsidR="00ED0E85" w:rsidRDefault="00ED0E85" w:rsidP="00ED0E85">
      <w:pPr>
        <w:pStyle w:val="ListBullet"/>
      </w:pPr>
      <w:r>
        <w:t>disclosure of ratings in any new lease documents or in sale documents, as well as on the NABERS website</w:t>
      </w:r>
    </w:p>
    <w:p w14:paraId="0C4F923E" w14:textId="77777777" w:rsidR="00ED0E85" w:rsidRDefault="00ED0E85" w:rsidP="00ED0E85">
      <w:pPr>
        <w:pStyle w:val="ListBullet"/>
      </w:pPr>
      <w:r>
        <w:t>disclosure of ratings at each entrance of a shopping centre through an A4 certificate</w:t>
      </w:r>
    </w:p>
    <w:p w14:paraId="63A9FCD5" w14:textId="77777777" w:rsidR="00ED0E85" w:rsidRDefault="00ED0E85" w:rsidP="00ED0E85">
      <w:pPr>
        <w:pStyle w:val="ListBullet"/>
      </w:pPr>
      <w:r>
        <w:t xml:space="preserve">disclosure of ratings in advertisements for retail leases or sale of retail space, regardless of the size of the space being leased. </w:t>
      </w:r>
    </w:p>
    <w:p w14:paraId="0B556CF2" w14:textId="77777777" w:rsidR="00ED0E85" w:rsidRDefault="00ED0E85" w:rsidP="00ED0E85">
      <w:pPr>
        <w:pStyle w:val="BodyText"/>
      </w:pPr>
      <w:r>
        <w:t>There are some costs that we have not quantified, such as the legal costs of changing lease documentation, checking compliance for new leases and advertising requirements.</w:t>
      </w:r>
    </w:p>
    <w:p w14:paraId="6741332A" w14:textId="77777777" w:rsidR="00ED0E85" w:rsidRDefault="00ED0E85" w:rsidP="00ED0E85">
      <w:pPr>
        <w:pStyle w:val="BodyText"/>
      </w:pPr>
      <w:r>
        <w:t>The compliance costs of NABERS energy for shopping centres would amount to ~$2.4 million per year, or $17 million in present value terms over 10 years. This is a minimum estimate, as it does not account for the full range of compliance costs as discussed above.</w:t>
      </w:r>
    </w:p>
    <w:p w14:paraId="4B54B563" w14:textId="77777777" w:rsidR="00ED0E85" w:rsidRDefault="00ED0E85" w:rsidP="00ED0E85">
      <w:pPr>
        <w:pStyle w:val="Caption"/>
      </w:pPr>
      <w:r>
        <w:br w:type="page"/>
      </w:r>
    </w:p>
    <w:p w14:paraId="0BBF7CB9" w14:textId="7D4B1E11"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7</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7</w:instrText>
      </w:r>
      <w:r w:rsidR="004550CB">
        <w:rPr>
          <w:noProof/>
        </w:rPr>
        <w:fldChar w:fldCharType="end"/>
      </w:r>
      <w:r w:rsidRPr="00695C93">
        <w:instrText xml:space="preserve">." </w:instrText>
      </w:r>
      <w:r w:rsidRPr="00695C93">
        <w:fldChar w:fldCharType="separate"/>
      </w:r>
      <w:r w:rsidR="00AD3561">
        <w:rPr>
          <w:noProof/>
        </w:rPr>
        <w:instrText>7</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7</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7</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9</w:instrText>
      </w:r>
      <w:r w:rsidRPr="00695C93">
        <w:fldChar w:fldCharType="end"/>
      </w:r>
      <w:r w:rsidRPr="00695C93">
        <w:instrText xml:space="preserve">" "" </w:instrText>
      </w:r>
      <w:r w:rsidRPr="00695C93">
        <w:fldChar w:fldCharType="separate"/>
      </w:r>
      <w:bookmarkStart w:id="4746" w:name="_Caption2768"/>
      <w:bookmarkStart w:id="4747" w:name="_Caption8292"/>
      <w:bookmarkStart w:id="4748" w:name="_Caption7868"/>
      <w:bookmarkStart w:id="4749" w:name="_Caption3694"/>
      <w:bookmarkStart w:id="4750" w:name="_Caption8329"/>
      <w:bookmarkStart w:id="4751" w:name="_Caption1372"/>
      <w:bookmarkStart w:id="4752" w:name="_Caption8624"/>
      <w:bookmarkStart w:id="4753" w:name="_Caption2293"/>
      <w:bookmarkStart w:id="4754" w:name="_Caption1625"/>
      <w:bookmarkStart w:id="4755" w:name="_Caption7088"/>
      <w:bookmarkStart w:id="4756" w:name="_Caption8694"/>
      <w:bookmarkStart w:id="4757" w:name="_Caption0079"/>
      <w:bookmarkStart w:id="4758" w:name="_Caption4535"/>
      <w:bookmarkStart w:id="4759" w:name="_Caption3236"/>
      <w:bookmarkStart w:id="4760" w:name="_Caption4845"/>
      <w:bookmarkStart w:id="4761" w:name="_Caption0045"/>
      <w:bookmarkStart w:id="4762" w:name="_Caption3018"/>
      <w:bookmarkStart w:id="4763" w:name="_Caption9260"/>
      <w:bookmarkStart w:id="4764" w:name="_Caption8377"/>
      <w:bookmarkStart w:id="4765" w:name="_Caption8448"/>
      <w:bookmarkStart w:id="4766" w:name="_Caption6699"/>
      <w:bookmarkStart w:id="4767" w:name="_Caption2632"/>
      <w:bookmarkStart w:id="4768" w:name="_Caption6001"/>
      <w:bookmarkStart w:id="4769" w:name="_Caption2328"/>
      <w:bookmarkStart w:id="4770" w:name="_Caption5930"/>
      <w:bookmarkStart w:id="4771" w:name="_Caption1675"/>
      <w:bookmarkStart w:id="4772" w:name="_Caption1956"/>
      <w:bookmarkStart w:id="4773" w:name="_Caption9746"/>
      <w:bookmarkStart w:id="4774" w:name="_Caption3416"/>
      <w:bookmarkStart w:id="4775" w:name="_Caption4762"/>
      <w:bookmarkStart w:id="4776" w:name="_Caption9781"/>
      <w:bookmarkStart w:id="4777" w:name="_Caption7065"/>
      <w:bookmarkStart w:id="4778" w:name="_Caption9959"/>
      <w:bookmarkStart w:id="4779" w:name="_Caption5421"/>
      <w:bookmarkStart w:id="4780" w:name="_Caption3116"/>
      <w:bookmarkStart w:id="4781" w:name="_Caption4307"/>
      <w:bookmarkStart w:id="4782" w:name="_Caption9902"/>
      <w:bookmarkStart w:id="4783" w:name="_Caption1196"/>
      <w:bookmarkStart w:id="4784" w:name="_Caption1788"/>
      <w:bookmarkStart w:id="4785" w:name="_Caption4327"/>
      <w:bookmarkStart w:id="4786" w:name="_Caption0664"/>
      <w:bookmarkStart w:id="4787" w:name="_Caption7101"/>
      <w:bookmarkStart w:id="4788" w:name="_Caption0055"/>
      <w:bookmarkStart w:id="4789" w:name="_Caption4564"/>
      <w:bookmarkStart w:id="4790" w:name="_Caption7502"/>
      <w:bookmarkStart w:id="4791" w:name="_Caption9836"/>
      <w:bookmarkStart w:id="4792" w:name="_Caption8031"/>
      <w:bookmarkStart w:id="4793" w:name="_Caption2129"/>
      <w:bookmarkStart w:id="4794" w:name="_Caption3451"/>
      <w:bookmarkStart w:id="4795" w:name="_Caption8082"/>
      <w:bookmarkStart w:id="4796" w:name="_Caption4031"/>
      <w:bookmarkStart w:id="4797" w:name="_Caption2449"/>
      <w:bookmarkStart w:id="4798" w:name="_Caption2872"/>
      <w:bookmarkStart w:id="4799" w:name="_Caption9897"/>
      <w:bookmarkStart w:id="4800" w:name="_Caption0444"/>
      <w:bookmarkStart w:id="4801" w:name="_Caption7871"/>
      <w:bookmarkStart w:id="4802" w:name="_Toc19275623"/>
      <w:bookmarkStart w:id="4803" w:name="_Toc19276233"/>
      <w:bookmarkStart w:id="4804" w:name="_Toc19280232"/>
      <w:r w:rsidR="00C353B5">
        <w:rPr>
          <w:noProof/>
        </w:rPr>
        <w:t>7</w:t>
      </w:r>
      <w:r w:rsidR="00C353B5" w:rsidRPr="00695C93">
        <w:rPr>
          <w:noProof/>
        </w:rPr>
        <w:t>.</w:t>
      </w:r>
      <w:r w:rsidR="00C353B5">
        <w:rPr>
          <w:noProof/>
        </w:rPr>
        <w:t>9</w:t>
      </w:r>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r w:rsidRPr="00695C93">
        <w:fldChar w:fldCharType="end"/>
      </w:r>
      <w:r w:rsidRPr="00695C93">
        <w:tab/>
      </w:r>
      <w:r>
        <w:t>Compliance costs of a mandatory rating scheme</w:t>
      </w:r>
      <w:bookmarkEnd w:id="4802"/>
      <w:bookmarkEnd w:id="4803"/>
      <w:bookmarkEnd w:id="4804"/>
    </w:p>
    <w:tbl>
      <w:tblPr>
        <w:tblW w:w="0" w:type="auto"/>
        <w:tblLayout w:type="fixed"/>
        <w:tblLook w:val="0000" w:firstRow="0" w:lastRow="0" w:firstColumn="0" w:lastColumn="0" w:noHBand="0" w:noVBand="0"/>
      </w:tblPr>
      <w:tblGrid>
        <w:gridCol w:w="2268"/>
        <w:gridCol w:w="1700"/>
        <w:gridCol w:w="2269"/>
        <w:gridCol w:w="1700"/>
      </w:tblGrid>
      <w:tr w:rsidR="00ED0E85" w14:paraId="45F639D7" w14:textId="77777777" w:rsidTr="00ED0E85">
        <w:tc>
          <w:tcPr>
            <w:tcW w:w="2268" w:type="dxa"/>
            <w:shd w:val="clear" w:color="auto" w:fill="6F6652"/>
            <w:tcMar>
              <w:left w:w="57" w:type="dxa"/>
              <w:right w:w="57" w:type="dxa"/>
            </w:tcMar>
          </w:tcPr>
          <w:p w14:paraId="4C206BF2" w14:textId="77777777" w:rsidR="00ED0E85" w:rsidRDefault="00ED0E85" w:rsidP="00ED0E85">
            <w:pPr>
              <w:pStyle w:val="TableDataColumnHeading"/>
              <w:jc w:val="left"/>
            </w:pPr>
          </w:p>
        </w:tc>
        <w:tc>
          <w:tcPr>
            <w:tcW w:w="1700" w:type="dxa"/>
            <w:shd w:val="clear" w:color="auto" w:fill="6F6652"/>
            <w:tcMar>
              <w:left w:w="57" w:type="dxa"/>
              <w:right w:w="57" w:type="dxa"/>
            </w:tcMar>
          </w:tcPr>
          <w:p w14:paraId="12D9F93C" w14:textId="77777777" w:rsidR="00ED0E85" w:rsidRDefault="00ED0E85" w:rsidP="00ED0E85">
            <w:pPr>
              <w:pStyle w:val="TableDataColumnHeading"/>
            </w:pPr>
            <w:r>
              <w:t>Shopping centres already using NABERS energy</w:t>
            </w:r>
          </w:p>
        </w:tc>
        <w:tc>
          <w:tcPr>
            <w:tcW w:w="2269" w:type="dxa"/>
            <w:shd w:val="clear" w:color="auto" w:fill="6F6652"/>
            <w:tcMar>
              <w:left w:w="57" w:type="dxa"/>
              <w:right w:w="57" w:type="dxa"/>
            </w:tcMar>
          </w:tcPr>
          <w:p w14:paraId="4F3B2FDD" w14:textId="77777777" w:rsidR="00ED0E85" w:rsidRDefault="00ED0E85" w:rsidP="00ED0E85">
            <w:pPr>
              <w:pStyle w:val="TableDataColumnHeading"/>
            </w:pPr>
            <w:r>
              <w:t>Shopping centres not previously using NABERS energy</w:t>
            </w:r>
          </w:p>
        </w:tc>
        <w:tc>
          <w:tcPr>
            <w:tcW w:w="1700" w:type="dxa"/>
            <w:shd w:val="clear" w:color="auto" w:fill="6F6652"/>
            <w:tcMar>
              <w:left w:w="57" w:type="dxa"/>
              <w:right w:w="57" w:type="dxa"/>
            </w:tcMar>
          </w:tcPr>
          <w:p w14:paraId="2CA80C8D" w14:textId="77777777" w:rsidR="00ED0E85" w:rsidRDefault="00ED0E85" w:rsidP="00ED0E85">
            <w:pPr>
              <w:pStyle w:val="TableDataColumnHeading"/>
            </w:pPr>
            <w:r>
              <w:t>Total</w:t>
            </w:r>
          </w:p>
        </w:tc>
      </w:tr>
      <w:tr w:rsidR="00ED0E85" w14:paraId="7B70614D" w14:textId="77777777" w:rsidTr="00ED0E85">
        <w:tc>
          <w:tcPr>
            <w:tcW w:w="2268" w:type="dxa"/>
            <w:tcBorders>
              <w:bottom w:val="single" w:sz="8" w:space="0" w:color="FFFFFF" w:themeColor="background1"/>
            </w:tcBorders>
            <w:shd w:val="clear" w:color="auto" w:fill="auto"/>
            <w:tcMar>
              <w:left w:w="57" w:type="dxa"/>
              <w:right w:w="57" w:type="dxa"/>
            </w:tcMar>
          </w:tcPr>
          <w:p w14:paraId="1215C4ED" w14:textId="77777777" w:rsidR="00ED0E85" w:rsidRDefault="00ED0E85" w:rsidP="00ED0E85">
            <w:pPr>
              <w:pStyle w:val="TableUnit"/>
              <w:jc w:val="left"/>
            </w:pPr>
          </w:p>
        </w:tc>
        <w:tc>
          <w:tcPr>
            <w:tcW w:w="1700" w:type="dxa"/>
            <w:tcBorders>
              <w:bottom w:val="single" w:sz="8" w:space="0" w:color="FFFFFF" w:themeColor="background1"/>
            </w:tcBorders>
            <w:shd w:val="clear" w:color="auto" w:fill="auto"/>
            <w:tcMar>
              <w:left w:w="57" w:type="dxa"/>
              <w:right w:w="57" w:type="dxa"/>
            </w:tcMar>
          </w:tcPr>
          <w:p w14:paraId="68306713" w14:textId="77777777" w:rsidR="00ED0E85" w:rsidRDefault="00ED0E85" w:rsidP="00ED0E85">
            <w:pPr>
              <w:pStyle w:val="TableUnit"/>
            </w:pPr>
            <w:r>
              <w:t>$/centre per year</w:t>
            </w:r>
          </w:p>
        </w:tc>
        <w:tc>
          <w:tcPr>
            <w:tcW w:w="2269" w:type="dxa"/>
            <w:tcBorders>
              <w:bottom w:val="single" w:sz="8" w:space="0" w:color="FFFFFF" w:themeColor="background1"/>
            </w:tcBorders>
            <w:shd w:val="clear" w:color="auto" w:fill="auto"/>
            <w:tcMar>
              <w:left w:w="57" w:type="dxa"/>
              <w:right w:w="57" w:type="dxa"/>
            </w:tcMar>
          </w:tcPr>
          <w:p w14:paraId="23EF3FD6" w14:textId="77777777" w:rsidR="00ED0E85" w:rsidRDefault="00ED0E85" w:rsidP="00ED0E85">
            <w:pPr>
              <w:pStyle w:val="TableUnit"/>
            </w:pPr>
            <w:r>
              <w:t>$/centre per year</w:t>
            </w:r>
          </w:p>
        </w:tc>
        <w:tc>
          <w:tcPr>
            <w:tcW w:w="1700" w:type="dxa"/>
            <w:tcBorders>
              <w:bottom w:val="single" w:sz="8" w:space="0" w:color="FFFFFF" w:themeColor="background1"/>
            </w:tcBorders>
            <w:shd w:val="clear" w:color="auto" w:fill="auto"/>
            <w:tcMar>
              <w:left w:w="57" w:type="dxa"/>
              <w:right w:w="57" w:type="dxa"/>
            </w:tcMar>
          </w:tcPr>
          <w:p w14:paraId="2C70B8DB" w14:textId="77777777" w:rsidR="00ED0E85" w:rsidRDefault="00ED0E85" w:rsidP="00ED0E85">
            <w:pPr>
              <w:pStyle w:val="TableUnit"/>
            </w:pPr>
            <w:r>
              <w:t>$/centre per year</w:t>
            </w:r>
          </w:p>
        </w:tc>
      </w:tr>
      <w:tr w:rsidR="00ED0E85" w14:paraId="4FE3E835" w14:textId="77777777" w:rsidTr="00ED0E85">
        <w:tc>
          <w:tcPr>
            <w:tcW w:w="22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51CC92" w14:textId="77777777" w:rsidR="00ED0E85" w:rsidRDefault="00ED0E85" w:rsidP="00ED0E85">
            <w:pPr>
              <w:pStyle w:val="TableDataEntries"/>
              <w:jc w:val="left"/>
            </w:pPr>
            <w:r>
              <w:t>No. of centres</w:t>
            </w:r>
          </w:p>
        </w:tc>
        <w:tc>
          <w:tcPr>
            <w:tcW w:w="17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A21D1C8" w14:textId="77777777" w:rsidR="00ED0E85" w:rsidRDefault="00ED0E85" w:rsidP="00ED0E85">
            <w:pPr>
              <w:pStyle w:val="TableDataEntries"/>
            </w:pPr>
            <w:r w:rsidRPr="00C22C51">
              <w:rPr>
                <w:szCs w:val="16"/>
              </w:rPr>
              <w:t>172</w:t>
            </w:r>
          </w:p>
        </w:tc>
        <w:tc>
          <w:tcPr>
            <w:tcW w:w="22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5E79D034" w14:textId="77777777" w:rsidR="00ED0E85" w:rsidRDefault="00ED0E85" w:rsidP="00ED0E85">
            <w:pPr>
              <w:pStyle w:val="TableDataEntries"/>
            </w:pPr>
            <w:r w:rsidRPr="00C22C51">
              <w:rPr>
                <w:szCs w:val="16"/>
              </w:rPr>
              <w:t>255</w:t>
            </w:r>
          </w:p>
        </w:tc>
        <w:tc>
          <w:tcPr>
            <w:tcW w:w="17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2353FF9" w14:textId="77777777" w:rsidR="00ED0E85" w:rsidRDefault="00ED0E85" w:rsidP="00ED0E85">
            <w:pPr>
              <w:pStyle w:val="TableDataEntries"/>
            </w:pPr>
            <w:r w:rsidRPr="00C22C51">
              <w:rPr>
                <w:szCs w:val="16"/>
              </w:rPr>
              <w:t>427</w:t>
            </w:r>
          </w:p>
        </w:tc>
      </w:tr>
      <w:tr w:rsidR="00ED0E85" w14:paraId="07F74DD2" w14:textId="77777777" w:rsidTr="00ED0E85">
        <w:tc>
          <w:tcPr>
            <w:tcW w:w="22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500E4C" w14:textId="77777777" w:rsidR="00ED0E85" w:rsidRDefault="00ED0E85" w:rsidP="00ED0E85">
            <w:pPr>
              <w:pStyle w:val="TableDataEntries"/>
              <w:jc w:val="left"/>
            </w:pPr>
            <w:r>
              <w:t>Cost of obtaining ratings ($/year)</w:t>
            </w:r>
          </w:p>
        </w:tc>
        <w:tc>
          <w:tcPr>
            <w:tcW w:w="17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B4170AC" w14:textId="77777777" w:rsidR="00ED0E85" w:rsidRDefault="00ED0E85" w:rsidP="00ED0E85">
            <w:pPr>
              <w:pStyle w:val="TableDataEntries"/>
            </w:pPr>
            <w:r w:rsidRPr="00C22C51">
              <w:rPr>
                <w:szCs w:val="16"/>
              </w:rPr>
              <w:t>0</w:t>
            </w:r>
          </w:p>
        </w:tc>
        <w:tc>
          <w:tcPr>
            <w:tcW w:w="22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88C4216" w14:textId="77777777" w:rsidR="00ED0E85" w:rsidRDefault="00ED0E85" w:rsidP="00ED0E85">
            <w:pPr>
              <w:pStyle w:val="TableDataEntries"/>
            </w:pPr>
            <w:r w:rsidRPr="00C22C51">
              <w:rPr>
                <w:szCs w:val="16"/>
              </w:rPr>
              <w:t>6 335</w:t>
            </w:r>
          </w:p>
        </w:tc>
        <w:tc>
          <w:tcPr>
            <w:tcW w:w="17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7D02A65" w14:textId="77777777" w:rsidR="00ED0E85" w:rsidRDefault="00ED0E85" w:rsidP="00ED0E85">
            <w:pPr>
              <w:pStyle w:val="TableDataEntries"/>
            </w:pPr>
            <w:r w:rsidRPr="00C22C51">
              <w:rPr>
                <w:szCs w:val="16"/>
              </w:rPr>
              <w:t>3 783</w:t>
            </w:r>
          </w:p>
        </w:tc>
      </w:tr>
      <w:tr w:rsidR="00ED0E85" w14:paraId="0FBAE132" w14:textId="77777777" w:rsidTr="00ED0E85">
        <w:tc>
          <w:tcPr>
            <w:tcW w:w="22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711EC6" w14:textId="77777777" w:rsidR="00ED0E85" w:rsidRDefault="00ED0E85" w:rsidP="00ED0E85">
            <w:pPr>
              <w:pStyle w:val="TableDataEntries"/>
              <w:jc w:val="left"/>
            </w:pPr>
            <w:r>
              <w:t>Cost of including in leases ($/year)</w:t>
            </w:r>
          </w:p>
        </w:tc>
        <w:tc>
          <w:tcPr>
            <w:tcW w:w="17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FB64F38" w14:textId="77777777" w:rsidR="00ED0E85" w:rsidRDefault="00ED0E85" w:rsidP="00ED0E85">
            <w:pPr>
              <w:pStyle w:val="TableDataEntries"/>
            </w:pPr>
            <w:r>
              <w:rPr>
                <w:szCs w:val="16"/>
              </w:rPr>
              <w:t>Not known</w:t>
            </w:r>
          </w:p>
        </w:tc>
        <w:tc>
          <w:tcPr>
            <w:tcW w:w="22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00A0784" w14:textId="77777777" w:rsidR="00ED0E85" w:rsidRDefault="00ED0E85" w:rsidP="00ED0E85">
            <w:pPr>
              <w:pStyle w:val="TableDataEntries"/>
            </w:pPr>
            <w:r>
              <w:rPr>
                <w:szCs w:val="16"/>
              </w:rPr>
              <w:t>Not known</w:t>
            </w:r>
            <w:r w:rsidRPr="00C22C51">
              <w:rPr>
                <w:szCs w:val="16"/>
              </w:rPr>
              <w:t> </w:t>
            </w:r>
          </w:p>
        </w:tc>
        <w:tc>
          <w:tcPr>
            <w:tcW w:w="17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BCF0335" w14:textId="77777777" w:rsidR="00ED0E85" w:rsidRDefault="00ED0E85" w:rsidP="00ED0E85">
            <w:pPr>
              <w:pStyle w:val="TableDataEntries"/>
            </w:pPr>
            <w:r>
              <w:rPr>
                <w:szCs w:val="16"/>
              </w:rPr>
              <w:t>Not known</w:t>
            </w:r>
            <w:r w:rsidRPr="00C22C51">
              <w:rPr>
                <w:szCs w:val="16"/>
              </w:rPr>
              <w:t> </w:t>
            </w:r>
          </w:p>
        </w:tc>
      </w:tr>
      <w:tr w:rsidR="00ED0E85" w14:paraId="0AEDC26D" w14:textId="77777777" w:rsidTr="00ED0E85">
        <w:tc>
          <w:tcPr>
            <w:tcW w:w="22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5E05F2" w14:textId="77777777" w:rsidR="00ED0E85" w:rsidRDefault="00ED0E85" w:rsidP="00ED0E85">
            <w:pPr>
              <w:pStyle w:val="TableDataEntries"/>
              <w:jc w:val="left"/>
            </w:pPr>
            <w:r>
              <w:t>Cost of including in advertising ($/year)</w:t>
            </w:r>
          </w:p>
        </w:tc>
        <w:tc>
          <w:tcPr>
            <w:tcW w:w="17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516D308" w14:textId="77777777" w:rsidR="00ED0E85" w:rsidRPr="00C22C51" w:rsidRDefault="00ED0E85" w:rsidP="00ED0E85">
            <w:pPr>
              <w:pStyle w:val="TableDataEntries"/>
              <w:rPr>
                <w:szCs w:val="16"/>
              </w:rPr>
            </w:pPr>
            <w:r>
              <w:rPr>
                <w:szCs w:val="16"/>
              </w:rPr>
              <w:t>Not known</w:t>
            </w:r>
          </w:p>
        </w:tc>
        <w:tc>
          <w:tcPr>
            <w:tcW w:w="22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7AAA3A2" w14:textId="77777777" w:rsidR="00ED0E85" w:rsidRPr="00C22C51" w:rsidRDefault="00ED0E85" w:rsidP="00ED0E85">
            <w:pPr>
              <w:pStyle w:val="TableDataEntries"/>
              <w:rPr>
                <w:szCs w:val="16"/>
              </w:rPr>
            </w:pPr>
            <w:r>
              <w:rPr>
                <w:szCs w:val="16"/>
              </w:rPr>
              <w:t>Not known</w:t>
            </w:r>
          </w:p>
        </w:tc>
        <w:tc>
          <w:tcPr>
            <w:tcW w:w="17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685473DD" w14:textId="77777777" w:rsidR="00ED0E85" w:rsidRPr="00C22C51" w:rsidRDefault="00ED0E85" w:rsidP="00ED0E85">
            <w:pPr>
              <w:pStyle w:val="TableDataEntries"/>
              <w:rPr>
                <w:szCs w:val="16"/>
              </w:rPr>
            </w:pPr>
            <w:r>
              <w:rPr>
                <w:szCs w:val="16"/>
              </w:rPr>
              <w:t>Not known</w:t>
            </w:r>
          </w:p>
        </w:tc>
      </w:tr>
      <w:tr w:rsidR="00ED0E85" w14:paraId="0D24E584" w14:textId="77777777" w:rsidTr="00ED0E85">
        <w:tc>
          <w:tcPr>
            <w:tcW w:w="22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487A9B" w14:textId="77777777" w:rsidR="00ED0E85" w:rsidRDefault="00ED0E85" w:rsidP="00ED0E85">
            <w:pPr>
              <w:pStyle w:val="TableDataEntries"/>
              <w:jc w:val="left"/>
            </w:pPr>
            <w:r>
              <w:t>Cost of disclosing at entrances ($/year)</w:t>
            </w:r>
          </w:p>
        </w:tc>
        <w:tc>
          <w:tcPr>
            <w:tcW w:w="17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1D947031" w14:textId="77777777" w:rsidR="00ED0E85" w:rsidRDefault="00ED0E85" w:rsidP="00ED0E85">
            <w:pPr>
              <w:pStyle w:val="TableDataEntries"/>
            </w:pPr>
            <w:r w:rsidRPr="00C22C51">
              <w:rPr>
                <w:szCs w:val="16"/>
              </w:rPr>
              <w:t xml:space="preserve"> </w:t>
            </w:r>
            <w:r>
              <w:rPr>
                <w:szCs w:val="16"/>
              </w:rPr>
              <w:t>~</w:t>
            </w:r>
            <w:r w:rsidRPr="00C22C51">
              <w:rPr>
                <w:szCs w:val="16"/>
              </w:rPr>
              <w:t>0</w:t>
            </w:r>
          </w:p>
        </w:tc>
        <w:tc>
          <w:tcPr>
            <w:tcW w:w="22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62A0C025" w14:textId="77777777" w:rsidR="00ED0E85" w:rsidRDefault="00ED0E85" w:rsidP="00ED0E85">
            <w:pPr>
              <w:pStyle w:val="TableDataEntries"/>
            </w:pPr>
            <w:r>
              <w:rPr>
                <w:szCs w:val="16"/>
              </w:rPr>
              <w:t>~</w:t>
            </w:r>
            <w:r w:rsidRPr="00C22C51">
              <w:rPr>
                <w:szCs w:val="16"/>
              </w:rPr>
              <w:t>0</w:t>
            </w:r>
          </w:p>
        </w:tc>
        <w:tc>
          <w:tcPr>
            <w:tcW w:w="17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BF83C0F" w14:textId="77777777" w:rsidR="00ED0E85" w:rsidRDefault="00ED0E85" w:rsidP="00ED0E85">
            <w:pPr>
              <w:pStyle w:val="TableDataEntries"/>
            </w:pPr>
            <w:r>
              <w:rPr>
                <w:szCs w:val="16"/>
              </w:rPr>
              <w:t>~</w:t>
            </w:r>
            <w:r w:rsidRPr="00C22C51">
              <w:rPr>
                <w:szCs w:val="16"/>
              </w:rPr>
              <w:t>0</w:t>
            </w:r>
          </w:p>
        </w:tc>
      </w:tr>
      <w:tr w:rsidR="00ED0E85" w14:paraId="1C655B3C" w14:textId="77777777" w:rsidTr="00ED0E85">
        <w:tc>
          <w:tcPr>
            <w:tcW w:w="22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85B92A" w14:textId="77777777" w:rsidR="00ED0E85" w:rsidRDefault="00ED0E85" w:rsidP="00ED0E85">
            <w:pPr>
              <w:pStyle w:val="TableDataEntries"/>
              <w:jc w:val="left"/>
            </w:pPr>
            <w:r>
              <w:t>Cost of own time managing disclosure requirements ($/year)</w:t>
            </w:r>
          </w:p>
        </w:tc>
        <w:tc>
          <w:tcPr>
            <w:tcW w:w="17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41D73A6" w14:textId="77777777" w:rsidR="00ED0E85" w:rsidRDefault="00ED0E85" w:rsidP="00ED0E85">
            <w:pPr>
              <w:pStyle w:val="TableDataEntries"/>
            </w:pPr>
            <w:r>
              <w:rPr>
                <w:szCs w:val="16"/>
              </w:rPr>
              <w:t>~</w:t>
            </w:r>
            <w:r w:rsidRPr="00C22C51">
              <w:rPr>
                <w:szCs w:val="16"/>
              </w:rPr>
              <w:t>0</w:t>
            </w:r>
          </w:p>
        </w:tc>
        <w:tc>
          <w:tcPr>
            <w:tcW w:w="22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68EA76A7" w14:textId="77777777" w:rsidR="00ED0E85" w:rsidRDefault="00ED0E85" w:rsidP="00ED0E85">
            <w:pPr>
              <w:pStyle w:val="TableDataEntries"/>
            </w:pPr>
            <w:r w:rsidRPr="00C22C51">
              <w:rPr>
                <w:szCs w:val="16"/>
              </w:rPr>
              <w:t>3 168</w:t>
            </w:r>
          </w:p>
        </w:tc>
        <w:tc>
          <w:tcPr>
            <w:tcW w:w="17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05D6CC39" w14:textId="77777777" w:rsidR="00ED0E85" w:rsidRDefault="00ED0E85" w:rsidP="00ED0E85">
            <w:pPr>
              <w:pStyle w:val="TableDataEntries"/>
            </w:pPr>
            <w:r w:rsidRPr="00C22C51">
              <w:rPr>
                <w:szCs w:val="16"/>
              </w:rPr>
              <w:t>1 892</w:t>
            </w:r>
          </w:p>
        </w:tc>
      </w:tr>
      <w:tr w:rsidR="00ED0E85" w14:paraId="343B0919" w14:textId="77777777" w:rsidTr="00ED0E85">
        <w:tc>
          <w:tcPr>
            <w:tcW w:w="22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69CCEF" w14:textId="77777777" w:rsidR="00ED0E85" w:rsidRDefault="00ED0E85" w:rsidP="00ED0E85">
            <w:pPr>
              <w:pStyle w:val="TableDataEntries"/>
              <w:jc w:val="left"/>
            </w:pPr>
            <w:r>
              <w:t>Total cost ($/year)</w:t>
            </w:r>
          </w:p>
        </w:tc>
        <w:tc>
          <w:tcPr>
            <w:tcW w:w="17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0E7D93F" w14:textId="77777777" w:rsidR="00ED0E85" w:rsidRDefault="00ED0E85" w:rsidP="00ED0E85">
            <w:pPr>
              <w:pStyle w:val="TableDataEntries"/>
            </w:pPr>
            <w:r w:rsidRPr="00C22C51">
              <w:rPr>
                <w:szCs w:val="16"/>
              </w:rPr>
              <w:t xml:space="preserve"> 0</w:t>
            </w:r>
          </w:p>
        </w:tc>
        <w:tc>
          <w:tcPr>
            <w:tcW w:w="22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986196E" w14:textId="77777777" w:rsidR="00ED0E85" w:rsidRDefault="00ED0E85" w:rsidP="00ED0E85">
            <w:pPr>
              <w:pStyle w:val="TableDataEntries"/>
            </w:pPr>
            <w:r w:rsidRPr="00C22C51">
              <w:rPr>
                <w:szCs w:val="16"/>
              </w:rPr>
              <w:t>9 503</w:t>
            </w:r>
          </w:p>
        </w:tc>
        <w:tc>
          <w:tcPr>
            <w:tcW w:w="17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88A7F1B" w14:textId="77777777" w:rsidR="00ED0E85" w:rsidRDefault="00ED0E85" w:rsidP="00ED0E85">
            <w:pPr>
              <w:pStyle w:val="TableDataEntries"/>
            </w:pPr>
            <w:r w:rsidRPr="00C22C51">
              <w:rPr>
                <w:szCs w:val="16"/>
              </w:rPr>
              <w:t>5 675</w:t>
            </w:r>
          </w:p>
        </w:tc>
      </w:tr>
      <w:tr w:rsidR="00ED0E85" w14:paraId="4B967033" w14:textId="77777777" w:rsidTr="00ED0E85">
        <w:tc>
          <w:tcPr>
            <w:tcW w:w="22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D8D933" w14:textId="77777777" w:rsidR="00ED0E85" w:rsidRDefault="00ED0E85" w:rsidP="00ED0E85">
            <w:pPr>
              <w:pStyle w:val="TableDataEntries"/>
              <w:jc w:val="left"/>
            </w:pPr>
            <w:r>
              <w:t>Total cost across all centres ($m/year)</w:t>
            </w:r>
          </w:p>
        </w:tc>
        <w:tc>
          <w:tcPr>
            <w:tcW w:w="17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3511608E" w14:textId="77777777" w:rsidR="00ED0E85" w:rsidRDefault="00ED0E85" w:rsidP="00ED0E85">
            <w:pPr>
              <w:pStyle w:val="TableDataEntries"/>
            </w:pPr>
            <w:r w:rsidRPr="00C22C51">
              <w:rPr>
                <w:szCs w:val="16"/>
              </w:rPr>
              <w:t xml:space="preserve"> 0</w:t>
            </w:r>
          </w:p>
        </w:tc>
        <w:tc>
          <w:tcPr>
            <w:tcW w:w="22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6B1F80E" w14:textId="77777777" w:rsidR="00ED0E85" w:rsidRDefault="00ED0E85" w:rsidP="00ED0E85">
            <w:pPr>
              <w:pStyle w:val="TableDataEntries"/>
            </w:pPr>
            <w:r w:rsidRPr="00C22C51">
              <w:rPr>
                <w:szCs w:val="16"/>
              </w:rPr>
              <w:t>66 742</w:t>
            </w:r>
          </w:p>
        </w:tc>
        <w:tc>
          <w:tcPr>
            <w:tcW w:w="17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24863470" w14:textId="77777777" w:rsidR="00ED0E85" w:rsidRDefault="00ED0E85" w:rsidP="00ED0E85">
            <w:pPr>
              <w:pStyle w:val="TableDataEntries"/>
            </w:pPr>
            <w:r w:rsidRPr="00C22C51">
              <w:rPr>
                <w:szCs w:val="16"/>
              </w:rPr>
              <w:t>39 857</w:t>
            </w:r>
          </w:p>
        </w:tc>
      </w:tr>
      <w:tr w:rsidR="00ED0E85" w14:paraId="523F819B" w14:textId="77777777" w:rsidTr="00ED0E85">
        <w:tc>
          <w:tcPr>
            <w:tcW w:w="226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5B2141" w14:textId="77777777" w:rsidR="00ED0E85" w:rsidRDefault="00ED0E85" w:rsidP="00ED0E85">
            <w:pPr>
              <w:pStyle w:val="TableDataEntries"/>
              <w:jc w:val="left"/>
            </w:pPr>
            <w:r>
              <w:t>Total cost across all centres ($m present value over 10 years)</w:t>
            </w:r>
          </w:p>
        </w:tc>
        <w:tc>
          <w:tcPr>
            <w:tcW w:w="17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74179473" w14:textId="77777777" w:rsidR="00ED0E85" w:rsidRDefault="00ED0E85" w:rsidP="00ED0E85">
            <w:pPr>
              <w:pStyle w:val="TableDataEntries"/>
            </w:pPr>
            <w:r w:rsidRPr="00C22C51">
              <w:rPr>
                <w:szCs w:val="16"/>
              </w:rPr>
              <w:t>0.0</w:t>
            </w:r>
          </w:p>
        </w:tc>
        <w:tc>
          <w:tcPr>
            <w:tcW w:w="226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47A6F7D0" w14:textId="77777777" w:rsidR="00ED0E85" w:rsidRDefault="00ED0E85" w:rsidP="00ED0E85">
            <w:pPr>
              <w:pStyle w:val="TableDataEntries"/>
            </w:pPr>
            <w:r w:rsidRPr="00C22C51">
              <w:rPr>
                <w:szCs w:val="16"/>
              </w:rPr>
              <w:t>2.4</w:t>
            </w:r>
          </w:p>
        </w:tc>
        <w:tc>
          <w:tcPr>
            <w:tcW w:w="170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center"/>
          </w:tcPr>
          <w:p w14:paraId="6B7DC019" w14:textId="77777777" w:rsidR="00ED0E85" w:rsidRDefault="00ED0E85" w:rsidP="00ED0E85">
            <w:pPr>
              <w:pStyle w:val="TableDataEntries"/>
            </w:pPr>
            <w:r w:rsidRPr="00C22C51">
              <w:rPr>
                <w:szCs w:val="16"/>
              </w:rPr>
              <w:t>2.4</w:t>
            </w:r>
          </w:p>
        </w:tc>
      </w:tr>
      <w:tr w:rsidR="00ED0E85" w14:paraId="01E0306E" w14:textId="77777777" w:rsidTr="00ED0E85">
        <w:tc>
          <w:tcPr>
            <w:tcW w:w="2268" w:type="dxa"/>
            <w:tcBorders>
              <w:top w:val="single" w:sz="8" w:space="0" w:color="FFFFFF" w:themeColor="background1"/>
              <w:bottom w:val="single" w:sz="6" w:space="0" w:color="6F6652"/>
            </w:tcBorders>
            <w:shd w:val="clear" w:color="auto" w:fill="E9E8E5" w:themeFill="background2"/>
            <w:tcMar>
              <w:left w:w="57" w:type="dxa"/>
              <w:right w:w="57" w:type="dxa"/>
            </w:tcMar>
            <w:vAlign w:val="center"/>
          </w:tcPr>
          <w:p w14:paraId="695C0154" w14:textId="77777777" w:rsidR="00ED0E85" w:rsidRDefault="00ED0E85" w:rsidP="00ED0E85">
            <w:pPr>
              <w:pStyle w:val="TableDataEntries"/>
              <w:jc w:val="left"/>
            </w:pPr>
            <w:r w:rsidRPr="00C22C51">
              <w:rPr>
                <w:szCs w:val="16"/>
              </w:rPr>
              <w:t>Total compliance cost across all centres ($m present value over 10 years)</w:t>
            </w:r>
          </w:p>
        </w:tc>
        <w:tc>
          <w:tcPr>
            <w:tcW w:w="1700" w:type="dxa"/>
            <w:tcBorders>
              <w:top w:val="single" w:sz="8" w:space="0" w:color="FFFFFF" w:themeColor="background1"/>
              <w:bottom w:val="single" w:sz="6" w:space="0" w:color="6F6652"/>
            </w:tcBorders>
            <w:shd w:val="clear" w:color="auto" w:fill="E9E8E5" w:themeFill="background2"/>
            <w:tcMar>
              <w:left w:w="57" w:type="dxa"/>
              <w:right w:w="57" w:type="dxa"/>
            </w:tcMar>
            <w:vAlign w:val="center"/>
          </w:tcPr>
          <w:p w14:paraId="09ABF48C" w14:textId="77777777" w:rsidR="00ED0E85" w:rsidRPr="00C22C51" w:rsidRDefault="00ED0E85" w:rsidP="00ED0E85">
            <w:pPr>
              <w:pStyle w:val="TableDataEntries"/>
              <w:rPr>
                <w:szCs w:val="16"/>
              </w:rPr>
            </w:pPr>
            <w:r w:rsidRPr="00C22C51">
              <w:rPr>
                <w:szCs w:val="16"/>
              </w:rPr>
              <w:t>0.0</w:t>
            </w:r>
          </w:p>
        </w:tc>
        <w:tc>
          <w:tcPr>
            <w:tcW w:w="2269" w:type="dxa"/>
            <w:tcBorders>
              <w:top w:val="single" w:sz="8" w:space="0" w:color="FFFFFF" w:themeColor="background1"/>
              <w:bottom w:val="single" w:sz="6" w:space="0" w:color="6F6652"/>
            </w:tcBorders>
            <w:shd w:val="clear" w:color="auto" w:fill="E9E8E5" w:themeFill="background2"/>
            <w:tcMar>
              <w:left w:w="57" w:type="dxa"/>
              <w:right w:w="57" w:type="dxa"/>
            </w:tcMar>
            <w:vAlign w:val="center"/>
          </w:tcPr>
          <w:p w14:paraId="24D14A18" w14:textId="77777777" w:rsidR="00ED0E85" w:rsidRPr="00C22C51" w:rsidRDefault="00ED0E85" w:rsidP="00ED0E85">
            <w:pPr>
              <w:pStyle w:val="TableDataEntries"/>
              <w:rPr>
                <w:szCs w:val="16"/>
              </w:rPr>
            </w:pPr>
            <w:r w:rsidRPr="00C22C51">
              <w:rPr>
                <w:szCs w:val="16"/>
              </w:rPr>
              <w:t>17.0</w:t>
            </w:r>
          </w:p>
        </w:tc>
        <w:tc>
          <w:tcPr>
            <w:tcW w:w="1700" w:type="dxa"/>
            <w:tcBorders>
              <w:top w:val="single" w:sz="8" w:space="0" w:color="FFFFFF" w:themeColor="background1"/>
              <w:bottom w:val="single" w:sz="6" w:space="0" w:color="6F6652"/>
            </w:tcBorders>
            <w:shd w:val="clear" w:color="auto" w:fill="E9E8E5" w:themeFill="background2"/>
            <w:tcMar>
              <w:left w:w="57" w:type="dxa"/>
              <w:right w:w="57" w:type="dxa"/>
            </w:tcMar>
            <w:vAlign w:val="center"/>
          </w:tcPr>
          <w:p w14:paraId="0C144D25" w14:textId="77777777" w:rsidR="00ED0E85" w:rsidRPr="00C22C51" w:rsidRDefault="00ED0E85" w:rsidP="00ED0E85">
            <w:pPr>
              <w:pStyle w:val="TableDataEntries"/>
              <w:rPr>
                <w:szCs w:val="16"/>
              </w:rPr>
            </w:pPr>
            <w:r w:rsidRPr="00C22C51">
              <w:rPr>
                <w:szCs w:val="16"/>
              </w:rPr>
              <w:t>17.0</w:t>
            </w:r>
          </w:p>
        </w:tc>
      </w:tr>
    </w:tbl>
    <w:p w14:paraId="10AE90FB" w14:textId="77777777" w:rsidR="00ED0E85" w:rsidRDefault="00ED0E85" w:rsidP="00ED0E85">
      <w:pPr>
        <w:pStyle w:val="Source"/>
      </w:pPr>
      <w:r>
        <w:rPr>
          <w:i/>
        </w:rPr>
        <w:t>Source</w:t>
      </w:r>
      <w:r w:rsidRPr="00E4232C">
        <w:rPr>
          <w:i/>
        </w:rPr>
        <w:t>:</w:t>
      </w:r>
      <w:r>
        <w:t xml:space="preserve"> The CIE.</w:t>
      </w:r>
    </w:p>
    <w:p w14:paraId="13FC9653" w14:textId="77777777" w:rsidR="00ED0E85" w:rsidRDefault="00ED0E85" w:rsidP="00ED0E85">
      <w:pPr>
        <w:pStyle w:val="BodyText"/>
      </w:pPr>
      <w:r>
        <w:t xml:space="preserve">We do not expect mandatory disclosure to have an impact on the energy performance of shopping centres. However, we have tested what level of energy saving would be required for shopping centres to outweigh the costs. </w:t>
      </w:r>
    </w:p>
    <w:p w14:paraId="5C1FADEA" w14:textId="77777777" w:rsidR="00ED0E85" w:rsidRDefault="00ED0E85" w:rsidP="00ED0E85">
      <w:pPr>
        <w:pStyle w:val="ListBullet"/>
      </w:pPr>
      <w:r>
        <w:t>We find that an energy savings of about 3-5 per cent for those not currently engaged in obtaining NABERS energy ratings would be required to justify a mandatory scheme. This is estimated by quantifying:</w:t>
      </w:r>
    </w:p>
    <w:p w14:paraId="465FD9F3" w14:textId="77777777" w:rsidR="00ED0E85" w:rsidRDefault="00ED0E85" w:rsidP="00ED0E85">
      <w:pPr>
        <w:pStyle w:val="ListBullet2"/>
      </w:pPr>
      <w:r>
        <w:t>the value of energy savings, which comprises private values that are part of the price of energy and GHG emissions reductions</w:t>
      </w:r>
    </w:p>
    <w:p w14:paraId="6639275A" w14:textId="77777777" w:rsidR="00ED0E85" w:rsidRDefault="00ED0E85" w:rsidP="00ED0E85">
      <w:pPr>
        <w:pStyle w:val="ListBullet2"/>
      </w:pPr>
      <w:r>
        <w:t>costs of upgrades. The estimate for the cost of upgrades is based on shopping centres having fewer opportunities for high pay-off activities as compared to offices, so the costs would equate to 75 per cent of the private benefits</w:t>
      </w:r>
    </w:p>
    <w:p w14:paraId="39A78D00" w14:textId="77777777" w:rsidR="00ED0E85" w:rsidRDefault="00ED0E85" w:rsidP="00ED0E85">
      <w:pPr>
        <w:pStyle w:val="ListBullet2"/>
      </w:pPr>
      <w:r>
        <w:t xml:space="preserve">compliance costs to government, which are assumed to be at the same cost per participant as offices. </w:t>
      </w:r>
    </w:p>
    <w:p w14:paraId="6BD902A7" w14:textId="1CB9289F" w:rsidR="00ED0E85" w:rsidRDefault="00ED0E85" w:rsidP="00ED0E85">
      <w:pPr>
        <w:pStyle w:val="BodyText"/>
      </w:pPr>
      <w:r>
        <w:t>These estimates are presented in table </w:t>
      </w:r>
      <w:r w:rsidR="004550CB">
        <w:rPr>
          <w:noProof/>
        </w:rPr>
        <w:fldChar w:fldCharType="begin"/>
      </w:r>
      <w:r w:rsidR="004550CB">
        <w:rPr>
          <w:noProof/>
        </w:rPr>
        <w:instrText xml:space="preserve"> REF _Caption7628 </w:instrText>
      </w:r>
      <w:r w:rsidR="004550CB">
        <w:rPr>
          <w:noProof/>
        </w:rPr>
        <w:fldChar w:fldCharType="separate"/>
      </w:r>
      <w:r w:rsidR="00AD3561">
        <w:rPr>
          <w:noProof/>
        </w:rPr>
        <w:t>7</w:t>
      </w:r>
      <w:r w:rsidR="00AD3561" w:rsidRPr="00695C93">
        <w:rPr>
          <w:noProof/>
        </w:rPr>
        <w:t>.</w:t>
      </w:r>
      <w:r w:rsidR="00AD3561">
        <w:rPr>
          <w:noProof/>
        </w:rPr>
        <w:t>10</w:t>
      </w:r>
      <w:r w:rsidR="004550CB">
        <w:rPr>
          <w:noProof/>
        </w:rPr>
        <w:fldChar w:fldCharType="end"/>
      </w:r>
      <w:r>
        <w:t>. Note that these have not been developed in the same level of detail as for offices, given our discussion around the rationale for a mandatory disclosure scheme for shopping centres. In particular, the cost of energy efficiency upgrades has not been considered in as much detail and compliance costs for disclosure, as opposed to obtaining a NABERS energy rating have not been estimated.</w:t>
      </w:r>
    </w:p>
    <w:p w14:paraId="7F47AFB5" w14:textId="7B2D4E56"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7</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7</w:instrText>
      </w:r>
      <w:r w:rsidR="004550CB">
        <w:rPr>
          <w:noProof/>
        </w:rPr>
        <w:fldChar w:fldCharType="end"/>
      </w:r>
      <w:r w:rsidRPr="00695C93">
        <w:instrText xml:space="preserve">." </w:instrText>
      </w:r>
      <w:r w:rsidRPr="00695C93">
        <w:fldChar w:fldCharType="separate"/>
      </w:r>
      <w:r w:rsidR="00AD3561">
        <w:rPr>
          <w:noProof/>
        </w:rPr>
        <w:instrText>7</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7</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7</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10</w:instrText>
      </w:r>
      <w:r w:rsidRPr="00695C93">
        <w:fldChar w:fldCharType="end"/>
      </w:r>
      <w:r w:rsidRPr="00695C93">
        <w:instrText xml:space="preserve">" "" </w:instrText>
      </w:r>
      <w:r w:rsidRPr="00695C93">
        <w:fldChar w:fldCharType="separate"/>
      </w:r>
      <w:bookmarkStart w:id="4805" w:name="_Caption1166"/>
      <w:bookmarkStart w:id="4806" w:name="_Caption0483"/>
      <w:bookmarkStart w:id="4807" w:name="_Caption6866"/>
      <w:bookmarkStart w:id="4808" w:name="_Caption5414"/>
      <w:bookmarkStart w:id="4809" w:name="_Caption4299"/>
      <w:bookmarkStart w:id="4810" w:name="_Caption3568"/>
      <w:bookmarkStart w:id="4811" w:name="_Caption2160"/>
      <w:bookmarkStart w:id="4812" w:name="_Caption7276"/>
      <w:bookmarkStart w:id="4813" w:name="_Caption2210"/>
      <w:bookmarkStart w:id="4814" w:name="_Caption2163"/>
      <w:bookmarkStart w:id="4815" w:name="_Caption0701"/>
      <w:bookmarkStart w:id="4816" w:name="_Caption1109"/>
      <w:bookmarkStart w:id="4817" w:name="_Caption5802"/>
      <w:bookmarkStart w:id="4818" w:name="_Caption3178"/>
      <w:bookmarkStart w:id="4819" w:name="_Caption0013"/>
      <w:bookmarkStart w:id="4820" w:name="_Caption3703"/>
      <w:bookmarkStart w:id="4821" w:name="_Caption2338"/>
      <w:bookmarkStart w:id="4822" w:name="_Caption9875"/>
      <w:bookmarkStart w:id="4823" w:name="_Caption8311"/>
      <w:bookmarkStart w:id="4824" w:name="_Caption6846"/>
      <w:bookmarkStart w:id="4825" w:name="_Caption8654"/>
      <w:bookmarkStart w:id="4826" w:name="_Caption4719"/>
      <w:bookmarkStart w:id="4827" w:name="_Caption7515"/>
      <w:bookmarkStart w:id="4828" w:name="_Caption1794"/>
      <w:bookmarkStart w:id="4829" w:name="_Caption1845"/>
      <w:bookmarkStart w:id="4830" w:name="_Caption0250"/>
      <w:bookmarkStart w:id="4831" w:name="_Caption2570"/>
      <w:bookmarkStart w:id="4832" w:name="_Caption6335"/>
      <w:bookmarkStart w:id="4833" w:name="_Caption8328"/>
      <w:bookmarkStart w:id="4834" w:name="_Caption5522"/>
      <w:bookmarkStart w:id="4835" w:name="_Caption7368"/>
      <w:bookmarkStart w:id="4836" w:name="_Caption3593"/>
      <w:bookmarkStart w:id="4837" w:name="_Caption7628"/>
      <w:bookmarkStart w:id="4838" w:name="_Caption5725"/>
      <w:bookmarkStart w:id="4839" w:name="_Caption9429"/>
      <w:bookmarkStart w:id="4840" w:name="_Caption0154"/>
      <w:bookmarkStart w:id="4841" w:name="_Caption2708"/>
      <w:bookmarkStart w:id="4842" w:name="_Caption7806"/>
      <w:bookmarkStart w:id="4843" w:name="_Caption6337"/>
      <w:bookmarkStart w:id="4844" w:name="_Caption0022"/>
      <w:bookmarkStart w:id="4845" w:name="_Caption0027"/>
      <w:bookmarkStart w:id="4846" w:name="_Caption2101"/>
      <w:bookmarkStart w:id="4847" w:name="_Caption5484"/>
      <w:bookmarkStart w:id="4848" w:name="_Caption2265"/>
      <w:bookmarkStart w:id="4849" w:name="_Caption9542"/>
      <w:bookmarkStart w:id="4850" w:name="_Caption4302"/>
      <w:bookmarkStart w:id="4851" w:name="_Caption3094"/>
      <w:bookmarkStart w:id="4852" w:name="_Caption4406"/>
      <w:bookmarkStart w:id="4853" w:name="_Caption1324"/>
      <w:bookmarkStart w:id="4854" w:name="_Caption1836"/>
      <w:bookmarkStart w:id="4855" w:name="_Caption1352"/>
      <w:bookmarkStart w:id="4856" w:name="_Caption5743"/>
      <w:bookmarkStart w:id="4857" w:name="_Caption5506"/>
      <w:bookmarkStart w:id="4858" w:name="_Caption9510"/>
      <w:bookmarkStart w:id="4859" w:name="_Caption2566"/>
      <w:bookmarkStart w:id="4860" w:name="_Caption0192"/>
      <w:bookmarkStart w:id="4861" w:name="_Caption5417"/>
      <w:bookmarkStart w:id="4862" w:name="_Caption7527"/>
      <w:bookmarkStart w:id="4863" w:name="_Toc19275624"/>
      <w:bookmarkStart w:id="4864" w:name="_Toc19276234"/>
      <w:bookmarkStart w:id="4865" w:name="_Toc19280233"/>
      <w:r w:rsidR="00C353B5">
        <w:rPr>
          <w:noProof/>
        </w:rPr>
        <w:t>7</w:t>
      </w:r>
      <w:r w:rsidR="00C353B5" w:rsidRPr="00695C93">
        <w:rPr>
          <w:noProof/>
        </w:rPr>
        <w:t>.</w:t>
      </w:r>
      <w:r w:rsidR="00C353B5">
        <w:rPr>
          <w:noProof/>
        </w:rPr>
        <w:t>10</w:t>
      </w:r>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r w:rsidRPr="00695C93">
        <w:fldChar w:fldCharType="end"/>
      </w:r>
      <w:r w:rsidRPr="00695C93">
        <w:tab/>
      </w:r>
      <w:r>
        <w:t>Costs and benefits of mandatory disclosure for shopping centres</w:t>
      </w:r>
      <w:bookmarkEnd w:id="4863"/>
      <w:bookmarkEnd w:id="4864"/>
      <w:bookmarkEnd w:id="4865"/>
    </w:p>
    <w:tbl>
      <w:tblPr>
        <w:tblW w:w="7937" w:type="dxa"/>
        <w:tblLayout w:type="fixed"/>
        <w:tblLook w:val="04A0" w:firstRow="1" w:lastRow="0" w:firstColumn="1" w:lastColumn="0" w:noHBand="0" w:noVBand="1"/>
      </w:tblPr>
      <w:tblGrid>
        <w:gridCol w:w="3353"/>
        <w:gridCol w:w="2292"/>
        <w:gridCol w:w="2292"/>
      </w:tblGrid>
      <w:tr w:rsidR="00ED0E85" w:rsidRPr="00DE299E" w14:paraId="62E3C06C" w14:textId="77777777" w:rsidTr="00ED0E85">
        <w:trPr>
          <w:trHeight w:val="250"/>
        </w:trPr>
        <w:tc>
          <w:tcPr>
            <w:tcW w:w="3353" w:type="dxa"/>
            <w:shd w:val="clear" w:color="auto" w:fill="6F6652"/>
            <w:noWrap/>
            <w:tcMar>
              <w:left w:w="57" w:type="dxa"/>
              <w:right w:w="57" w:type="dxa"/>
            </w:tcMar>
            <w:hideMark/>
          </w:tcPr>
          <w:p w14:paraId="7C2CBA72" w14:textId="77777777" w:rsidR="00ED0E85" w:rsidRPr="00DE299E" w:rsidRDefault="00ED0E85" w:rsidP="00ED0E85">
            <w:pPr>
              <w:pStyle w:val="TableDataColumnHeading"/>
              <w:jc w:val="left"/>
            </w:pPr>
          </w:p>
        </w:tc>
        <w:tc>
          <w:tcPr>
            <w:tcW w:w="2292" w:type="dxa"/>
            <w:shd w:val="clear" w:color="auto" w:fill="6F6652"/>
            <w:noWrap/>
            <w:tcMar>
              <w:left w:w="57" w:type="dxa"/>
              <w:right w:w="57" w:type="dxa"/>
            </w:tcMar>
            <w:hideMark/>
          </w:tcPr>
          <w:p w14:paraId="5AF9A5D1" w14:textId="77777777" w:rsidR="00ED0E85" w:rsidRPr="000A6323" w:rsidRDefault="00ED0E85" w:rsidP="00ED0E85">
            <w:pPr>
              <w:pStyle w:val="TableDataColumnHeading"/>
            </w:pPr>
            <w:r w:rsidRPr="000A6323">
              <w:t>Reduction in energy use of 3 per cent</w:t>
            </w:r>
          </w:p>
        </w:tc>
        <w:tc>
          <w:tcPr>
            <w:tcW w:w="2292" w:type="dxa"/>
            <w:shd w:val="clear" w:color="auto" w:fill="6F6652"/>
            <w:noWrap/>
            <w:tcMar>
              <w:left w:w="57" w:type="dxa"/>
              <w:right w:w="57" w:type="dxa"/>
            </w:tcMar>
            <w:hideMark/>
          </w:tcPr>
          <w:p w14:paraId="365B2D40" w14:textId="77777777" w:rsidR="00ED0E85" w:rsidRPr="000A6323" w:rsidRDefault="00ED0E85" w:rsidP="00ED0E85">
            <w:pPr>
              <w:pStyle w:val="TableDataColumnHeading"/>
            </w:pPr>
            <w:r w:rsidRPr="000A6323">
              <w:t>Reduction in energy use of 5 per cent</w:t>
            </w:r>
          </w:p>
        </w:tc>
      </w:tr>
      <w:tr w:rsidR="00ED0E85" w:rsidRPr="00DE299E" w14:paraId="21EF05E0" w14:textId="77777777" w:rsidTr="00ED0E85">
        <w:trPr>
          <w:trHeight w:val="250"/>
        </w:trPr>
        <w:tc>
          <w:tcPr>
            <w:tcW w:w="3353" w:type="dxa"/>
            <w:tcBorders>
              <w:bottom w:val="single" w:sz="8" w:space="0" w:color="FFFFFF" w:themeColor="background1"/>
            </w:tcBorders>
            <w:shd w:val="clear" w:color="auto" w:fill="auto"/>
            <w:noWrap/>
            <w:tcMar>
              <w:left w:w="57" w:type="dxa"/>
              <w:right w:w="57" w:type="dxa"/>
            </w:tcMar>
            <w:hideMark/>
          </w:tcPr>
          <w:p w14:paraId="5659D6B6" w14:textId="77777777" w:rsidR="00ED0E85" w:rsidRPr="00DE299E" w:rsidRDefault="00ED0E85" w:rsidP="00ED0E85">
            <w:pPr>
              <w:pStyle w:val="TableUnit"/>
              <w:jc w:val="left"/>
            </w:pPr>
          </w:p>
        </w:tc>
        <w:tc>
          <w:tcPr>
            <w:tcW w:w="2292" w:type="dxa"/>
            <w:tcBorders>
              <w:bottom w:val="single" w:sz="8" w:space="0" w:color="FFFFFF" w:themeColor="background1"/>
            </w:tcBorders>
            <w:shd w:val="clear" w:color="auto" w:fill="auto"/>
            <w:noWrap/>
            <w:tcMar>
              <w:left w:w="57" w:type="dxa"/>
              <w:right w:w="57" w:type="dxa"/>
            </w:tcMar>
            <w:hideMark/>
          </w:tcPr>
          <w:p w14:paraId="4F8ED809" w14:textId="77777777" w:rsidR="00ED0E85" w:rsidRPr="00DE299E" w:rsidRDefault="00ED0E85" w:rsidP="00ED0E85">
            <w:pPr>
              <w:pStyle w:val="TableUnit"/>
            </w:pPr>
            <w:r w:rsidRPr="00DE299E">
              <w:t>$m, pv</w:t>
            </w:r>
          </w:p>
        </w:tc>
        <w:tc>
          <w:tcPr>
            <w:tcW w:w="2292" w:type="dxa"/>
            <w:tcBorders>
              <w:bottom w:val="single" w:sz="8" w:space="0" w:color="FFFFFF" w:themeColor="background1"/>
            </w:tcBorders>
            <w:shd w:val="clear" w:color="auto" w:fill="auto"/>
            <w:noWrap/>
            <w:tcMar>
              <w:left w:w="57" w:type="dxa"/>
              <w:right w:w="57" w:type="dxa"/>
            </w:tcMar>
            <w:hideMark/>
          </w:tcPr>
          <w:p w14:paraId="3602BBE5" w14:textId="77777777" w:rsidR="00ED0E85" w:rsidRPr="00DE299E" w:rsidRDefault="00ED0E85" w:rsidP="00ED0E85">
            <w:pPr>
              <w:pStyle w:val="TableUnit"/>
            </w:pPr>
            <w:r w:rsidRPr="00DE299E">
              <w:t>$m, pv</w:t>
            </w:r>
          </w:p>
        </w:tc>
      </w:tr>
      <w:tr w:rsidR="00ED0E85" w:rsidRPr="00DE299E" w14:paraId="15FF78F9" w14:textId="77777777" w:rsidTr="00ED0E85">
        <w:trPr>
          <w:trHeight w:val="250"/>
        </w:trPr>
        <w:tc>
          <w:tcPr>
            <w:tcW w:w="3353"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9C1395D" w14:textId="77777777" w:rsidR="00ED0E85" w:rsidRPr="00DE299E" w:rsidRDefault="00ED0E85" w:rsidP="00ED0E85">
            <w:pPr>
              <w:pStyle w:val="TableHeading1"/>
            </w:pPr>
            <w:r w:rsidRPr="00DE299E">
              <w:t>Private benefits/costs</w:t>
            </w:r>
          </w:p>
        </w:tc>
        <w:tc>
          <w:tcPr>
            <w:tcW w:w="2292"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34C2A091" w14:textId="77777777" w:rsidR="00ED0E85" w:rsidRPr="00DE299E" w:rsidRDefault="00ED0E85" w:rsidP="00ED0E85">
            <w:pPr>
              <w:pStyle w:val="TableHeading1"/>
            </w:pPr>
          </w:p>
        </w:tc>
        <w:tc>
          <w:tcPr>
            <w:tcW w:w="2292"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2996B737" w14:textId="77777777" w:rsidR="00ED0E85" w:rsidRPr="00DE299E" w:rsidRDefault="00ED0E85" w:rsidP="00ED0E85">
            <w:pPr>
              <w:pStyle w:val="TableHeading1"/>
              <w:rPr>
                <w:rFonts w:ascii="Times New Roman" w:hAnsi="Times New Roman"/>
                <w:sz w:val="20"/>
                <w:szCs w:val="20"/>
              </w:rPr>
            </w:pPr>
          </w:p>
        </w:tc>
      </w:tr>
      <w:tr w:rsidR="00ED0E85" w:rsidRPr="00DE299E" w14:paraId="6E8B6BD6" w14:textId="77777777" w:rsidTr="00ED0E85">
        <w:trPr>
          <w:trHeight w:val="250"/>
        </w:trPr>
        <w:tc>
          <w:tcPr>
            <w:tcW w:w="335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D0A095" w14:textId="77777777" w:rsidR="00ED0E85" w:rsidRPr="00DE299E" w:rsidRDefault="00ED0E85" w:rsidP="00ED0E85">
            <w:pPr>
              <w:pStyle w:val="TableDataEntries"/>
              <w:jc w:val="left"/>
            </w:pPr>
            <w:r w:rsidRPr="00DE299E">
              <w:t>Energy savings</w:t>
            </w:r>
          </w:p>
        </w:tc>
        <w:tc>
          <w:tcPr>
            <w:tcW w:w="2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AD297A" w14:textId="77777777" w:rsidR="00ED0E85" w:rsidRPr="00DE299E" w:rsidRDefault="00ED0E85" w:rsidP="00ED0E85">
            <w:pPr>
              <w:pStyle w:val="TableDataEntries"/>
            </w:pPr>
            <w:r w:rsidRPr="00DE299E">
              <w:t>17.9</w:t>
            </w:r>
          </w:p>
        </w:tc>
        <w:tc>
          <w:tcPr>
            <w:tcW w:w="2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1D13BF" w14:textId="77777777" w:rsidR="00ED0E85" w:rsidRPr="00DE299E" w:rsidRDefault="00ED0E85" w:rsidP="00ED0E85">
            <w:pPr>
              <w:pStyle w:val="TableDataEntries"/>
            </w:pPr>
            <w:r w:rsidRPr="00DE299E">
              <w:t>29.9</w:t>
            </w:r>
          </w:p>
        </w:tc>
      </w:tr>
      <w:tr w:rsidR="00ED0E85" w:rsidRPr="00DE299E" w14:paraId="79C0E400" w14:textId="77777777" w:rsidTr="00ED0E85">
        <w:trPr>
          <w:trHeight w:val="250"/>
        </w:trPr>
        <w:tc>
          <w:tcPr>
            <w:tcW w:w="335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B4EEB2" w14:textId="77777777" w:rsidR="00ED0E85" w:rsidRPr="00DE299E" w:rsidRDefault="00ED0E85" w:rsidP="00ED0E85">
            <w:pPr>
              <w:pStyle w:val="TableDataEntries"/>
              <w:jc w:val="left"/>
            </w:pPr>
            <w:r w:rsidRPr="00DE299E">
              <w:t>Upgrade costs</w:t>
            </w:r>
          </w:p>
        </w:tc>
        <w:tc>
          <w:tcPr>
            <w:tcW w:w="2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36098B" w14:textId="77777777" w:rsidR="00ED0E85" w:rsidRPr="00DE299E" w:rsidRDefault="00ED0E85" w:rsidP="00ED0E85">
            <w:pPr>
              <w:pStyle w:val="TableDataEntries"/>
            </w:pPr>
            <w:r w:rsidRPr="00DE299E">
              <w:t>-13.4</w:t>
            </w:r>
          </w:p>
        </w:tc>
        <w:tc>
          <w:tcPr>
            <w:tcW w:w="2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18DC1B" w14:textId="77777777" w:rsidR="00ED0E85" w:rsidRPr="00DE299E" w:rsidRDefault="00ED0E85" w:rsidP="00ED0E85">
            <w:pPr>
              <w:pStyle w:val="TableDataEntries"/>
            </w:pPr>
            <w:r w:rsidRPr="00DE299E">
              <w:t>-22.4</w:t>
            </w:r>
          </w:p>
        </w:tc>
      </w:tr>
      <w:tr w:rsidR="00ED0E85" w:rsidRPr="00DE299E" w14:paraId="7910A875" w14:textId="77777777" w:rsidTr="00ED0E85">
        <w:trPr>
          <w:trHeight w:val="250"/>
        </w:trPr>
        <w:tc>
          <w:tcPr>
            <w:tcW w:w="335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F7DF4A" w14:textId="77777777" w:rsidR="00ED0E85" w:rsidRPr="00DE299E" w:rsidRDefault="00ED0E85" w:rsidP="00ED0E85">
            <w:pPr>
              <w:pStyle w:val="TableDataEntries"/>
              <w:jc w:val="left"/>
            </w:pPr>
            <w:r w:rsidRPr="00DE299E">
              <w:t>Compliance costs</w:t>
            </w:r>
          </w:p>
        </w:tc>
        <w:tc>
          <w:tcPr>
            <w:tcW w:w="2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B3E0D7E" w14:textId="77777777" w:rsidR="00ED0E85" w:rsidRPr="00DE299E" w:rsidRDefault="00ED0E85" w:rsidP="00ED0E85">
            <w:pPr>
              <w:pStyle w:val="TableDataEntries"/>
            </w:pPr>
            <w:r w:rsidRPr="00DE299E">
              <w:t>-17.0</w:t>
            </w:r>
          </w:p>
        </w:tc>
        <w:tc>
          <w:tcPr>
            <w:tcW w:w="2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98A578" w14:textId="77777777" w:rsidR="00ED0E85" w:rsidRPr="00DE299E" w:rsidRDefault="00ED0E85" w:rsidP="00ED0E85">
            <w:pPr>
              <w:pStyle w:val="TableDataEntries"/>
            </w:pPr>
            <w:r w:rsidRPr="00DE299E">
              <w:t>-17.0</w:t>
            </w:r>
          </w:p>
        </w:tc>
      </w:tr>
      <w:tr w:rsidR="00ED0E85" w:rsidRPr="00DE299E" w14:paraId="25794881" w14:textId="77777777" w:rsidTr="00ED0E85">
        <w:trPr>
          <w:trHeight w:val="250"/>
        </w:trPr>
        <w:tc>
          <w:tcPr>
            <w:tcW w:w="335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1B95BB" w14:textId="77777777" w:rsidR="00ED0E85" w:rsidRPr="00DE299E" w:rsidRDefault="00ED0E85" w:rsidP="00ED0E85">
            <w:pPr>
              <w:pStyle w:val="TableDataEntries"/>
              <w:jc w:val="left"/>
            </w:pPr>
            <w:r w:rsidRPr="00DE299E">
              <w:t>Net private benefits/costs</w:t>
            </w:r>
          </w:p>
        </w:tc>
        <w:tc>
          <w:tcPr>
            <w:tcW w:w="2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04BD8E9" w14:textId="77777777" w:rsidR="00ED0E85" w:rsidRPr="00DE299E" w:rsidRDefault="00ED0E85" w:rsidP="00ED0E85">
            <w:pPr>
              <w:pStyle w:val="TableDataEntries"/>
            </w:pPr>
            <w:r w:rsidRPr="00DE299E">
              <w:t>-12.5</w:t>
            </w:r>
          </w:p>
        </w:tc>
        <w:tc>
          <w:tcPr>
            <w:tcW w:w="2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CD4267" w14:textId="77777777" w:rsidR="00ED0E85" w:rsidRPr="00DE299E" w:rsidRDefault="00ED0E85" w:rsidP="00ED0E85">
            <w:pPr>
              <w:pStyle w:val="TableDataEntries"/>
            </w:pPr>
            <w:r w:rsidRPr="00DE299E">
              <w:t>-9.6</w:t>
            </w:r>
          </w:p>
        </w:tc>
      </w:tr>
      <w:tr w:rsidR="00ED0E85" w:rsidRPr="00DE299E" w14:paraId="0B9EA96A" w14:textId="77777777" w:rsidTr="00ED0E85">
        <w:trPr>
          <w:trHeight w:val="250"/>
        </w:trPr>
        <w:tc>
          <w:tcPr>
            <w:tcW w:w="3353"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38DF4399" w14:textId="77777777" w:rsidR="00ED0E85" w:rsidRPr="00DE299E" w:rsidRDefault="00ED0E85" w:rsidP="00ED0E85">
            <w:pPr>
              <w:pStyle w:val="TableHeading1"/>
            </w:pPr>
            <w:r w:rsidRPr="00DE299E">
              <w:t>Other benefits/costs</w:t>
            </w:r>
          </w:p>
        </w:tc>
        <w:tc>
          <w:tcPr>
            <w:tcW w:w="2292"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68310A0A" w14:textId="77777777" w:rsidR="00ED0E85" w:rsidRPr="00DE299E" w:rsidRDefault="00ED0E85" w:rsidP="00ED0E85">
            <w:pPr>
              <w:pStyle w:val="TableHeading1"/>
            </w:pPr>
          </w:p>
        </w:tc>
        <w:tc>
          <w:tcPr>
            <w:tcW w:w="2292"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3C5B0A15" w14:textId="77777777" w:rsidR="00ED0E85" w:rsidRPr="00DE299E" w:rsidRDefault="00ED0E85" w:rsidP="00ED0E85">
            <w:pPr>
              <w:pStyle w:val="TableHeading1"/>
              <w:rPr>
                <w:rFonts w:ascii="Times New Roman" w:hAnsi="Times New Roman"/>
                <w:sz w:val="20"/>
                <w:szCs w:val="20"/>
              </w:rPr>
            </w:pPr>
          </w:p>
        </w:tc>
      </w:tr>
      <w:tr w:rsidR="00ED0E85" w:rsidRPr="00DE299E" w14:paraId="596696C7" w14:textId="77777777" w:rsidTr="00ED0E85">
        <w:trPr>
          <w:trHeight w:val="250"/>
        </w:trPr>
        <w:tc>
          <w:tcPr>
            <w:tcW w:w="335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D5FC8E" w14:textId="77777777" w:rsidR="00ED0E85" w:rsidRPr="00DE299E" w:rsidRDefault="00ED0E85" w:rsidP="00ED0E85">
            <w:pPr>
              <w:pStyle w:val="TableDataEntries"/>
              <w:jc w:val="left"/>
            </w:pPr>
            <w:r w:rsidRPr="00DE299E">
              <w:t>GHG emissions</w:t>
            </w:r>
          </w:p>
        </w:tc>
        <w:tc>
          <w:tcPr>
            <w:tcW w:w="2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46C482" w14:textId="77777777" w:rsidR="00ED0E85" w:rsidRPr="00DE299E" w:rsidRDefault="00ED0E85" w:rsidP="00ED0E85">
            <w:pPr>
              <w:pStyle w:val="TableDataEntries"/>
            </w:pPr>
            <w:r w:rsidRPr="00DE299E">
              <w:t>7.9</w:t>
            </w:r>
          </w:p>
        </w:tc>
        <w:tc>
          <w:tcPr>
            <w:tcW w:w="2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ED5871" w14:textId="77777777" w:rsidR="00ED0E85" w:rsidRPr="00DE299E" w:rsidRDefault="00ED0E85" w:rsidP="00ED0E85">
            <w:pPr>
              <w:pStyle w:val="TableDataEntries"/>
            </w:pPr>
            <w:r w:rsidRPr="00DE299E">
              <w:t>13.1</w:t>
            </w:r>
          </w:p>
        </w:tc>
      </w:tr>
      <w:tr w:rsidR="00ED0E85" w:rsidRPr="00DE299E" w14:paraId="563AB776" w14:textId="77777777" w:rsidTr="00ED0E85">
        <w:trPr>
          <w:trHeight w:val="250"/>
        </w:trPr>
        <w:tc>
          <w:tcPr>
            <w:tcW w:w="335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B3452E" w14:textId="77777777" w:rsidR="00ED0E85" w:rsidRPr="00DE299E" w:rsidRDefault="00ED0E85" w:rsidP="00ED0E85">
            <w:pPr>
              <w:pStyle w:val="TableDataEntries"/>
              <w:jc w:val="left"/>
            </w:pPr>
            <w:r w:rsidRPr="00DE299E">
              <w:t>Government costs</w:t>
            </w:r>
          </w:p>
        </w:tc>
        <w:tc>
          <w:tcPr>
            <w:tcW w:w="2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71DD57" w14:textId="77777777" w:rsidR="00ED0E85" w:rsidRPr="00DE299E" w:rsidRDefault="00ED0E85" w:rsidP="00ED0E85">
            <w:pPr>
              <w:pStyle w:val="TableDataEntries"/>
            </w:pPr>
            <w:r w:rsidRPr="00DE299E">
              <w:t>-0.7</w:t>
            </w:r>
          </w:p>
        </w:tc>
        <w:tc>
          <w:tcPr>
            <w:tcW w:w="22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450E19" w14:textId="77777777" w:rsidR="00ED0E85" w:rsidRPr="00DE299E" w:rsidRDefault="00ED0E85" w:rsidP="00ED0E85">
            <w:pPr>
              <w:pStyle w:val="TableDataEntries"/>
            </w:pPr>
            <w:r w:rsidRPr="00DE299E">
              <w:t>-0.7</w:t>
            </w:r>
          </w:p>
        </w:tc>
      </w:tr>
      <w:tr w:rsidR="00ED0E85" w:rsidRPr="00F3369C" w14:paraId="09BDF970" w14:textId="77777777" w:rsidTr="00ED0E85">
        <w:trPr>
          <w:trHeight w:val="250"/>
        </w:trPr>
        <w:tc>
          <w:tcPr>
            <w:tcW w:w="3353"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259D16AA" w14:textId="77777777" w:rsidR="00ED0E85" w:rsidRPr="00F3369C" w:rsidRDefault="00ED0E85" w:rsidP="00ED0E85">
            <w:pPr>
              <w:pStyle w:val="TableDataEntries"/>
              <w:jc w:val="left"/>
              <w:rPr>
                <w:rFonts w:ascii="Franklin Gothic Demi" w:hAnsi="Franklin Gothic Demi"/>
              </w:rPr>
            </w:pPr>
            <w:r w:rsidRPr="00F3369C">
              <w:rPr>
                <w:rFonts w:ascii="Franklin Gothic Demi" w:hAnsi="Franklin Gothic Demi"/>
              </w:rPr>
              <w:t>Total net benefit/cost</w:t>
            </w:r>
          </w:p>
        </w:tc>
        <w:tc>
          <w:tcPr>
            <w:tcW w:w="2292"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67B47B6" w14:textId="77777777" w:rsidR="00ED0E85" w:rsidRPr="00F3369C" w:rsidRDefault="00ED0E85" w:rsidP="00ED0E85">
            <w:pPr>
              <w:pStyle w:val="TableDataEntries"/>
              <w:rPr>
                <w:rFonts w:ascii="Franklin Gothic Demi" w:hAnsi="Franklin Gothic Demi"/>
              </w:rPr>
            </w:pPr>
            <w:r w:rsidRPr="00F3369C">
              <w:rPr>
                <w:rFonts w:ascii="Franklin Gothic Demi" w:hAnsi="Franklin Gothic Demi"/>
              </w:rPr>
              <w:t>-5.4</w:t>
            </w:r>
          </w:p>
        </w:tc>
        <w:tc>
          <w:tcPr>
            <w:tcW w:w="2292"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127ABD54" w14:textId="77777777" w:rsidR="00ED0E85" w:rsidRPr="00F3369C" w:rsidRDefault="00ED0E85" w:rsidP="00ED0E85">
            <w:pPr>
              <w:pStyle w:val="TableDataEntries"/>
              <w:rPr>
                <w:rFonts w:ascii="Franklin Gothic Demi" w:hAnsi="Franklin Gothic Demi"/>
              </w:rPr>
            </w:pPr>
            <w:r w:rsidRPr="00F3369C">
              <w:rPr>
                <w:rFonts w:ascii="Franklin Gothic Demi" w:hAnsi="Franklin Gothic Demi"/>
              </w:rPr>
              <w:t>2.9</w:t>
            </w:r>
          </w:p>
        </w:tc>
      </w:tr>
    </w:tbl>
    <w:p w14:paraId="581700D2" w14:textId="77777777" w:rsidR="00ED0E85" w:rsidRDefault="00ED0E85" w:rsidP="00ED0E85">
      <w:pPr>
        <w:pStyle w:val="Note"/>
      </w:pPr>
      <w:r w:rsidRPr="007D1B4F">
        <w:rPr>
          <w:i/>
        </w:rPr>
        <w:t>Note:</w:t>
      </w:r>
      <w:r w:rsidRPr="00E879B8">
        <w:t xml:space="preserve"> </w:t>
      </w:r>
      <w:r>
        <w:t>Based on a 10 year period and 7 per cent discount rate. This assumes the energy saving occurs over the entire period.</w:t>
      </w:r>
    </w:p>
    <w:p w14:paraId="05876EE8" w14:textId="77777777" w:rsidR="00ED0E85" w:rsidRDefault="00ED0E85" w:rsidP="00ED0E85">
      <w:pPr>
        <w:pStyle w:val="Source"/>
      </w:pPr>
      <w:r>
        <w:rPr>
          <w:i/>
        </w:rPr>
        <w:t>Source</w:t>
      </w:r>
      <w:r w:rsidRPr="00E4232C">
        <w:rPr>
          <w:i/>
        </w:rPr>
        <w:t>:</w:t>
      </w:r>
      <w:r>
        <w:t xml:space="preserve"> The CIE.</w:t>
      </w:r>
    </w:p>
    <w:p w14:paraId="37B65C00" w14:textId="77777777" w:rsidR="00ED0E85" w:rsidRDefault="00ED0E85" w:rsidP="00ED0E85">
      <w:pPr>
        <w:pStyle w:val="Heading2"/>
        <w:numPr>
          <w:ilvl w:val="1"/>
          <w:numId w:val="5"/>
        </w:numPr>
      </w:pPr>
      <w:bookmarkStart w:id="4866" w:name="_Toc19275528"/>
      <w:bookmarkStart w:id="4867" w:name="_Toc19276138"/>
      <w:bookmarkStart w:id="4868" w:name="_Toc19280137"/>
      <w:r>
        <w:t>Feedback on our draft recommendations</w:t>
      </w:r>
      <w:bookmarkEnd w:id="4866"/>
      <w:bookmarkEnd w:id="4867"/>
      <w:bookmarkEnd w:id="4868"/>
    </w:p>
    <w:p w14:paraId="69F43BCC" w14:textId="77777777" w:rsidR="00ED0E85" w:rsidRDefault="00ED0E85" w:rsidP="00ED0E85">
      <w:pPr>
        <w:pStyle w:val="BodyText"/>
      </w:pPr>
      <w:r>
        <w:t>We are seeking feedback on all our draft recommendations. For shopping centres, key feedback that could assist with developing our final recommendations could include:</w:t>
      </w:r>
    </w:p>
    <w:p w14:paraId="59A6EC1B" w14:textId="77777777" w:rsidR="00ED0E85" w:rsidRDefault="00ED0E85" w:rsidP="00ED0E85">
      <w:pPr>
        <w:pStyle w:val="ListBullet"/>
      </w:pPr>
      <w:r>
        <w:t>submissions from businesses or people who think they would use information from mandatory disclosure of energy efficiency performance of shopping centres to change their behaviour. This could include shopping centre owners or operators, tenants or customers</w:t>
      </w:r>
    </w:p>
    <w:p w14:paraId="73BCB055" w14:textId="77777777" w:rsidR="00ED0E85" w:rsidRDefault="00ED0E85" w:rsidP="00ED0E85">
      <w:pPr>
        <w:pStyle w:val="ListBullet"/>
      </w:pPr>
      <w:r>
        <w:t>any evidence of different energy performance over time for shopping centres that have adopted NABERS voluntarily versus those that have not.</w:t>
      </w:r>
    </w:p>
    <w:p w14:paraId="28C595A1" w14:textId="77777777" w:rsidR="00ED0E85" w:rsidRDefault="00ED0E85" w:rsidP="00ED0E85">
      <w:pPr>
        <w:pStyle w:val="BodyText"/>
      </w:pPr>
    </w:p>
    <w:p w14:paraId="3F0A18EE" w14:textId="77777777" w:rsidR="00ED0E85" w:rsidRDefault="00ED0E85" w:rsidP="00ED0E85">
      <w:pPr>
        <w:pStyle w:val="BodyText"/>
      </w:pPr>
    </w:p>
    <w:p w14:paraId="016B3B54" w14:textId="77777777" w:rsidR="00ED0E85" w:rsidRDefault="00ED0E85" w:rsidP="00ED0E85">
      <w:pPr>
        <w:pStyle w:val="BodyText"/>
      </w:pPr>
    </w:p>
    <w:p w14:paraId="09CFC954" w14:textId="77777777" w:rsidR="00ED0E85" w:rsidRDefault="00ED0E85" w:rsidP="00ED0E85">
      <w:pPr>
        <w:pStyle w:val="BodyText"/>
      </w:pPr>
    </w:p>
    <w:p w14:paraId="036B5DC2" w14:textId="77777777" w:rsidR="00ED0E85" w:rsidRDefault="00ED0E85" w:rsidP="00ED0E85">
      <w:pPr>
        <w:pStyle w:val="Heading1"/>
        <w:numPr>
          <w:ilvl w:val="0"/>
          <w:numId w:val="5"/>
        </w:numPr>
      </w:pPr>
      <w:bookmarkStart w:id="4869" w:name="_Toc12633681"/>
      <w:bookmarkStart w:id="4870" w:name="_Toc19275529"/>
      <w:bookmarkStart w:id="4871" w:name="_Toc19276139"/>
      <w:bookmarkStart w:id="4872" w:name="_Toc19280138"/>
      <w:r>
        <w:t>Hotels</w:t>
      </w:r>
      <w:bookmarkEnd w:id="4869"/>
      <w:r>
        <w:t xml:space="preserve"> (accommodation)</w:t>
      </w:r>
      <w:bookmarkEnd w:id="4870"/>
      <w:bookmarkEnd w:id="4871"/>
      <w:bookmarkEnd w:id="4872"/>
    </w:p>
    <w:p w14:paraId="48F889F8" w14:textId="77777777" w:rsidR="00ED0E85" w:rsidRDefault="00ED0E85" w:rsidP="00ED0E85">
      <w:pPr>
        <w:pStyle w:val="Heading2"/>
        <w:numPr>
          <w:ilvl w:val="1"/>
          <w:numId w:val="5"/>
        </w:numPr>
      </w:pPr>
      <w:bookmarkStart w:id="4873" w:name="_Toc19275530"/>
      <w:bookmarkStart w:id="4874" w:name="_Toc19276140"/>
      <w:bookmarkStart w:id="4875" w:name="_Toc19280139"/>
      <w:r>
        <w:t>Key findings and draft recommendations</w:t>
      </w:r>
      <w:bookmarkEnd w:id="4873"/>
      <w:bookmarkEnd w:id="4874"/>
      <w:bookmarkEnd w:id="4875"/>
    </w:p>
    <w:p w14:paraId="01D1D0EB" w14:textId="77777777" w:rsidR="00ED0E85" w:rsidRDefault="00ED0E85" w:rsidP="00ED0E85">
      <w:pPr>
        <w:pStyle w:val="BodyText"/>
      </w:pPr>
      <w:r>
        <w:t>Hotel (accommodation) energy performance data is less widely available than for other sectors. While many hotels have adopted sustainability tools, to communicate their sustainability actions to customers, these do not often provide energy efficiency information on an individual hotel or even aggregate company basis. Uptake of NABERS energy in hotels has been very low and falling — it appears that hotels adopted NABERS energy ratings because of an expectation that this would become mandatory, but have not found enough value from the tool to continue rating in the absence of mandatory disclosure. There is also a widespread view that NABERS energy does not provide a good benchmark for hotels from the industry. Note that the number of official NABERS energy ratings for hotels understates the use of NABERS energy, with a reasonable number of indicative NABERS energy ratings undertaken as part of energy benchmarking, which are not provided to NABERS or disclosed.</w:t>
      </w:r>
    </w:p>
    <w:p w14:paraId="69486CAF" w14:textId="77777777" w:rsidR="00ED0E85" w:rsidRDefault="00ED0E85" w:rsidP="00ED0E85">
      <w:pPr>
        <w:pStyle w:val="BodyText"/>
      </w:pPr>
      <w:r>
        <w:t>The evidence that is available for hotels indicates that they are generally improving their energy performance. This evidence base includes hotels rated using NABERS energy and public reporting by hotels in relation to sustainability. However, the sample sizes for this are small and may not represent what is happening to hotels in general. Consultations with hotel engineers, including members of the Australian Institute of Hotel Engineers, suggests that they do face pressure to reduce energy and to reduce energy costs, such as through targeted reductions year-on-year.</w:t>
      </w:r>
    </w:p>
    <w:p w14:paraId="1A7E60F4" w14:textId="77777777" w:rsidR="00ED0E85" w:rsidRDefault="00ED0E85" w:rsidP="00ED0E85">
      <w:pPr>
        <w:pStyle w:val="BodyText"/>
      </w:pPr>
      <w:r>
        <w:t>Evidence from energy efficiency advisers, which is based on similar or larger samples to the data available, indicates that hotels are less advanced in considering how to reduce their energy use than other commercial building sectors. The focus on energy is increasing as energy prices increase. Energy costs are already a substantial component of hotel revenue,</w:t>
      </w:r>
      <w:r>
        <w:rPr>
          <w:rStyle w:val="FootnoteReference"/>
        </w:rPr>
        <w:footnoteReference w:id="48"/>
      </w:r>
      <w:r>
        <w:t xml:space="preserve"> with IBISWorld estimating utility costs, of which energy (electricity and gas) will be the major component, are 6.3 per cent of revenue. Based on NABERS energy data on electricity and gas use, we estimate that the approximate cost of energy per room for a zero star NABERS energy rated hotel is $6000, compared to a 3 star energy rated hotel of less than $2000.</w:t>
      </w:r>
      <w:r>
        <w:rPr>
          <w:rStyle w:val="FootnoteReference"/>
        </w:rPr>
        <w:footnoteReference w:id="49"/>
      </w:r>
    </w:p>
    <w:p w14:paraId="7D5A1FEB" w14:textId="77777777" w:rsidR="00ED0E85" w:rsidRDefault="00ED0E85" w:rsidP="00ED0E85">
      <w:pPr>
        <w:pStyle w:val="BodyText"/>
      </w:pPr>
      <w:r>
        <w:t>Our draft findings for hotels are that:</w:t>
      </w:r>
    </w:p>
    <w:p w14:paraId="05876BD1" w14:textId="77777777" w:rsidR="00ED0E85" w:rsidRDefault="00ED0E85" w:rsidP="00ED0E85">
      <w:pPr>
        <w:pStyle w:val="ListBullet"/>
      </w:pPr>
      <w:r>
        <w:t>NABERS energy does not currently have sufficient support from the industry to be mandated now and should be revised. Industry has indicated a willingness to provide data for this to occur</w:t>
      </w:r>
    </w:p>
    <w:p w14:paraId="373FE4B4" w14:textId="77777777" w:rsidR="00ED0E85" w:rsidRDefault="00ED0E85" w:rsidP="00ED0E85">
      <w:pPr>
        <w:pStyle w:val="ListBullet"/>
      </w:pPr>
      <w:r>
        <w:t>There is no other energy efficiency tool that could be disclosed instead of NABERS energy</w:t>
      </w:r>
    </w:p>
    <w:p w14:paraId="29359493" w14:textId="77777777" w:rsidR="00ED0E85" w:rsidRDefault="00ED0E85" w:rsidP="00ED0E85">
      <w:pPr>
        <w:pStyle w:val="ListBullet2"/>
      </w:pPr>
      <w:r>
        <w:t>there are multiple tools used by hotels. Using a single tool consistently provides a better basis for comparison, and hence we do not support a disclosure requirement that allowed for multiple possible tools</w:t>
      </w:r>
    </w:p>
    <w:p w14:paraId="07919450" w14:textId="77777777" w:rsidR="00ED0E85" w:rsidRDefault="00ED0E85" w:rsidP="00ED0E85">
      <w:pPr>
        <w:pStyle w:val="ListBullet2"/>
      </w:pPr>
      <w:r>
        <w:t>NABERS energy is not the most widely used tool. However, a non-government tool could not be mandated without considerable regulation of prices and requirements</w:t>
      </w:r>
    </w:p>
    <w:p w14:paraId="76F36A6B" w14:textId="77777777" w:rsidR="00ED0E85" w:rsidRDefault="00ED0E85" w:rsidP="00ED0E85">
      <w:pPr>
        <w:pStyle w:val="ListBullet2"/>
      </w:pPr>
      <w:r>
        <w:t xml:space="preserve">this leaves NABERS energy as the only possible tool </w:t>
      </w:r>
    </w:p>
    <w:p w14:paraId="73469543" w14:textId="77777777" w:rsidR="00ED0E85" w:rsidRDefault="00ED0E85" w:rsidP="00ED0E85">
      <w:pPr>
        <w:pStyle w:val="ListBullet"/>
      </w:pPr>
      <w:r>
        <w:t>A mandatory disclosure program for hotels would drive energy efficiency improvements mainly because it would be used in procurement by government and larger corporates</w:t>
      </w:r>
    </w:p>
    <w:p w14:paraId="75D9180F" w14:textId="77777777" w:rsidR="00ED0E85" w:rsidRDefault="00ED0E85" w:rsidP="00ED0E85">
      <w:pPr>
        <w:pStyle w:val="ListBullet2"/>
      </w:pPr>
      <w:r>
        <w:t xml:space="preserve">the government and larger corporate market would be sufficiently important that hotels would invest in energy efficiency upgrades </w:t>
      </w:r>
    </w:p>
    <w:p w14:paraId="247CE6DF" w14:textId="77777777" w:rsidR="00ED0E85" w:rsidRDefault="00ED0E85" w:rsidP="00ED0E85">
      <w:pPr>
        <w:pStyle w:val="ListBullet"/>
      </w:pPr>
      <w:r>
        <w:t>Hotels consider government mandates for staying only at higher NABERS energy rated hotels to be a risk, in that they will be required to invest in expensive upgrades to improve their energy performance</w:t>
      </w:r>
    </w:p>
    <w:p w14:paraId="66B1B062" w14:textId="77777777" w:rsidR="00ED0E85" w:rsidRDefault="00ED0E85" w:rsidP="00ED0E85">
      <w:pPr>
        <w:pStyle w:val="ListBullet2"/>
      </w:pPr>
      <w:r>
        <w:t>this will vary considerably across hotels, with hotel consultations indicating particular risk for older hotels to be able to achieve cost effective energy efficiency improvements</w:t>
      </w:r>
    </w:p>
    <w:p w14:paraId="49C8825B" w14:textId="77777777" w:rsidR="00ED0E85" w:rsidRDefault="00ED0E85" w:rsidP="00ED0E85">
      <w:pPr>
        <w:pStyle w:val="ListBullet2"/>
      </w:pPr>
      <w:r>
        <w:t>current payback periods indicated by hotel groups for energy efficiency upgrades are low (4-5 years), which suggests that many hotels will find energy efficiency upgrades that can pay for themselves over a 10 year period</w:t>
      </w:r>
    </w:p>
    <w:p w14:paraId="2C3DC656" w14:textId="77777777" w:rsidR="00ED0E85" w:rsidRDefault="00ED0E85" w:rsidP="00ED0E85">
      <w:pPr>
        <w:pStyle w:val="ListBullet"/>
      </w:pPr>
      <w:r>
        <w:t>Mandatory disclosure of energy performance for hotels would have a net benefit of $26 million. However, this particularly reflects benefits from reduced GHG emissions. Hotels achieve only a small return themselves through lower energy bills, which just offsets the compliance costs of a mandatory disclosure scheme and costs of energy efficiency upgrades.</w:t>
      </w:r>
    </w:p>
    <w:p w14:paraId="58EE8C96" w14:textId="77777777" w:rsidR="00ED0E85" w:rsidRDefault="00ED0E85" w:rsidP="00ED0E85">
      <w:pPr>
        <w:pStyle w:val="BodyText"/>
      </w:pPr>
      <w:r>
        <w:t>Our recommendation is that hotels should move to a mandatory disclosure of energy efficiency, subject to the steps below being satisfactorily accomplished.</w:t>
      </w:r>
    </w:p>
    <w:p w14:paraId="52942AF0" w14:textId="77777777" w:rsidR="00ED0E85" w:rsidRDefault="00ED0E85" w:rsidP="00ED0E85">
      <w:pPr>
        <w:pStyle w:val="ListBullet"/>
      </w:pPr>
      <w:r>
        <w:t>The NABERS energy tool for hotels should be revised. This should involve industry representation (as is standard NABERS practice) and would be expected to take around one year. This should be followed by NABERS engagement with the hotel industry to build trust in the outcomes of the tool</w:t>
      </w:r>
    </w:p>
    <w:p w14:paraId="194007DD" w14:textId="77777777" w:rsidR="00ED0E85" w:rsidRDefault="00ED0E85" w:rsidP="00ED0E85">
      <w:pPr>
        <w:pStyle w:val="ListBullet2"/>
      </w:pPr>
      <w:r>
        <w:t>NABERS could also consider whether it could use a different system than stars for hotels given confusion with accommodation star ratings, such as Gold, Silver, Bronze</w:t>
      </w:r>
    </w:p>
    <w:p w14:paraId="487A787C" w14:textId="77777777" w:rsidR="00ED0E85" w:rsidRDefault="00ED0E85" w:rsidP="00ED0E85">
      <w:pPr>
        <w:pStyle w:val="ListBullet"/>
      </w:pPr>
      <w:r>
        <w:t>Following this, a period of two years should be allowed for undisclosed ratings to be done by hotels prior to mandatory disclosure being put in place</w:t>
      </w:r>
    </w:p>
    <w:p w14:paraId="1D6D06AA" w14:textId="77777777" w:rsidR="00ED0E85" w:rsidRDefault="00ED0E85" w:rsidP="00ED0E85">
      <w:pPr>
        <w:pStyle w:val="ListBullet"/>
      </w:pPr>
      <w:r>
        <w:t xml:space="preserve">Hotel ratings should apply firstly to hotels with more than 100 rooms. This would cover approximately 600 hotels with 86 000 rooms. Subject to the review below, this could then be reduced to 50 room hotels. </w:t>
      </w:r>
    </w:p>
    <w:p w14:paraId="7AA56485" w14:textId="77777777" w:rsidR="00ED0E85" w:rsidRDefault="00ED0E85" w:rsidP="00ED0E85">
      <w:pPr>
        <w:pStyle w:val="ListBullet2"/>
      </w:pPr>
      <w:r>
        <w:t xml:space="preserve">this does not apply to motels and resorts, which are not rated by NABERS. It is not clear if the ABS defined ‘Private hotels’ would be covered – this is hotels without a public bar. Our expectation is that these are not appropriately benchmarked in NABERS as they were not part of the sample for initial benchmarking </w:t>
      </w:r>
    </w:p>
    <w:p w14:paraId="360E4E6F" w14:textId="77777777" w:rsidR="00ED0E85" w:rsidRDefault="00ED0E85" w:rsidP="00ED0E85">
      <w:pPr>
        <w:pStyle w:val="ListBullet2"/>
      </w:pPr>
      <w:r>
        <w:t>the expansion would cover ~6PJ of energy, which is about half of the energy covered by the existing CBD Program</w:t>
      </w:r>
    </w:p>
    <w:p w14:paraId="5DE3C593" w14:textId="77777777" w:rsidR="00ED0E85" w:rsidRDefault="00ED0E85" w:rsidP="00ED0E85">
      <w:pPr>
        <w:pStyle w:val="ListBullet"/>
      </w:pPr>
      <w:r>
        <w:t>Hotel ratings should be required every two years. Disclosure should be in the hotel foyer and on the website</w:t>
      </w:r>
    </w:p>
    <w:p w14:paraId="061F7CA9" w14:textId="77777777" w:rsidR="00ED0E85" w:rsidRDefault="00ED0E85" w:rsidP="00ED0E85">
      <w:pPr>
        <w:pStyle w:val="ListBullet"/>
      </w:pPr>
      <w:r>
        <w:t>The Australian Government should consider funding support for obtaining the first NABERS energy ratings. The costs of obtaining the first rating would amount to ~$4 million</w:t>
      </w:r>
    </w:p>
    <w:p w14:paraId="00FE1439" w14:textId="77777777" w:rsidR="00ED0E85" w:rsidRDefault="00ED0E85" w:rsidP="00ED0E85">
      <w:pPr>
        <w:pStyle w:val="ListBullet"/>
      </w:pPr>
      <w:r>
        <w:t>Four years after mandatory disclosure is put in place, its impact on hotel energy efficiency should be reviewed.</w:t>
      </w:r>
    </w:p>
    <w:p w14:paraId="2E5A845B" w14:textId="77777777" w:rsidR="00ED0E85" w:rsidRDefault="00ED0E85" w:rsidP="00ED0E85">
      <w:pPr>
        <w:pStyle w:val="BodyText"/>
      </w:pPr>
      <w:r>
        <w:t>There are two areas where we do not currently have confirmed views.</w:t>
      </w:r>
    </w:p>
    <w:p w14:paraId="619472FF" w14:textId="77777777" w:rsidR="00ED0E85" w:rsidRDefault="00ED0E85" w:rsidP="001F5383">
      <w:pPr>
        <w:pStyle w:val="ListNumber"/>
        <w:numPr>
          <w:ilvl w:val="0"/>
          <w:numId w:val="16"/>
        </w:numPr>
      </w:pPr>
      <w:r>
        <w:t>We have considered whether hotels should be able to use greenpower to improve their rating, if they cannot find cost effective energy efficiency improvements. This could reduce the cost to hotels and the risks to older hotels. We so not have a confirmed view on this and seek stakeholder views on whether the focus should be on with greenpower measures, as would align to customer demand for a smaller environmental footprint of hotels, or without greenpower measures, which is consistent with the existing CBD Program.</w:t>
      </w:r>
    </w:p>
    <w:p w14:paraId="170C811C" w14:textId="77777777" w:rsidR="00ED0E85" w:rsidRPr="00A56835" w:rsidRDefault="00ED0E85" w:rsidP="001F5383">
      <w:pPr>
        <w:pStyle w:val="ListNumber"/>
        <w:numPr>
          <w:ilvl w:val="0"/>
          <w:numId w:val="16"/>
        </w:numPr>
      </w:pPr>
      <w:r>
        <w:t>There is the potential to allow for a reduced frequency of rating for buildings with high performance. For these buildings, energy gains are smaller from mandatory disclosure. One option would be for hotels achieving a rating higher than 4 stars only having to rate every three years, for example.</w:t>
      </w:r>
    </w:p>
    <w:p w14:paraId="55C1D082" w14:textId="77777777" w:rsidR="00ED0E85" w:rsidRDefault="00ED0E85" w:rsidP="00ED0E85">
      <w:pPr>
        <w:pStyle w:val="Heading2"/>
        <w:numPr>
          <w:ilvl w:val="1"/>
          <w:numId w:val="5"/>
        </w:numPr>
      </w:pPr>
      <w:bookmarkStart w:id="4876" w:name="_Toc12633682"/>
      <w:bookmarkStart w:id="4877" w:name="_Toc19275531"/>
      <w:bookmarkStart w:id="4878" w:name="_Toc19276141"/>
      <w:bookmarkStart w:id="4879" w:name="_Toc19280140"/>
      <w:r>
        <w:t>Market overview</w:t>
      </w:r>
      <w:bookmarkEnd w:id="4876"/>
      <w:bookmarkEnd w:id="4877"/>
      <w:bookmarkEnd w:id="4878"/>
      <w:bookmarkEnd w:id="4879"/>
    </w:p>
    <w:p w14:paraId="0768F40E" w14:textId="41EFE39E" w:rsidR="00ED0E85" w:rsidRDefault="00ED0E85" w:rsidP="00ED0E85">
      <w:pPr>
        <w:pStyle w:val="BodyText"/>
      </w:pPr>
      <w:r>
        <w:t xml:space="preserve">The accommodation sector in Australia consists of resorts, hotels, serviced apartments, motels as well as through the share economy such as through Airbnb. There are over 280 000 accommodation rooms in Australia across hotels, motels and serviced accommodation with 10 or more rooms (table </w:t>
      </w:r>
      <w:r w:rsidR="004550CB">
        <w:rPr>
          <w:noProof/>
        </w:rPr>
        <w:fldChar w:fldCharType="begin"/>
      </w:r>
      <w:r w:rsidR="004550CB">
        <w:rPr>
          <w:noProof/>
        </w:rPr>
        <w:instrText xml:space="preserve"> REF _Caption3539 </w:instrText>
      </w:r>
      <w:r w:rsidR="004550CB">
        <w:rPr>
          <w:noProof/>
        </w:rPr>
        <w:fldChar w:fldCharType="separate"/>
      </w:r>
      <w:r w:rsidR="00AD3561">
        <w:rPr>
          <w:noProof/>
        </w:rPr>
        <w:t>8</w:t>
      </w:r>
      <w:r w:rsidR="00AD3561" w:rsidRPr="00695C93">
        <w:rPr>
          <w:noProof/>
        </w:rPr>
        <w:t>.</w:t>
      </w:r>
      <w:r w:rsidR="00AD3561">
        <w:rPr>
          <w:noProof/>
        </w:rPr>
        <w:t>1</w:t>
      </w:r>
      <w:r w:rsidR="004550CB">
        <w:rPr>
          <w:noProof/>
        </w:rPr>
        <w:fldChar w:fldCharType="end"/>
      </w:r>
      <w:r>
        <w:t>).</w:t>
      </w:r>
      <w:r>
        <w:rPr>
          <w:rStyle w:val="FootnoteReference"/>
        </w:rPr>
        <w:footnoteReference w:id="50"/>
      </w:r>
      <w:r>
        <w:t xml:space="preserve"> This is provided across more than 4 445 establishments.</w:t>
      </w:r>
      <w:r>
        <w:rPr>
          <w:rStyle w:val="FootnoteReference"/>
        </w:rPr>
        <w:footnoteReference w:id="51"/>
      </w:r>
      <w:r>
        <w:t xml:space="preserve"> </w:t>
      </w:r>
    </w:p>
    <w:p w14:paraId="606774FB" w14:textId="397DF0B8"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w:instrText>
      </w:r>
      <w:r w:rsidRPr="00695C93">
        <w:fldChar w:fldCharType="separate"/>
      </w:r>
      <w:r w:rsidR="00AD3561">
        <w:rPr>
          <w:noProof/>
        </w:rPr>
        <w:instrText>8</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8</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w:instrText>
      </w:r>
      <w:r w:rsidRPr="00695C93">
        <w:fldChar w:fldCharType="end"/>
      </w:r>
      <w:r w:rsidRPr="00695C93">
        <w:instrText xml:space="preserve">" "" </w:instrText>
      </w:r>
      <w:r w:rsidRPr="00695C93">
        <w:fldChar w:fldCharType="separate"/>
      </w:r>
      <w:bookmarkStart w:id="4880" w:name="_Caption3783"/>
      <w:bookmarkStart w:id="4881" w:name="_Caption3841"/>
      <w:bookmarkStart w:id="4882" w:name="_Caption3511"/>
      <w:bookmarkStart w:id="4883" w:name="_Caption7293"/>
      <w:bookmarkStart w:id="4884" w:name="_Caption6479"/>
      <w:bookmarkStart w:id="4885" w:name="_Caption9391"/>
      <w:bookmarkStart w:id="4886" w:name="_Caption1797"/>
      <w:bookmarkStart w:id="4887" w:name="_Caption6410"/>
      <w:bookmarkStart w:id="4888" w:name="_Caption5507"/>
      <w:bookmarkStart w:id="4889" w:name="_Caption8079"/>
      <w:bookmarkStart w:id="4890" w:name="_Caption6627"/>
      <w:bookmarkStart w:id="4891" w:name="_Caption2004"/>
      <w:bookmarkStart w:id="4892" w:name="_Caption3346"/>
      <w:bookmarkStart w:id="4893" w:name="_Caption9152"/>
      <w:bookmarkStart w:id="4894" w:name="_Caption7929"/>
      <w:bookmarkStart w:id="4895" w:name="_Caption2011"/>
      <w:bookmarkStart w:id="4896" w:name="_Caption2018"/>
      <w:bookmarkStart w:id="4897" w:name="_Caption8787"/>
      <w:bookmarkStart w:id="4898" w:name="_Caption9920"/>
      <w:bookmarkStart w:id="4899" w:name="_Caption1030"/>
      <w:bookmarkStart w:id="4900" w:name="_Caption2282"/>
      <w:bookmarkStart w:id="4901" w:name="_Caption0380"/>
      <w:bookmarkStart w:id="4902" w:name="_Caption4137"/>
      <w:bookmarkStart w:id="4903" w:name="_Caption2203"/>
      <w:bookmarkStart w:id="4904" w:name="_Caption9411"/>
      <w:bookmarkStart w:id="4905" w:name="_Caption0368"/>
      <w:bookmarkStart w:id="4906" w:name="_Caption9870"/>
      <w:bookmarkStart w:id="4907" w:name="_Caption1327"/>
      <w:bookmarkStart w:id="4908" w:name="_Caption5375"/>
      <w:bookmarkStart w:id="4909" w:name="_Caption4360"/>
      <w:bookmarkStart w:id="4910" w:name="_Caption0728"/>
      <w:bookmarkStart w:id="4911" w:name="_Caption3539"/>
      <w:bookmarkStart w:id="4912" w:name="_Caption6474"/>
      <w:bookmarkStart w:id="4913" w:name="_Caption5439"/>
      <w:bookmarkStart w:id="4914" w:name="_Caption9275"/>
      <w:bookmarkStart w:id="4915" w:name="_Caption3422"/>
      <w:bookmarkStart w:id="4916" w:name="_Caption9467"/>
      <w:bookmarkStart w:id="4917" w:name="_Caption5139"/>
      <w:bookmarkStart w:id="4918" w:name="_Caption3311"/>
      <w:bookmarkStart w:id="4919" w:name="_Caption6133"/>
      <w:bookmarkStart w:id="4920" w:name="_Caption0067"/>
      <w:bookmarkStart w:id="4921" w:name="_Caption9206"/>
      <w:bookmarkStart w:id="4922" w:name="_Caption2967"/>
      <w:bookmarkStart w:id="4923" w:name="_Caption7311"/>
      <w:bookmarkStart w:id="4924" w:name="_Caption0377"/>
      <w:bookmarkStart w:id="4925" w:name="_Caption1270"/>
      <w:bookmarkStart w:id="4926" w:name="_Caption2450"/>
      <w:bookmarkStart w:id="4927" w:name="_Caption4037"/>
      <w:bookmarkStart w:id="4928" w:name="_Caption7550"/>
      <w:bookmarkStart w:id="4929" w:name="_Caption9940"/>
      <w:bookmarkStart w:id="4930" w:name="_Caption0221"/>
      <w:bookmarkStart w:id="4931" w:name="_Caption4793"/>
      <w:bookmarkStart w:id="4932" w:name="_Caption8892"/>
      <w:bookmarkStart w:id="4933" w:name="_Caption1458"/>
      <w:bookmarkStart w:id="4934" w:name="_Caption1577"/>
      <w:bookmarkStart w:id="4935" w:name="_Caption6834"/>
      <w:bookmarkStart w:id="4936" w:name="_Caption0335"/>
      <w:bookmarkStart w:id="4937" w:name="_Caption1536"/>
      <w:bookmarkStart w:id="4938" w:name="_Caption0352"/>
      <w:bookmarkStart w:id="4939" w:name="_Caption2932"/>
      <w:bookmarkStart w:id="4940" w:name="_Caption8864"/>
      <w:bookmarkStart w:id="4941" w:name="_Caption3546"/>
      <w:bookmarkStart w:id="4942" w:name="_Toc15902866"/>
      <w:bookmarkStart w:id="4943" w:name="_Toc19275625"/>
      <w:bookmarkStart w:id="4944" w:name="_Toc19276235"/>
      <w:bookmarkStart w:id="4945" w:name="_Toc19280234"/>
      <w:r w:rsidR="00C353B5">
        <w:rPr>
          <w:noProof/>
        </w:rPr>
        <w:t>8</w:t>
      </w:r>
      <w:r w:rsidR="00C353B5" w:rsidRPr="00695C93">
        <w:rPr>
          <w:noProof/>
        </w:rPr>
        <w:t>.</w:t>
      </w:r>
      <w:r w:rsidR="00C353B5">
        <w:rPr>
          <w:noProof/>
        </w:rPr>
        <w:t>1</w:t>
      </w:r>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r w:rsidRPr="00695C93">
        <w:fldChar w:fldCharType="end"/>
      </w:r>
      <w:r w:rsidRPr="00695C93">
        <w:tab/>
      </w:r>
      <w:r>
        <w:t>Hotels, motels and serviced apartments, room count, by accommodation class</w:t>
      </w:r>
      <w:bookmarkEnd w:id="4942"/>
      <w:bookmarkEnd w:id="4943"/>
      <w:bookmarkEnd w:id="4944"/>
      <w:bookmarkEnd w:id="4945"/>
    </w:p>
    <w:tbl>
      <w:tblPr>
        <w:tblW w:w="7938" w:type="dxa"/>
        <w:tblLayout w:type="fixed"/>
        <w:tblLook w:val="0000" w:firstRow="0" w:lastRow="0" w:firstColumn="0" w:lastColumn="0" w:noHBand="0" w:noVBand="0"/>
      </w:tblPr>
      <w:tblGrid>
        <w:gridCol w:w="1106"/>
        <w:gridCol w:w="1106"/>
        <w:gridCol w:w="1106"/>
        <w:gridCol w:w="1107"/>
        <w:gridCol w:w="1107"/>
        <w:gridCol w:w="1107"/>
        <w:gridCol w:w="1299"/>
      </w:tblGrid>
      <w:tr w:rsidR="00ED0E85" w14:paraId="058B0510" w14:textId="77777777" w:rsidTr="00ED0E85">
        <w:trPr>
          <w:trHeight w:val="328"/>
          <w:tblHeader/>
        </w:trPr>
        <w:tc>
          <w:tcPr>
            <w:tcW w:w="1106" w:type="dxa"/>
            <w:tcBorders>
              <w:bottom w:val="single" w:sz="8" w:space="0" w:color="FFFFFF" w:themeColor="background1"/>
            </w:tcBorders>
            <w:shd w:val="clear" w:color="auto" w:fill="6F6652"/>
            <w:tcMar>
              <w:left w:w="57" w:type="dxa"/>
              <w:right w:w="57" w:type="dxa"/>
            </w:tcMar>
          </w:tcPr>
          <w:p w14:paraId="7BFFAE5A" w14:textId="77777777" w:rsidR="00ED0E85" w:rsidRDefault="00ED0E85" w:rsidP="00ED0E85">
            <w:pPr>
              <w:pStyle w:val="TableDataColumnHeading"/>
              <w:jc w:val="left"/>
            </w:pPr>
          </w:p>
        </w:tc>
        <w:tc>
          <w:tcPr>
            <w:tcW w:w="1106" w:type="dxa"/>
            <w:tcBorders>
              <w:bottom w:val="single" w:sz="8" w:space="0" w:color="FFFFFF" w:themeColor="background1"/>
            </w:tcBorders>
            <w:shd w:val="clear" w:color="auto" w:fill="6F6652"/>
            <w:tcMar>
              <w:left w:w="57" w:type="dxa"/>
              <w:right w:w="57" w:type="dxa"/>
            </w:tcMar>
          </w:tcPr>
          <w:p w14:paraId="1AD0A57D" w14:textId="77777777" w:rsidR="00ED0E85" w:rsidRDefault="00ED0E85" w:rsidP="00ED0E85">
            <w:pPr>
              <w:pStyle w:val="TableDataColumnHeading"/>
            </w:pPr>
            <w:r>
              <w:t>1 and 2 stars</w:t>
            </w:r>
          </w:p>
        </w:tc>
        <w:tc>
          <w:tcPr>
            <w:tcW w:w="1106" w:type="dxa"/>
            <w:tcBorders>
              <w:bottom w:val="single" w:sz="8" w:space="0" w:color="FFFFFF" w:themeColor="background1"/>
            </w:tcBorders>
            <w:shd w:val="clear" w:color="auto" w:fill="6F6652"/>
            <w:tcMar>
              <w:left w:w="57" w:type="dxa"/>
              <w:right w:w="57" w:type="dxa"/>
            </w:tcMar>
          </w:tcPr>
          <w:p w14:paraId="51696A60" w14:textId="77777777" w:rsidR="00ED0E85" w:rsidRDefault="00ED0E85" w:rsidP="00ED0E85">
            <w:pPr>
              <w:pStyle w:val="TableDataColumnHeading"/>
            </w:pPr>
            <w:r>
              <w:t>3 stars</w:t>
            </w:r>
          </w:p>
        </w:tc>
        <w:tc>
          <w:tcPr>
            <w:tcW w:w="1107" w:type="dxa"/>
            <w:tcBorders>
              <w:bottom w:val="single" w:sz="8" w:space="0" w:color="FFFFFF" w:themeColor="background1"/>
            </w:tcBorders>
            <w:shd w:val="clear" w:color="auto" w:fill="6F6652"/>
            <w:tcMar>
              <w:left w:w="57" w:type="dxa"/>
              <w:right w:w="57" w:type="dxa"/>
            </w:tcMar>
          </w:tcPr>
          <w:p w14:paraId="5422C708" w14:textId="77777777" w:rsidR="00ED0E85" w:rsidRDefault="00ED0E85" w:rsidP="00ED0E85">
            <w:pPr>
              <w:pStyle w:val="TableDataColumnHeading"/>
            </w:pPr>
            <w:r>
              <w:t>4 stars</w:t>
            </w:r>
          </w:p>
        </w:tc>
        <w:tc>
          <w:tcPr>
            <w:tcW w:w="1107" w:type="dxa"/>
            <w:tcBorders>
              <w:bottom w:val="single" w:sz="8" w:space="0" w:color="FFFFFF" w:themeColor="background1"/>
            </w:tcBorders>
            <w:shd w:val="clear" w:color="auto" w:fill="6F6652"/>
            <w:tcMar>
              <w:left w:w="57" w:type="dxa"/>
              <w:right w:w="57" w:type="dxa"/>
            </w:tcMar>
          </w:tcPr>
          <w:p w14:paraId="553A55CC" w14:textId="77777777" w:rsidR="00ED0E85" w:rsidRDefault="00ED0E85" w:rsidP="00ED0E85">
            <w:pPr>
              <w:pStyle w:val="TableDataColumnHeading"/>
            </w:pPr>
            <w:r>
              <w:t>5 stars</w:t>
            </w:r>
          </w:p>
        </w:tc>
        <w:tc>
          <w:tcPr>
            <w:tcW w:w="1107" w:type="dxa"/>
            <w:tcBorders>
              <w:bottom w:val="single" w:sz="8" w:space="0" w:color="FFFFFF" w:themeColor="background1"/>
            </w:tcBorders>
            <w:shd w:val="clear" w:color="auto" w:fill="6F6652"/>
          </w:tcPr>
          <w:p w14:paraId="39FA4F6C" w14:textId="77777777" w:rsidR="00ED0E85" w:rsidRDefault="00ED0E85" w:rsidP="00ED0E85">
            <w:pPr>
              <w:pStyle w:val="TableDataColumnHeading"/>
            </w:pPr>
            <w:r>
              <w:t>Total</w:t>
            </w:r>
          </w:p>
        </w:tc>
        <w:tc>
          <w:tcPr>
            <w:tcW w:w="1299" w:type="dxa"/>
            <w:tcBorders>
              <w:bottom w:val="single" w:sz="8" w:space="0" w:color="FFFFFF" w:themeColor="background1"/>
            </w:tcBorders>
            <w:shd w:val="clear" w:color="auto" w:fill="6F6652"/>
          </w:tcPr>
          <w:p w14:paraId="52C5B3AE" w14:textId="77777777" w:rsidR="00ED0E85" w:rsidRDefault="00ED0E85" w:rsidP="00ED0E85">
            <w:pPr>
              <w:pStyle w:val="TableDataColumnHeading"/>
            </w:pPr>
            <w:r>
              <w:t>Total</w:t>
            </w:r>
          </w:p>
        </w:tc>
      </w:tr>
      <w:tr w:rsidR="00ED0E85" w:rsidRPr="00E15BBE" w14:paraId="2E3DFCB5" w14:textId="77777777" w:rsidTr="00ED0E85">
        <w:trPr>
          <w:trHeight w:val="328"/>
          <w:tblHeader/>
        </w:trPr>
        <w:tc>
          <w:tcPr>
            <w:tcW w:w="1106" w:type="dxa"/>
            <w:tcBorders>
              <w:top w:val="single" w:sz="8" w:space="0" w:color="FFFFFF" w:themeColor="background1"/>
              <w:bottom w:val="single" w:sz="8" w:space="0" w:color="FFFFFF" w:themeColor="background1"/>
            </w:tcBorders>
            <w:shd w:val="clear" w:color="auto" w:fill="auto"/>
            <w:tcMar>
              <w:left w:w="57" w:type="dxa"/>
              <w:right w:w="57" w:type="dxa"/>
            </w:tcMar>
          </w:tcPr>
          <w:p w14:paraId="414DEB0A" w14:textId="77777777" w:rsidR="00ED0E85" w:rsidRPr="00E15BBE" w:rsidRDefault="00ED0E85" w:rsidP="00ED0E85">
            <w:pPr>
              <w:pStyle w:val="TableUnit"/>
            </w:pPr>
          </w:p>
        </w:tc>
        <w:tc>
          <w:tcPr>
            <w:tcW w:w="1106" w:type="dxa"/>
            <w:tcBorders>
              <w:top w:val="single" w:sz="8" w:space="0" w:color="FFFFFF" w:themeColor="background1"/>
              <w:bottom w:val="single" w:sz="8" w:space="0" w:color="FFFFFF" w:themeColor="background1"/>
            </w:tcBorders>
            <w:shd w:val="clear" w:color="auto" w:fill="auto"/>
            <w:tcMar>
              <w:left w:w="57" w:type="dxa"/>
              <w:right w:w="57" w:type="dxa"/>
            </w:tcMar>
          </w:tcPr>
          <w:p w14:paraId="653EA942" w14:textId="77777777" w:rsidR="00ED0E85" w:rsidRPr="00E15BBE" w:rsidRDefault="00ED0E85" w:rsidP="00ED0E85">
            <w:pPr>
              <w:pStyle w:val="TableUnit"/>
            </w:pPr>
            <w:r w:rsidRPr="00E15BBE">
              <w:t>&gt;=15 rooms</w:t>
            </w:r>
          </w:p>
        </w:tc>
        <w:tc>
          <w:tcPr>
            <w:tcW w:w="1106" w:type="dxa"/>
            <w:tcBorders>
              <w:top w:val="single" w:sz="8" w:space="0" w:color="FFFFFF" w:themeColor="background1"/>
              <w:bottom w:val="single" w:sz="8" w:space="0" w:color="FFFFFF" w:themeColor="background1"/>
            </w:tcBorders>
            <w:shd w:val="clear" w:color="auto" w:fill="auto"/>
            <w:tcMar>
              <w:left w:w="57" w:type="dxa"/>
              <w:right w:w="57" w:type="dxa"/>
            </w:tcMar>
          </w:tcPr>
          <w:p w14:paraId="2FF045E2" w14:textId="77777777" w:rsidR="00ED0E85" w:rsidRPr="00E15BBE" w:rsidRDefault="00ED0E85" w:rsidP="00ED0E85">
            <w:pPr>
              <w:pStyle w:val="TableUnit"/>
            </w:pPr>
            <w:r w:rsidRPr="00E15BBE">
              <w:t>&gt;=15 rooms</w:t>
            </w:r>
          </w:p>
        </w:tc>
        <w:tc>
          <w:tcPr>
            <w:tcW w:w="1107" w:type="dxa"/>
            <w:tcBorders>
              <w:top w:val="single" w:sz="8" w:space="0" w:color="FFFFFF" w:themeColor="background1"/>
              <w:bottom w:val="single" w:sz="8" w:space="0" w:color="FFFFFF" w:themeColor="background1"/>
            </w:tcBorders>
            <w:shd w:val="clear" w:color="auto" w:fill="auto"/>
            <w:tcMar>
              <w:left w:w="57" w:type="dxa"/>
              <w:right w:w="57" w:type="dxa"/>
            </w:tcMar>
          </w:tcPr>
          <w:p w14:paraId="2FB5C113" w14:textId="77777777" w:rsidR="00ED0E85" w:rsidRPr="00E15BBE" w:rsidRDefault="00ED0E85" w:rsidP="00ED0E85">
            <w:pPr>
              <w:pStyle w:val="TableUnit"/>
            </w:pPr>
            <w:r w:rsidRPr="00E15BBE">
              <w:t>&gt;=15 rooms</w:t>
            </w:r>
          </w:p>
        </w:tc>
        <w:tc>
          <w:tcPr>
            <w:tcW w:w="1107" w:type="dxa"/>
            <w:tcBorders>
              <w:top w:val="single" w:sz="8" w:space="0" w:color="FFFFFF" w:themeColor="background1"/>
              <w:bottom w:val="single" w:sz="8" w:space="0" w:color="FFFFFF" w:themeColor="background1"/>
            </w:tcBorders>
            <w:shd w:val="clear" w:color="auto" w:fill="auto"/>
            <w:tcMar>
              <w:left w:w="57" w:type="dxa"/>
              <w:right w:w="57" w:type="dxa"/>
            </w:tcMar>
          </w:tcPr>
          <w:p w14:paraId="6ABCC4CD" w14:textId="77777777" w:rsidR="00ED0E85" w:rsidRPr="00E15BBE" w:rsidRDefault="00ED0E85" w:rsidP="00ED0E85">
            <w:pPr>
              <w:pStyle w:val="TableUnit"/>
            </w:pPr>
            <w:r w:rsidRPr="00E15BBE">
              <w:t>&gt;=15 rooms</w:t>
            </w:r>
          </w:p>
        </w:tc>
        <w:tc>
          <w:tcPr>
            <w:tcW w:w="1107" w:type="dxa"/>
            <w:tcBorders>
              <w:top w:val="single" w:sz="8" w:space="0" w:color="FFFFFF" w:themeColor="background1"/>
              <w:bottom w:val="single" w:sz="8" w:space="0" w:color="FFFFFF" w:themeColor="background1"/>
            </w:tcBorders>
            <w:shd w:val="clear" w:color="auto" w:fill="auto"/>
          </w:tcPr>
          <w:p w14:paraId="66D6D093" w14:textId="77777777" w:rsidR="00ED0E85" w:rsidRPr="00E15BBE" w:rsidRDefault="00ED0E85" w:rsidP="00ED0E85">
            <w:pPr>
              <w:pStyle w:val="TableUnit"/>
            </w:pPr>
            <w:r w:rsidRPr="00E15BBE">
              <w:t>&gt;=15 rooms</w:t>
            </w:r>
          </w:p>
        </w:tc>
        <w:tc>
          <w:tcPr>
            <w:tcW w:w="1299" w:type="dxa"/>
            <w:tcBorders>
              <w:top w:val="single" w:sz="8" w:space="0" w:color="FFFFFF" w:themeColor="background1"/>
              <w:bottom w:val="single" w:sz="8" w:space="0" w:color="FFFFFF" w:themeColor="background1"/>
            </w:tcBorders>
            <w:shd w:val="clear" w:color="auto" w:fill="auto"/>
          </w:tcPr>
          <w:p w14:paraId="5A0C8B04" w14:textId="77777777" w:rsidR="00ED0E85" w:rsidRPr="00E15BBE" w:rsidRDefault="00ED0E85" w:rsidP="00ED0E85">
            <w:pPr>
              <w:pStyle w:val="TableUnit"/>
            </w:pPr>
            <w:r w:rsidRPr="00E15BBE">
              <w:t>&gt;=10 rooms</w:t>
            </w:r>
          </w:p>
        </w:tc>
      </w:tr>
      <w:tr w:rsidR="00ED0E85" w:rsidRPr="00E15BBE" w14:paraId="59940ADC" w14:textId="77777777" w:rsidTr="00ED0E85">
        <w:trPr>
          <w:trHeight w:val="328"/>
        </w:trPr>
        <w:tc>
          <w:tcPr>
            <w:tcW w:w="11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1486F2" w14:textId="77777777" w:rsidR="00ED0E85" w:rsidRPr="00E15BBE" w:rsidRDefault="00ED0E85" w:rsidP="00ED0E85">
            <w:pPr>
              <w:pStyle w:val="TableDataEntries"/>
              <w:jc w:val="left"/>
            </w:pPr>
            <w:r w:rsidRPr="00E15BBE">
              <w:t>2012-13</w:t>
            </w:r>
          </w:p>
        </w:tc>
        <w:tc>
          <w:tcPr>
            <w:tcW w:w="11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89A78F" w14:textId="77777777" w:rsidR="00ED0E85" w:rsidRPr="00E15BBE" w:rsidRDefault="00ED0E85" w:rsidP="00ED0E85">
            <w:pPr>
              <w:pStyle w:val="TableDataEntries"/>
            </w:pPr>
            <w:r w:rsidRPr="00E15BBE">
              <w:t>-</w:t>
            </w:r>
          </w:p>
        </w:tc>
        <w:tc>
          <w:tcPr>
            <w:tcW w:w="11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EE1B40" w14:textId="77777777" w:rsidR="00ED0E85" w:rsidRPr="00E15BBE" w:rsidRDefault="00ED0E85" w:rsidP="00ED0E85">
            <w:pPr>
              <w:pStyle w:val="TableDataEntries"/>
            </w:pPr>
            <w:r w:rsidRPr="00E15BBE">
              <w:t>-</w:t>
            </w:r>
          </w:p>
        </w:tc>
        <w:tc>
          <w:tcPr>
            <w:tcW w:w="11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983B4B" w14:textId="77777777" w:rsidR="00ED0E85" w:rsidRPr="00E15BBE" w:rsidRDefault="00ED0E85" w:rsidP="00ED0E85">
            <w:pPr>
              <w:pStyle w:val="TableDataEntries"/>
            </w:pPr>
            <w:r w:rsidRPr="00E15BBE">
              <w:t>-</w:t>
            </w:r>
          </w:p>
        </w:tc>
        <w:tc>
          <w:tcPr>
            <w:tcW w:w="11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278C4E" w14:textId="77777777" w:rsidR="00ED0E85" w:rsidRPr="00E15BBE" w:rsidRDefault="00ED0E85" w:rsidP="00ED0E85">
            <w:pPr>
              <w:pStyle w:val="TableDataEntries"/>
            </w:pPr>
            <w:r w:rsidRPr="00E15BBE">
              <w:t>-</w:t>
            </w:r>
          </w:p>
        </w:tc>
        <w:tc>
          <w:tcPr>
            <w:tcW w:w="1107" w:type="dxa"/>
            <w:tcBorders>
              <w:top w:val="single" w:sz="8" w:space="0" w:color="FFFFFF" w:themeColor="background1"/>
              <w:bottom w:val="single" w:sz="8" w:space="0" w:color="FFFFFF" w:themeColor="background1"/>
            </w:tcBorders>
            <w:shd w:val="clear" w:color="auto" w:fill="E9E8E5" w:themeFill="background2"/>
          </w:tcPr>
          <w:p w14:paraId="6C3E60ED" w14:textId="77777777" w:rsidR="00ED0E85" w:rsidRPr="00E15BBE" w:rsidRDefault="00ED0E85" w:rsidP="00ED0E85">
            <w:pPr>
              <w:pStyle w:val="TableDataEntries"/>
            </w:pPr>
            <w:r w:rsidRPr="00E15BBE">
              <w:t>-</w:t>
            </w:r>
          </w:p>
        </w:tc>
        <w:tc>
          <w:tcPr>
            <w:tcW w:w="1299" w:type="dxa"/>
            <w:tcBorders>
              <w:top w:val="single" w:sz="8" w:space="0" w:color="FFFFFF" w:themeColor="background1"/>
              <w:bottom w:val="single" w:sz="8" w:space="0" w:color="FFFFFF" w:themeColor="background1"/>
            </w:tcBorders>
            <w:shd w:val="clear" w:color="auto" w:fill="E9E8E5" w:themeFill="background2"/>
          </w:tcPr>
          <w:p w14:paraId="30196713" w14:textId="77777777" w:rsidR="00ED0E85" w:rsidRPr="00E15BBE" w:rsidRDefault="00ED0E85" w:rsidP="00ED0E85">
            <w:pPr>
              <w:pStyle w:val="TableDataEntries"/>
            </w:pPr>
            <w:r w:rsidRPr="00E15BBE">
              <w:t>262 347</w:t>
            </w:r>
          </w:p>
        </w:tc>
      </w:tr>
      <w:tr w:rsidR="00ED0E85" w:rsidRPr="00E15BBE" w14:paraId="1E31E425" w14:textId="77777777" w:rsidTr="00ED0E85">
        <w:trPr>
          <w:trHeight w:val="253"/>
        </w:trPr>
        <w:tc>
          <w:tcPr>
            <w:tcW w:w="11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71744A" w14:textId="77777777" w:rsidR="00ED0E85" w:rsidRPr="00E15BBE" w:rsidRDefault="00ED0E85" w:rsidP="00ED0E85">
            <w:pPr>
              <w:pStyle w:val="TableDataEntries"/>
              <w:jc w:val="left"/>
            </w:pPr>
            <w:r w:rsidRPr="00E15BBE">
              <w:t>2013-14</w:t>
            </w:r>
          </w:p>
        </w:tc>
        <w:tc>
          <w:tcPr>
            <w:tcW w:w="11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86F09B" w14:textId="77777777" w:rsidR="00ED0E85" w:rsidRPr="00E15BBE" w:rsidRDefault="00ED0E85" w:rsidP="00ED0E85">
            <w:pPr>
              <w:pStyle w:val="TableDataEntries"/>
            </w:pPr>
            <w:r w:rsidRPr="00E15BBE">
              <w:t>11 728</w:t>
            </w:r>
          </w:p>
        </w:tc>
        <w:tc>
          <w:tcPr>
            <w:tcW w:w="11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C94D36" w14:textId="77777777" w:rsidR="00ED0E85" w:rsidRPr="00E15BBE" w:rsidRDefault="00ED0E85" w:rsidP="00ED0E85">
            <w:pPr>
              <w:pStyle w:val="TableDataEntries"/>
            </w:pPr>
            <w:r w:rsidRPr="00E15BBE">
              <w:t>82 305</w:t>
            </w:r>
          </w:p>
        </w:tc>
        <w:tc>
          <w:tcPr>
            <w:tcW w:w="11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A407D4" w14:textId="77777777" w:rsidR="00ED0E85" w:rsidRPr="00E15BBE" w:rsidRDefault="00ED0E85" w:rsidP="00ED0E85">
            <w:pPr>
              <w:pStyle w:val="TableDataEntries"/>
            </w:pPr>
            <w:r w:rsidRPr="00E15BBE">
              <w:t>110 664</w:t>
            </w:r>
          </w:p>
        </w:tc>
        <w:tc>
          <w:tcPr>
            <w:tcW w:w="11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CD298E" w14:textId="77777777" w:rsidR="00ED0E85" w:rsidRPr="00E15BBE" w:rsidRDefault="00ED0E85" w:rsidP="00ED0E85">
            <w:pPr>
              <w:pStyle w:val="TableDataEntries"/>
            </w:pPr>
            <w:r w:rsidRPr="00E15BBE">
              <w:t>24 949</w:t>
            </w:r>
          </w:p>
        </w:tc>
        <w:tc>
          <w:tcPr>
            <w:tcW w:w="1107" w:type="dxa"/>
            <w:tcBorders>
              <w:top w:val="single" w:sz="8" w:space="0" w:color="FFFFFF" w:themeColor="background1"/>
              <w:bottom w:val="single" w:sz="8" w:space="0" w:color="FFFFFF" w:themeColor="background1"/>
            </w:tcBorders>
            <w:shd w:val="clear" w:color="auto" w:fill="E9E8E5" w:themeFill="background2"/>
          </w:tcPr>
          <w:p w14:paraId="76C008BF" w14:textId="77777777" w:rsidR="00ED0E85" w:rsidRPr="00E15BBE" w:rsidRDefault="00ED0E85" w:rsidP="00ED0E85">
            <w:pPr>
              <w:pStyle w:val="TableDataEntries"/>
            </w:pPr>
            <w:r w:rsidRPr="00E15BBE">
              <w:t>229 646</w:t>
            </w:r>
          </w:p>
        </w:tc>
        <w:tc>
          <w:tcPr>
            <w:tcW w:w="1299" w:type="dxa"/>
            <w:tcBorders>
              <w:top w:val="single" w:sz="8" w:space="0" w:color="FFFFFF" w:themeColor="background1"/>
              <w:bottom w:val="single" w:sz="8" w:space="0" w:color="FFFFFF" w:themeColor="background1"/>
            </w:tcBorders>
            <w:shd w:val="clear" w:color="auto" w:fill="E9E8E5" w:themeFill="background2"/>
          </w:tcPr>
          <w:p w14:paraId="401C7143" w14:textId="77777777" w:rsidR="00ED0E85" w:rsidRPr="00E15BBE" w:rsidRDefault="00ED0E85" w:rsidP="00ED0E85">
            <w:pPr>
              <w:pStyle w:val="TableDataEntries"/>
            </w:pPr>
            <w:r w:rsidRPr="00E15BBE">
              <w:t>264 012</w:t>
            </w:r>
          </w:p>
        </w:tc>
      </w:tr>
      <w:tr w:rsidR="00ED0E85" w:rsidRPr="00E15BBE" w14:paraId="33325471" w14:textId="77777777" w:rsidTr="00ED0E85">
        <w:trPr>
          <w:trHeight w:val="253"/>
        </w:trPr>
        <w:tc>
          <w:tcPr>
            <w:tcW w:w="11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0A19E2" w14:textId="77777777" w:rsidR="00ED0E85" w:rsidRPr="00E15BBE" w:rsidRDefault="00ED0E85" w:rsidP="00ED0E85">
            <w:pPr>
              <w:pStyle w:val="TableDataEntries"/>
              <w:jc w:val="left"/>
            </w:pPr>
            <w:r w:rsidRPr="00E15BBE">
              <w:t>2014-15</w:t>
            </w:r>
          </w:p>
        </w:tc>
        <w:tc>
          <w:tcPr>
            <w:tcW w:w="11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8FE704" w14:textId="77777777" w:rsidR="00ED0E85" w:rsidRPr="00E15BBE" w:rsidRDefault="00ED0E85" w:rsidP="00ED0E85">
            <w:pPr>
              <w:pStyle w:val="TableDataEntries"/>
            </w:pPr>
            <w:r w:rsidRPr="00E15BBE">
              <w:t>12 317</w:t>
            </w:r>
          </w:p>
        </w:tc>
        <w:tc>
          <w:tcPr>
            <w:tcW w:w="11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9E5E4B" w14:textId="77777777" w:rsidR="00ED0E85" w:rsidRPr="00E15BBE" w:rsidRDefault="00ED0E85" w:rsidP="00ED0E85">
            <w:pPr>
              <w:pStyle w:val="TableDataEntries"/>
            </w:pPr>
            <w:r w:rsidRPr="00E15BBE">
              <w:t>85 748</w:t>
            </w:r>
          </w:p>
        </w:tc>
        <w:tc>
          <w:tcPr>
            <w:tcW w:w="11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9434EA" w14:textId="77777777" w:rsidR="00ED0E85" w:rsidRPr="00E15BBE" w:rsidRDefault="00ED0E85" w:rsidP="00ED0E85">
            <w:pPr>
              <w:pStyle w:val="TableDataEntries"/>
            </w:pPr>
            <w:r w:rsidRPr="00E15BBE">
              <w:t>122 844</w:t>
            </w:r>
          </w:p>
        </w:tc>
        <w:tc>
          <w:tcPr>
            <w:tcW w:w="11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BEF4C2" w14:textId="77777777" w:rsidR="00ED0E85" w:rsidRPr="00E15BBE" w:rsidRDefault="00ED0E85" w:rsidP="00ED0E85">
            <w:pPr>
              <w:pStyle w:val="TableDataEntries"/>
            </w:pPr>
            <w:r w:rsidRPr="00E15BBE">
              <w:t>27 664</w:t>
            </w:r>
          </w:p>
        </w:tc>
        <w:tc>
          <w:tcPr>
            <w:tcW w:w="1107" w:type="dxa"/>
            <w:tcBorders>
              <w:top w:val="single" w:sz="8" w:space="0" w:color="FFFFFF" w:themeColor="background1"/>
              <w:bottom w:val="single" w:sz="8" w:space="0" w:color="FFFFFF" w:themeColor="background1"/>
            </w:tcBorders>
            <w:shd w:val="clear" w:color="auto" w:fill="E9E8E5" w:themeFill="background2"/>
          </w:tcPr>
          <w:p w14:paraId="02C0AB12" w14:textId="77777777" w:rsidR="00ED0E85" w:rsidRPr="00E15BBE" w:rsidRDefault="00ED0E85" w:rsidP="00ED0E85">
            <w:pPr>
              <w:pStyle w:val="TableDataEntries"/>
            </w:pPr>
            <w:r w:rsidRPr="00E15BBE">
              <w:t>248 573</w:t>
            </w:r>
          </w:p>
        </w:tc>
        <w:tc>
          <w:tcPr>
            <w:tcW w:w="1299" w:type="dxa"/>
            <w:tcBorders>
              <w:top w:val="single" w:sz="8" w:space="0" w:color="FFFFFF" w:themeColor="background1"/>
              <w:bottom w:val="single" w:sz="8" w:space="0" w:color="FFFFFF" w:themeColor="background1"/>
            </w:tcBorders>
            <w:shd w:val="clear" w:color="auto" w:fill="E9E8E5" w:themeFill="background2"/>
          </w:tcPr>
          <w:p w14:paraId="346F76EE" w14:textId="77777777" w:rsidR="00ED0E85" w:rsidRPr="00E15BBE" w:rsidRDefault="00ED0E85" w:rsidP="00ED0E85">
            <w:pPr>
              <w:pStyle w:val="TableDataEntries"/>
            </w:pPr>
            <w:r w:rsidRPr="00E15BBE">
              <w:t>267 606</w:t>
            </w:r>
          </w:p>
        </w:tc>
      </w:tr>
      <w:tr w:rsidR="00ED0E85" w:rsidRPr="00E15BBE" w14:paraId="0C1ADDA6" w14:textId="77777777" w:rsidTr="00ED0E85">
        <w:trPr>
          <w:trHeight w:val="253"/>
        </w:trPr>
        <w:tc>
          <w:tcPr>
            <w:tcW w:w="11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DE4493" w14:textId="77777777" w:rsidR="00ED0E85" w:rsidRPr="00E15BBE" w:rsidRDefault="00ED0E85" w:rsidP="00ED0E85">
            <w:pPr>
              <w:pStyle w:val="TableDataEntries"/>
              <w:jc w:val="left"/>
            </w:pPr>
            <w:r w:rsidRPr="00E15BBE">
              <w:t>2015-16</w:t>
            </w:r>
          </w:p>
        </w:tc>
        <w:tc>
          <w:tcPr>
            <w:tcW w:w="11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F986DA" w14:textId="77777777" w:rsidR="00ED0E85" w:rsidRPr="00E15BBE" w:rsidRDefault="00ED0E85" w:rsidP="00ED0E85">
            <w:pPr>
              <w:pStyle w:val="TableDataEntries"/>
            </w:pPr>
            <w:r w:rsidRPr="00E15BBE">
              <w:t>12 240</w:t>
            </w:r>
          </w:p>
        </w:tc>
        <w:tc>
          <w:tcPr>
            <w:tcW w:w="11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B75607" w14:textId="77777777" w:rsidR="00ED0E85" w:rsidRPr="00E15BBE" w:rsidRDefault="00ED0E85" w:rsidP="00ED0E85">
            <w:pPr>
              <w:pStyle w:val="TableDataEntries"/>
            </w:pPr>
            <w:r w:rsidRPr="00E15BBE">
              <w:t>85 429</w:t>
            </w:r>
          </w:p>
        </w:tc>
        <w:tc>
          <w:tcPr>
            <w:tcW w:w="11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6C158D" w14:textId="77777777" w:rsidR="00ED0E85" w:rsidRPr="00E15BBE" w:rsidRDefault="00ED0E85" w:rsidP="00ED0E85">
            <w:pPr>
              <w:pStyle w:val="TableDataEntries"/>
            </w:pPr>
            <w:r w:rsidRPr="00E15BBE">
              <w:t>123 898</w:t>
            </w:r>
          </w:p>
        </w:tc>
        <w:tc>
          <w:tcPr>
            <w:tcW w:w="11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836EE1" w14:textId="77777777" w:rsidR="00ED0E85" w:rsidRPr="00E15BBE" w:rsidRDefault="00ED0E85" w:rsidP="00ED0E85">
            <w:pPr>
              <w:pStyle w:val="TableDataEntries"/>
            </w:pPr>
            <w:r w:rsidRPr="00E15BBE">
              <w:t>27 564</w:t>
            </w:r>
          </w:p>
        </w:tc>
        <w:tc>
          <w:tcPr>
            <w:tcW w:w="1107" w:type="dxa"/>
            <w:tcBorders>
              <w:top w:val="single" w:sz="8" w:space="0" w:color="FFFFFF" w:themeColor="background1"/>
              <w:bottom w:val="single" w:sz="8" w:space="0" w:color="FFFFFF" w:themeColor="background1"/>
            </w:tcBorders>
            <w:shd w:val="clear" w:color="auto" w:fill="E9E8E5" w:themeFill="background2"/>
          </w:tcPr>
          <w:p w14:paraId="6A419177" w14:textId="77777777" w:rsidR="00ED0E85" w:rsidRPr="00E15BBE" w:rsidRDefault="00ED0E85" w:rsidP="00ED0E85">
            <w:pPr>
              <w:pStyle w:val="TableDataEntries"/>
            </w:pPr>
            <w:r w:rsidRPr="00E15BBE">
              <w:t>249 131</w:t>
            </w:r>
          </w:p>
        </w:tc>
        <w:tc>
          <w:tcPr>
            <w:tcW w:w="1299" w:type="dxa"/>
            <w:tcBorders>
              <w:top w:val="single" w:sz="8" w:space="0" w:color="FFFFFF" w:themeColor="background1"/>
              <w:bottom w:val="single" w:sz="8" w:space="0" w:color="FFFFFF" w:themeColor="background1"/>
            </w:tcBorders>
            <w:shd w:val="clear" w:color="auto" w:fill="E9E8E5" w:themeFill="background2"/>
          </w:tcPr>
          <w:p w14:paraId="7076795D" w14:textId="77777777" w:rsidR="00ED0E85" w:rsidRPr="00E15BBE" w:rsidRDefault="00ED0E85" w:rsidP="00ED0E85">
            <w:pPr>
              <w:pStyle w:val="TableDataEntries"/>
            </w:pPr>
            <w:r w:rsidRPr="00E15BBE">
              <w:t>271 313</w:t>
            </w:r>
          </w:p>
        </w:tc>
      </w:tr>
      <w:tr w:rsidR="00ED0E85" w:rsidRPr="00E15BBE" w14:paraId="729F0B46" w14:textId="77777777" w:rsidTr="00ED0E85">
        <w:trPr>
          <w:trHeight w:val="253"/>
        </w:trPr>
        <w:tc>
          <w:tcPr>
            <w:tcW w:w="11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B5DC54" w14:textId="77777777" w:rsidR="00ED0E85" w:rsidRPr="00E15BBE" w:rsidRDefault="00ED0E85" w:rsidP="00ED0E85">
            <w:pPr>
              <w:pStyle w:val="TableDataEntries"/>
              <w:jc w:val="left"/>
            </w:pPr>
            <w:r w:rsidRPr="00E15BBE">
              <w:t>2016-17</w:t>
            </w:r>
          </w:p>
        </w:tc>
        <w:tc>
          <w:tcPr>
            <w:tcW w:w="11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D2771B" w14:textId="77777777" w:rsidR="00ED0E85" w:rsidRPr="00E15BBE" w:rsidRDefault="00ED0E85" w:rsidP="00ED0E85">
            <w:pPr>
              <w:pStyle w:val="TableDataEntries"/>
            </w:pPr>
            <w:r w:rsidRPr="00E15BBE">
              <w:t>-</w:t>
            </w:r>
          </w:p>
        </w:tc>
        <w:tc>
          <w:tcPr>
            <w:tcW w:w="110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30128F" w14:textId="77777777" w:rsidR="00ED0E85" w:rsidRPr="00E15BBE" w:rsidRDefault="00ED0E85" w:rsidP="00ED0E85">
            <w:pPr>
              <w:pStyle w:val="TableDataEntries"/>
            </w:pPr>
            <w:r w:rsidRPr="00E15BBE">
              <w:t>-</w:t>
            </w:r>
          </w:p>
        </w:tc>
        <w:tc>
          <w:tcPr>
            <w:tcW w:w="11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44EA4B" w14:textId="77777777" w:rsidR="00ED0E85" w:rsidRPr="00E15BBE" w:rsidRDefault="00ED0E85" w:rsidP="00ED0E85">
            <w:pPr>
              <w:pStyle w:val="TableDataEntries"/>
            </w:pPr>
            <w:r w:rsidRPr="00E15BBE">
              <w:t>-</w:t>
            </w:r>
          </w:p>
        </w:tc>
        <w:tc>
          <w:tcPr>
            <w:tcW w:w="110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DCF9C5" w14:textId="77777777" w:rsidR="00ED0E85" w:rsidRPr="00E15BBE" w:rsidRDefault="00ED0E85" w:rsidP="00ED0E85">
            <w:pPr>
              <w:pStyle w:val="TableDataEntries"/>
            </w:pPr>
            <w:r w:rsidRPr="00E15BBE">
              <w:t>-</w:t>
            </w:r>
          </w:p>
        </w:tc>
        <w:tc>
          <w:tcPr>
            <w:tcW w:w="1107" w:type="dxa"/>
            <w:tcBorders>
              <w:top w:val="single" w:sz="8" w:space="0" w:color="FFFFFF" w:themeColor="background1"/>
              <w:bottom w:val="single" w:sz="8" w:space="0" w:color="FFFFFF" w:themeColor="background1"/>
            </w:tcBorders>
            <w:shd w:val="clear" w:color="auto" w:fill="E9E8E5" w:themeFill="background2"/>
          </w:tcPr>
          <w:p w14:paraId="7266A8B8" w14:textId="77777777" w:rsidR="00ED0E85" w:rsidRPr="00E15BBE" w:rsidRDefault="00ED0E85" w:rsidP="00ED0E85">
            <w:pPr>
              <w:pStyle w:val="TableDataEntries"/>
            </w:pPr>
            <w:r w:rsidRPr="00E15BBE">
              <w:t>-</w:t>
            </w:r>
          </w:p>
        </w:tc>
        <w:tc>
          <w:tcPr>
            <w:tcW w:w="1299" w:type="dxa"/>
            <w:tcBorders>
              <w:top w:val="single" w:sz="8" w:space="0" w:color="FFFFFF" w:themeColor="background1"/>
              <w:bottom w:val="single" w:sz="8" w:space="0" w:color="FFFFFF" w:themeColor="background1"/>
            </w:tcBorders>
            <w:shd w:val="clear" w:color="auto" w:fill="E9E8E5" w:themeFill="background2"/>
          </w:tcPr>
          <w:p w14:paraId="676396DA" w14:textId="77777777" w:rsidR="00ED0E85" w:rsidRPr="00E15BBE" w:rsidRDefault="00ED0E85" w:rsidP="00ED0E85">
            <w:pPr>
              <w:pStyle w:val="TableDataEntries"/>
            </w:pPr>
            <w:r w:rsidRPr="00E15BBE">
              <w:t>275 700</w:t>
            </w:r>
          </w:p>
        </w:tc>
      </w:tr>
      <w:tr w:rsidR="00ED0E85" w:rsidRPr="00E15BBE" w14:paraId="4BA702D8" w14:textId="77777777" w:rsidTr="00ED0E85">
        <w:trPr>
          <w:trHeight w:val="253"/>
        </w:trPr>
        <w:tc>
          <w:tcPr>
            <w:tcW w:w="1106" w:type="dxa"/>
            <w:tcBorders>
              <w:top w:val="single" w:sz="8" w:space="0" w:color="FFFFFF" w:themeColor="background1"/>
              <w:bottom w:val="single" w:sz="6" w:space="0" w:color="6F6652"/>
            </w:tcBorders>
            <w:shd w:val="clear" w:color="auto" w:fill="E9E8E5" w:themeFill="background2"/>
            <w:tcMar>
              <w:left w:w="57" w:type="dxa"/>
              <w:right w:w="57" w:type="dxa"/>
            </w:tcMar>
          </w:tcPr>
          <w:p w14:paraId="5A8073B7" w14:textId="77777777" w:rsidR="00ED0E85" w:rsidRPr="00E15BBE" w:rsidRDefault="00ED0E85" w:rsidP="00ED0E85">
            <w:pPr>
              <w:pStyle w:val="TableDataEntries"/>
              <w:jc w:val="left"/>
            </w:pPr>
            <w:r w:rsidRPr="00E15BBE">
              <w:t>2017-18</w:t>
            </w:r>
          </w:p>
        </w:tc>
        <w:tc>
          <w:tcPr>
            <w:tcW w:w="1106" w:type="dxa"/>
            <w:tcBorders>
              <w:top w:val="single" w:sz="8" w:space="0" w:color="FFFFFF" w:themeColor="background1"/>
              <w:bottom w:val="single" w:sz="6" w:space="0" w:color="6F6652"/>
            </w:tcBorders>
            <w:shd w:val="clear" w:color="auto" w:fill="E9E8E5" w:themeFill="background2"/>
            <w:tcMar>
              <w:left w:w="57" w:type="dxa"/>
              <w:right w:w="57" w:type="dxa"/>
            </w:tcMar>
          </w:tcPr>
          <w:p w14:paraId="0CE413EB" w14:textId="77777777" w:rsidR="00ED0E85" w:rsidRPr="00E15BBE" w:rsidRDefault="00ED0E85" w:rsidP="00ED0E85">
            <w:pPr>
              <w:pStyle w:val="TableDataEntries"/>
            </w:pPr>
            <w:r w:rsidRPr="00E15BBE">
              <w:t>-</w:t>
            </w:r>
          </w:p>
        </w:tc>
        <w:tc>
          <w:tcPr>
            <w:tcW w:w="1106" w:type="dxa"/>
            <w:tcBorders>
              <w:top w:val="single" w:sz="8" w:space="0" w:color="FFFFFF" w:themeColor="background1"/>
              <w:bottom w:val="single" w:sz="6" w:space="0" w:color="6F6652"/>
            </w:tcBorders>
            <w:shd w:val="clear" w:color="auto" w:fill="E9E8E5" w:themeFill="background2"/>
            <w:tcMar>
              <w:left w:w="57" w:type="dxa"/>
              <w:right w:w="57" w:type="dxa"/>
            </w:tcMar>
          </w:tcPr>
          <w:p w14:paraId="24DCC915" w14:textId="77777777" w:rsidR="00ED0E85" w:rsidRPr="00E15BBE" w:rsidRDefault="00ED0E85" w:rsidP="00ED0E85">
            <w:pPr>
              <w:pStyle w:val="TableDataEntries"/>
            </w:pPr>
            <w:r w:rsidRPr="00E15BBE">
              <w:t>-</w:t>
            </w:r>
          </w:p>
        </w:tc>
        <w:tc>
          <w:tcPr>
            <w:tcW w:w="1107" w:type="dxa"/>
            <w:tcBorders>
              <w:top w:val="single" w:sz="8" w:space="0" w:color="FFFFFF" w:themeColor="background1"/>
              <w:bottom w:val="single" w:sz="6" w:space="0" w:color="6F6652"/>
            </w:tcBorders>
            <w:shd w:val="clear" w:color="auto" w:fill="E9E8E5" w:themeFill="background2"/>
            <w:tcMar>
              <w:left w:w="57" w:type="dxa"/>
              <w:right w:w="57" w:type="dxa"/>
            </w:tcMar>
          </w:tcPr>
          <w:p w14:paraId="451AF2A3" w14:textId="77777777" w:rsidR="00ED0E85" w:rsidRPr="00E15BBE" w:rsidRDefault="00ED0E85" w:rsidP="00ED0E85">
            <w:pPr>
              <w:pStyle w:val="TableDataEntries"/>
            </w:pPr>
            <w:r w:rsidRPr="00E15BBE">
              <w:t>-</w:t>
            </w:r>
          </w:p>
        </w:tc>
        <w:tc>
          <w:tcPr>
            <w:tcW w:w="1107" w:type="dxa"/>
            <w:tcBorders>
              <w:top w:val="single" w:sz="8" w:space="0" w:color="FFFFFF" w:themeColor="background1"/>
              <w:bottom w:val="single" w:sz="6" w:space="0" w:color="6F6652"/>
            </w:tcBorders>
            <w:shd w:val="clear" w:color="auto" w:fill="E9E8E5" w:themeFill="background2"/>
            <w:tcMar>
              <w:left w:w="57" w:type="dxa"/>
              <w:right w:w="57" w:type="dxa"/>
            </w:tcMar>
          </w:tcPr>
          <w:p w14:paraId="35DB200C" w14:textId="77777777" w:rsidR="00ED0E85" w:rsidRPr="00E15BBE" w:rsidRDefault="00ED0E85" w:rsidP="00ED0E85">
            <w:pPr>
              <w:pStyle w:val="TableDataEntries"/>
            </w:pPr>
            <w:r w:rsidRPr="00E15BBE">
              <w:t>-</w:t>
            </w:r>
          </w:p>
        </w:tc>
        <w:tc>
          <w:tcPr>
            <w:tcW w:w="1107" w:type="dxa"/>
            <w:tcBorders>
              <w:top w:val="single" w:sz="8" w:space="0" w:color="FFFFFF" w:themeColor="background1"/>
              <w:bottom w:val="single" w:sz="6" w:space="0" w:color="6F6652"/>
            </w:tcBorders>
            <w:shd w:val="clear" w:color="auto" w:fill="E9E8E5" w:themeFill="background2"/>
          </w:tcPr>
          <w:p w14:paraId="3269351E" w14:textId="77777777" w:rsidR="00ED0E85" w:rsidRPr="00E15BBE" w:rsidRDefault="00ED0E85" w:rsidP="00ED0E85">
            <w:pPr>
              <w:pStyle w:val="TableDataEntries"/>
            </w:pPr>
            <w:r w:rsidRPr="00E15BBE">
              <w:t>-</w:t>
            </w:r>
          </w:p>
        </w:tc>
        <w:tc>
          <w:tcPr>
            <w:tcW w:w="1299" w:type="dxa"/>
            <w:tcBorders>
              <w:top w:val="single" w:sz="8" w:space="0" w:color="FFFFFF" w:themeColor="background1"/>
              <w:bottom w:val="single" w:sz="6" w:space="0" w:color="6F6652"/>
            </w:tcBorders>
            <w:shd w:val="clear" w:color="auto" w:fill="E9E8E5" w:themeFill="background2"/>
          </w:tcPr>
          <w:p w14:paraId="092781B0" w14:textId="77777777" w:rsidR="00ED0E85" w:rsidRPr="00E15BBE" w:rsidRDefault="00ED0E85" w:rsidP="00ED0E85">
            <w:pPr>
              <w:pStyle w:val="TableDataEntries"/>
            </w:pPr>
            <w:r w:rsidRPr="00E15BBE">
              <w:t>281 789</w:t>
            </w:r>
          </w:p>
        </w:tc>
      </w:tr>
    </w:tbl>
    <w:p w14:paraId="6125045D" w14:textId="77777777" w:rsidR="00ED0E85" w:rsidRPr="00836918" w:rsidRDefault="00ED0E85" w:rsidP="00ED0E85">
      <w:pPr>
        <w:pStyle w:val="Source"/>
        <w:rPr>
          <w:iCs/>
        </w:rPr>
      </w:pPr>
      <w:r>
        <w:rPr>
          <w:i/>
        </w:rPr>
        <w:t xml:space="preserve">Note: </w:t>
      </w:r>
      <w:r>
        <w:rPr>
          <w:iCs/>
        </w:rPr>
        <w:t xml:space="preserve">The most recent reported figures from the ABS are reported in June 2016. For hotels with 10 or more rooms, this is reported by Tourism Australia and Austrade Partnership. </w:t>
      </w:r>
    </w:p>
    <w:p w14:paraId="64255334" w14:textId="77777777" w:rsidR="00ED0E85" w:rsidRDefault="00ED0E85" w:rsidP="00ED0E85">
      <w:pPr>
        <w:pStyle w:val="Source"/>
      </w:pPr>
      <w:r>
        <w:rPr>
          <w:i/>
        </w:rPr>
        <w:t>Source</w:t>
      </w:r>
      <w:r w:rsidRPr="00E4232C">
        <w:rPr>
          <w:i/>
        </w:rPr>
        <w:t>:</w:t>
      </w:r>
      <w:r>
        <w:t xml:space="preserve"> ABS (2016), </w:t>
      </w:r>
      <w:r>
        <w:rPr>
          <w:i/>
          <w:iCs/>
        </w:rPr>
        <w:t xml:space="preserve">Tourist Accommodation, Australia 2015-16, </w:t>
      </w:r>
      <w:r>
        <w:t xml:space="preserve">Cat. 8635.0, Data Cube: Tourist Accommodation – Australia; accessed 31 July 2019; Australian Trade and Investment Commission (website), </w:t>
      </w:r>
      <w:r>
        <w:rPr>
          <w:i/>
          <w:iCs/>
        </w:rPr>
        <w:t xml:space="preserve">Hotel Industry Trends, </w:t>
      </w:r>
      <w:r>
        <w:t xml:space="preserve">available at: </w:t>
      </w:r>
      <w:hyperlink r:id="rId93" w:history="1">
        <w:r>
          <w:rPr>
            <w:rStyle w:val="Hyperlink"/>
          </w:rPr>
          <w:t>http://www.tourisminvestment.com.au/en/research-insights/hotel-performance.html</w:t>
        </w:r>
      </w:hyperlink>
      <w:r>
        <w:t xml:space="preserve">, accessed 5 August 2019.  </w:t>
      </w:r>
    </w:p>
    <w:p w14:paraId="06F5CF8E" w14:textId="77777777" w:rsidR="00ED0E85" w:rsidRDefault="00ED0E85" w:rsidP="00ED0E85">
      <w:pPr>
        <w:pStyle w:val="BodyText"/>
      </w:pPr>
      <w:r>
        <w:t>The majority of rooms are provided by hotels, although motels, private hotels and guest houses account for the greatest volume of establishments. There is no industry data on the number of establishments by rooms therefore, only indicative figures (of the number of rooms per establishment) can be provided.</w:t>
      </w:r>
    </w:p>
    <w:p w14:paraId="1F283003" w14:textId="256AC0BE"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w:instrText>
      </w:r>
      <w:r w:rsidRPr="00695C93">
        <w:fldChar w:fldCharType="separate"/>
      </w:r>
      <w:r w:rsidR="00AD3561">
        <w:rPr>
          <w:noProof/>
        </w:rPr>
        <w:instrText>8</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8</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2</w:instrText>
      </w:r>
      <w:r w:rsidRPr="00695C93">
        <w:fldChar w:fldCharType="end"/>
      </w:r>
      <w:r w:rsidRPr="00695C93">
        <w:instrText xml:space="preserve">" "" </w:instrText>
      </w:r>
      <w:r w:rsidRPr="00695C93">
        <w:fldChar w:fldCharType="separate"/>
      </w:r>
      <w:bookmarkStart w:id="4946" w:name="_Caption6774"/>
      <w:bookmarkStart w:id="4947" w:name="_Caption2404"/>
      <w:bookmarkStart w:id="4948" w:name="_Caption1523"/>
      <w:bookmarkStart w:id="4949" w:name="_Caption8560"/>
      <w:bookmarkStart w:id="4950" w:name="_Caption7882"/>
      <w:bookmarkStart w:id="4951" w:name="_Caption2291"/>
      <w:bookmarkStart w:id="4952" w:name="_Caption4375"/>
      <w:bookmarkStart w:id="4953" w:name="_Caption0351"/>
      <w:bookmarkStart w:id="4954" w:name="_Caption5279"/>
      <w:bookmarkStart w:id="4955" w:name="_Caption8774"/>
      <w:bookmarkStart w:id="4956" w:name="_Caption5629"/>
      <w:bookmarkStart w:id="4957" w:name="_Caption5632"/>
      <w:bookmarkStart w:id="4958" w:name="_Caption2904"/>
      <w:bookmarkStart w:id="4959" w:name="_Caption6121"/>
      <w:bookmarkStart w:id="4960" w:name="_Caption6007"/>
      <w:bookmarkStart w:id="4961" w:name="_Caption9742"/>
      <w:bookmarkStart w:id="4962" w:name="_Caption8124"/>
      <w:bookmarkStart w:id="4963" w:name="_Caption7881"/>
      <w:bookmarkStart w:id="4964" w:name="_Caption6822"/>
      <w:bookmarkStart w:id="4965" w:name="_Caption3954"/>
      <w:bookmarkStart w:id="4966" w:name="_Caption7689"/>
      <w:bookmarkStart w:id="4967" w:name="_Caption1486"/>
      <w:bookmarkStart w:id="4968" w:name="_Caption7385"/>
      <w:bookmarkStart w:id="4969" w:name="_Caption4967"/>
      <w:bookmarkStart w:id="4970" w:name="_Caption6380"/>
      <w:bookmarkStart w:id="4971" w:name="_Caption6559"/>
      <w:bookmarkStart w:id="4972" w:name="_Caption3397"/>
      <w:bookmarkStart w:id="4973" w:name="_Caption7147"/>
      <w:bookmarkStart w:id="4974" w:name="_Caption9671"/>
      <w:bookmarkStart w:id="4975" w:name="_Caption0257"/>
      <w:bookmarkStart w:id="4976" w:name="_Caption6067"/>
      <w:bookmarkStart w:id="4977" w:name="_Caption2770"/>
      <w:bookmarkStart w:id="4978" w:name="_Caption6677"/>
      <w:bookmarkStart w:id="4979" w:name="_Caption3423"/>
      <w:bookmarkStart w:id="4980" w:name="_Caption3087"/>
      <w:bookmarkStart w:id="4981" w:name="_Caption9971"/>
      <w:bookmarkStart w:id="4982" w:name="_Caption0532"/>
      <w:bookmarkStart w:id="4983" w:name="_Caption5106"/>
      <w:bookmarkStart w:id="4984" w:name="_Caption7445"/>
      <w:bookmarkStart w:id="4985" w:name="_Caption5581"/>
      <w:bookmarkStart w:id="4986" w:name="_Caption1310"/>
      <w:bookmarkStart w:id="4987" w:name="_Caption2122"/>
      <w:bookmarkStart w:id="4988" w:name="_Caption7847"/>
      <w:bookmarkStart w:id="4989" w:name="_Caption8851"/>
      <w:bookmarkStart w:id="4990" w:name="_Caption6034"/>
      <w:bookmarkStart w:id="4991" w:name="_Caption8241"/>
      <w:bookmarkStart w:id="4992" w:name="_Caption0647"/>
      <w:bookmarkStart w:id="4993" w:name="_Caption8858"/>
      <w:bookmarkStart w:id="4994" w:name="_Caption1349"/>
      <w:bookmarkStart w:id="4995" w:name="_Toc19275626"/>
      <w:bookmarkStart w:id="4996" w:name="_Toc19276236"/>
      <w:bookmarkStart w:id="4997" w:name="_Toc19280235"/>
      <w:r w:rsidR="00C353B5">
        <w:rPr>
          <w:noProof/>
        </w:rPr>
        <w:t>8</w:t>
      </w:r>
      <w:r w:rsidR="00C353B5" w:rsidRPr="00695C93">
        <w:rPr>
          <w:noProof/>
        </w:rPr>
        <w:t>.</w:t>
      </w:r>
      <w:r w:rsidR="00C353B5">
        <w:rPr>
          <w:noProof/>
        </w:rPr>
        <w:t>2</w:t>
      </w:r>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r w:rsidRPr="00695C93">
        <w:fldChar w:fldCharType="end"/>
      </w:r>
      <w:r w:rsidRPr="00695C93">
        <w:tab/>
      </w:r>
      <w:r>
        <w:t>Distribution of rooms by establishment</w:t>
      </w:r>
      <w:bookmarkEnd w:id="4995"/>
      <w:bookmarkEnd w:id="4996"/>
      <w:bookmarkEnd w:id="4997"/>
    </w:p>
    <w:tbl>
      <w:tblPr>
        <w:tblW w:w="7938" w:type="dxa"/>
        <w:tblLayout w:type="fixed"/>
        <w:tblLook w:val="0000" w:firstRow="0" w:lastRow="0" w:firstColumn="0" w:lastColumn="0" w:noHBand="0" w:noVBand="0"/>
      </w:tblPr>
      <w:tblGrid>
        <w:gridCol w:w="2836"/>
        <w:gridCol w:w="1560"/>
        <w:gridCol w:w="1557"/>
        <w:gridCol w:w="1985"/>
      </w:tblGrid>
      <w:tr w:rsidR="00ED0E85" w14:paraId="70A52562" w14:textId="77777777" w:rsidTr="00ED0E85">
        <w:tc>
          <w:tcPr>
            <w:tcW w:w="2835" w:type="dxa"/>
            <w:tcBorders>
              <w:bottom w:val="single" w:sz="8" w:space="0" w:color="FFFFFF" w:themeColor="background1"/>
            </w:tcBorders>
            <w:shd w:val="clear" w:color="auto" w:fill="6F6652"/>
            <w:tcMar>
              <w:left w:w="57" w:type="dxa"/>
              <w:right w:w="57" w:type="dxa"/>
            </w:tcMar>
          </w:tcPr>
          <w:p w14:paraId="63C6AA1F" w14:textId="77777777" w:rsidR="00ED0E85" w:rsidRDefault="00ED0E85" w:rsidP="00ED0E85">
            <w:pPr>
              <w:pStyle w:val="TableDataColumnHeading"/>
              <w:jc w:val="left"/>
            </w:pPr>
          </w:p>
        </w:tc>
        <w:tc>
          <w:tcPr>
            <w:tcW w:w="1560" w:type="dxa"/>
            <w:tcBorders>
              <w:bottom w:val="single" w:sz="8" w:space="0" w:color="FFFFFF" w:themeColor="background1"/>
            </w:tcBorders>
            <w:shd w:val="clear" w:color="auto" w:fill="6F6652"/>
            <w:tcMar>
              <w:left w:w="57" w:type="dxa"/>
              <w:right w:w="57" w:type="dxa"/>
            </w:tcMar>
          </w:tcPr>
          <w:p w14:paraId="57794898" w14:textId="77777777" w:rsidR="00ED0E85" w:rsidRDefault="00ED0E85" w:rsidP="00ED0E85">
            <w:pPr>
              <w:pStyle w:val="TableDataColumnHeading"/>
            </w:pPr>
            <w:r>
              <w:t>Establishments &gt;=15 rooms</w:t>
            </w:r>
          </w:p>
        </w:tc>
        <w:tc>
          <w:tcPr>
            <w:tcW w:w="1557" w:type="dxa"/>
            <w:tcBorders>
              <w:bottom w:val="single" w:sz="8" w:space="0" w:color="FFFFFF" w:themeColor="background1"/>
            </w:tcBorders>
            <w:shd w:val="clear" w:color="auto" w:fill="6F6652"/>
            <w:tcMar>
              <w:left w:w="57" w:type="dxa"/>
              <w:right w:w="57" w:type="dxa"/>
            </w:tcMar>
          </w:tcPr>
          <w:p w14:paraId="62E2C72F" w14:textId="77777777" w:rsidR="00ED0E85" w:rsidRDefault="00ED0E85" w:rsidP="00ED0E85">
            <w:pPr>
              <w:pStyle w:val="TableDataColumnHeading"/>
            </w:pPr>
            <w:r>
              <w:t>No. rooms</w:t>
            </w:r>
          </w:p>
        </w:tc>
        <w:tc>
          <w:tcPr>
            <w:tcW w:w="1985" w:type="dxa"/>
            <w:tcBorders>
              <w:bottom w:val="single" w:sz="8" w:space="0" w:color="FFFFFF" w:themeColor="background1"/>
            </w:tcBorders>
            <w:shd w:val="clear" w:color="auto" w:fill="6F6652"/>
            <w:tcMar>
              <w:left w:w="57" w:type="dxa"/>
              <w:right w:w="57" w:type="dxa"/>
            </w:tcMar>
          </w:tcPr>
          <w:p w14:paraId="3100395B" w14:textId="77777777" w:rsidR="00ED0E85" w:rsidRDefault="00ED0E85" w:rsidP="00ED0E85">
            <w:pPr>
              <w:pStyle w:val="TableDataColumnHeading"/>
            </w:pPr>
            <w:r>
              <w:t>Average rooms per establishment</w:t>
            </w:r>
          </w:p>
        </w:tc>
      </w:tr>
      <w:tr w:rsidR="00ED0E85" w14:paraId="0FDAB9C4" w14:textId="77777777" w:rsidTr="00ED0E85">
        <w:trPr>
          <w:trHeight w:val="60"/>
        </w:trPr>
        <w:tc>
          <w:tcPr>
            <w:tcW w:w="28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980BD4" w14:textId="77777777" w:rsidR="00ED0E85" w:rsidRDefault="00ED0E85" w:rsidP="00ED0E85">
            <w:pPr>
              <w:pStyle w:val="TableUnit"/>
              <w:jc w:val="left"/>
            </w:pPr>
            <w:r>
              <w:t>Hotels and Resorts</w:t>
            </w:r>
          </w:p>
        </w:tc>
        <w:tc>
          <w:tcPr>
            <w:tcW w:w="156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0A74CC" w14:textId="77777777" w:rsidR="00ED0E85" w:rsidRDefault="00ED0E85" w:rsidP="00ED0E85">
            <w:pPr>
              <w:pStyle w:val="TableDataEntries"/>
            </w:pPr>
            <w:r>
              <w:t>967</w:t>
            </w:r>
          </w:p>
        </w:tc>
        <w:tc>
          <w:tcPr>
            <w:tcW w:w="155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A2F731A" w14:textId="77777777" w:rsidR="00ED0E85" w:rsidRPr="00411B9D" w:rsidRDefault="00ED0E85" w:rsidP="00ED0E85">
            <w:pPr>
              <w:pStyle w:val="TableDataEntries"/>
            </w:pPr>
            <w:r>
              <w:t>98 315</w:t>
            </w:r>
          </w:p>
        </w:tc>
        <w:tc>
          <w:tcPr>
            <w:tcW w:w="19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95F80BD" w14:textId="77777777" w:rsidR="00ED0E85" w:rsidRPr="00411B9D" w:rsidRDefault="00ED0E85" w:rsidP="00ED0E85">
            <w:pPr>
              <w:pStyle w:val="TableDataEntries"/>
            </w:pPr>
            <w:r>
              <w:t>102</w:t>
            </w:r>
          </w:p>
        </w:tc>
      </w:tr>
      <w:tr w:rsidR="00ED0E85" w14:paraId="6F2FE9F1" w14:textId="77777777" w:rsidTr="00ED0E85">
        <w:trPr>
          <w:trHeight w:val="60"/>
        </w:trPr>
        <w:tc>
          <w:tcPr>
            <w:tcW w:w="28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154548" w14:textId="77777777" w:rsidR="00ED0E85" w:rsidRDefault="00ED0E85" w:rsidP="00ED0E85">
            <w:pPr>
              <w:pStyle w:val="TableDataEntries"/>
              <w:jc w:val="left"/>
            </w:pPr>
            <w:r>
              <w:t>Motels, private hotels and guest houses</w:t>
            </w:r>
          </w:p>
        </w:tc>
        <w:tc>
          <w:tcPr>
            <w:tcW w:w="156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C0FB406" w14:textId="77777777" w:rsidR="00ED0E85" w:rsidRPr="00804A10" w:rsidRDefault="00ED0E85" w:rsidP="00ED0E85">
            <w:pPr>
              <w:pStyle w:val="TableDataEntries"/>
            </w:pPr>
            <w:r>
              <w:t>2 404</w:t>
            </w:r>
          </w:p>
        </w:tc>
        <w:tc>
          <w:tcPr>
            <w:tcW w:w="155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17A0DFD" w14:textId="77777777" w:rsidR="00ED0E85" w:rsidRPr="00411B9D" w:rsidRDefault="00ED0E85" w:rsidP="00ED0E85">
            <w:pPr>
              <w:pStyle w:val="TableDataEntries"/>
            </w:pPr>
            <w:r w:rsidRPr="00411B9D">
              <w:t>85 636</w:t>
            </w:r>
          </w:p>
        </w:tc>
        <w:tc>
          <w:tcPr>
            <w:tcW w:w="19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2778B82" w14:textId="77777777" w:rsidR="00ED0E85" w:rsidRPr="00411B9D" w:rsidRDefault="00ED0E85" w:rsidP="00ED0E85">
            <w:pPr>
              <w:pStyle w:val="TableDataEntries"/>
            </w:pPr>
            <w:r>
              <w:t>36</w:t>
            </w:r>
          </w:p>
        </w:tc>
      </w:tr>
      <w:tr w:rsidR="00ED0E85" w14:paraId="7F7F3CFE" w14:textId="77777777" w:rsidTr="00ED0E85">
        <w:trPr>
          <w:trHeight w:val="60"/>
        </w:trPr>
        <w:tc>
          <w:tcPr>
            <w:tcW w:w="283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2EBC29" w14:textId="77777777" w:rsidR="00ED0E85" w:rsidRDefault="00ED0E85" w:rsidP="00ED0E85">
            <w:pPr>
              <w:pStyle w:val="TableDataEntries"/>
              <w:jc w:val="left"/>
            </w:pPr>
            <w:r>
              <w:t>Serviced apartments</w:t>
            </w:r>
          </w:p>
        </w:tc>
        <w:tc>
          <w:tcPr>
            <w:tcW w:w="156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7F5433E" w14:textId="77777777" w:rsidR="00ED0E85" w:rsidRPr="00804A10" w:rsidRDefault="00ED0E85" w:rsidP="00ED0E85">
            <w:pPr>
              <w:pStyle w:val="TableDataEntries"/>
            </w:pPr>
            <w:r>
              <w:t>1 074</w:t>
            </w:r>
          </w:p>
        </w:tc>
        <w:tc>
          <w:tcPr>
            <w:tcW w:w="1557"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7216CE7" w14:textId="77777777" w:rsidR="00ED0E85" w:rsidRPr="00411B9D" w:rsidRDefault="00ED0E85" w:rsidP="00ED0E85">
            <w:pPr>
              <w:pStyle w:val="TableDataEntries"/>
            </w:pPr>
            <w:r w:rsidRPr="00411B9D">
              <w:t>65 180</w:t>
            </w:r>
          </w:p>
        </w:tc>
        <w:tc>
          <w:tcPr>
            <w:tcW w:w="19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85BA96B" w14:textId="77777777" w:rsidR="00ED0E85" w:rsidRPr="00411B9D" w:rsidRDefault="00ED0E85" w:rsidP="00ED0E85">
            <w:pPr>
              <w:pStyle w:val="TableDataEntries"/>
            </w:pPr>
            <w:r>
              <w:t>61</w:t>
            </w:r>
          </w:p>
        </w:tc>
      </w:tr>
      <w:tr w:rsidR="00ED0E85" w:rsidRPr="00E15BBE" w14:paraId="64BBF114" w14:textId="77777777" w:rsidTr="00ED0E85">
        <w:trPr>
          <w:trHeight w:val="60"/>
        </w:trPr>
        <w:tc>
          <w:tcPr>
            <w:tcW w:w="2835"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4F53D548" w14:textId="77777777" w:rsidR="00ED0E85" w:rsidRPr="00E15BBE" w:rsidRDefault="00ED0E85" w:rsidP="00ED0E85">
            <w:pPr>
              <w:pStyle w:val="TableDataEntries"/>
              <w:jc w:val="left"/>
              <w:rPr>
                <w:rFonts w:ascii="Franklin Gothic Demi" w:hAnsi="Franklin Gothic Demi"/>
              </w:rPr>
            </w:pPr>
            <w:r w:rsidRPr="00E15BBE">
              <w:rPr>
                <w:rFonts w:ascii="Franklin Gothic Demi" w:hAnsi="Franklin Gothic Demi"/>
              </w:rPr>
              <w:t>Total</w:t>
            </w:r>
          </w:p>
        </w:tc>
        <w:tc>
          <w:tcPr>
            <w:tcW w:w="1560"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5E2A127B" w14:textId="77777777" w:rsidR="00ED0E85" w:rsidRPr="00E15BBE" w:rsidRDefault="00ED0E85" w:rsidP="00ED0E85">
            <w:pPr>
              <w:pStyle w:val="TableDataEntries"/>
              <w:rPr>
                <w:rFonts w:ascii="Franklin Gothic Demi" w:hAnsi="Franklin Gothic Demi"/>
              </w:rPr>
            </w:pPr>
            <w:r w:rsidRPr="00E15BBE">
              <w:rPr>
                <w:rFonts w:ascii="Franklin Gothic Demi" w:hAnsi="Franklin Gothic Demi"/>
              </w:rPr>
              <w:t>4 445</w:t>
            </w:r>
          </w:p>
        </w:tc>
        <w:tc>
          <w:tcPr>
            <w:tcW w:w="1557"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F13E509" w14:textId="77777777" w:rsidR="00ED0E85" w:rsidRPr="00E15BBE" w:rsidRDefault="00ED0E85" w:rsidP="00ED0E85">
            <w:pPr>
              <w:pStyle w:val="TableDataEntries"/>
              <w:rPr>
                <w:rFonts w:ascii="Franklin Gothic Demi" w:hAnsi="Franklin Gothic Demi"/>
              </w:rPr>
            </w:pPr>
            <w:r w:rsidRPr="00E15BBE">
              <w:rPr>
                <w:rFonts w:ascii="Franklin Gothic Demi" w:hAnsi="Franklin Gothic Demi"/>
              </w:rPr>
              <w:t>249 131</w:t>
            </w:r>
          </w:p>
        </w:tc>
        <w:tc>
          <w:tcPr>
            <w:tcW w:w="1985"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9463069" w14:textId="77777777" w:rsidR="00ED0E85" w:rsidRPr="00E15BBE" w:rsidRDefault="00ED0E85" w:rsidP="00ED0E85">
            <w:pPr>
              <w:pStyle w:val="TableDataEntries"/>
              <w:rPr>
                <w:rFonts w:ascii="Franklin Gothic Demi" w:hAnsi="Franklin Gothic Demi"/>
              </w:rPr>
            </w:pPr>
            <w:r w:rsidRPr="00E15BBE">
              <w:rPr>
                <w:rFonts w:ascii="Franklin Gothic Demi" w:hAnsi="Franklin Gothic Demi"/>
              </w:rPr>
              <w:t>198</w:t>
            </w:r>
          </w:p>
        </w:tc>
      </w:tr>
    </w:tbl>
    <w:p w14:paraId="191C6A4E" w14:textId="77777777" w:rsidR="00ED0E85" w:rsidRDefault="00ED0E85" w:rsidP="00ED0E85">
      <w:pPr>
        <w:pStyle w:val="Source"/>
      </w:pPr>
      <w:r>
        <w:rPr>
          <w:i/>
        </w:rPr>
        <w:t>Source</w:t>
      </w:r>
      <w:r w:rsidRPr="00E4232C">
        <w:rPr>
          <w:i/>
        </w:rPr>
        <w:t>:</w:t>
      </w:r>
      <w:r>
        <w:t xml:space="preserve"> ABS (2016), </w:t>
      </w:r>
      <w:r>
        <w:rPr>
          <w:i/>
          <w:iCs/>
        </w:rPr>
        <w:t xml:space="preserve">Tourist Accommodation, Australia 2015-16, </w:t>
      </w:r>
      <w:r>
        <w:t>Cat. 8635.0, Data Cube: Tourist Accommodation – Australia; accessed 31 July 2019</w:t>
      </w:r>
    </w:p>
    <w:p w14:paraId="7226E43C" w14:textId="77777777" w:rsidR="00ED0E85" w:rsidRDefault="00ED0E85" w:rsidP="00ED0E85">
      <w:pPr>
        <w:pStyle w:val="BodyText"/>
      </w:pPr>
      <w:r>
        <w:t>Note that NABERS energy applies, on our understanding, only to hotels. It does not apply to resorts, motels, serviced apartments, private hotels and guest houses.</w:t>
      </w:r>
    </w:p>
    <w:p w14:paraId="590ED0F3" w14:textId="77777777" w:rsidR="00ED0E85" w:rsidRDefault="00ED0E85" w:rsidP="00ED0E85">
      <w:pPr>
        <w:pStyle w:val="Quote"/>
      </w:pPr>
      <w:r>
        <w:t>A NABERS rating is an environmental benchmark comparison between similar hotels. NABERS Energy and Water for hotels can rate standard, all suite, boutique, conference, gaming/casino, ski and spa hotels from budget through to luxury.</w:t>
      </w:r>
    </w:p>
    <w:p w14:paraId="2872DD8F" w14:textId="77777777" w:rsidR="00ED0E85" w:rsidRDefault="00ED0E85" w:rsidP="00ED0E85">
      <w:pPr>
        <w:pStyle w:val="Quote"/>
      </w:pPr>
      <w:r>
        <w:t>While it may be possible to use the NABERS hotels tool for other hotel types such as resorts, pubs, motels, backpackers (dormitory style rooms) or hotels where more than 50% of rooms are serviced apartments, the resultant rating may not adequately describe the performance of these hotels.</w:t>
      </w:r>
      <w:r w:rsidRPr="0000788F">
        <w:rPr>
          <w:rStyle w:val="FootnoteReference"/>
        </w:rPr>
        <w:t xml:space="preserve"> </w:t>
      </w:r>
      <w:r>
        <w:rPr>
          <w:rStyle w:val="FootnoteReference"/>
        </w:rPr>
        <w:footnoteReference w:id="52"/>
      </w:r>
    </w:p>
    <w:p w14:paraId="59AA8446" w14:textId="77777777" w:rsidR="00ED0E85" w:rsidRDefault="00ED0E85" w:rsidP="00ED0E85">
      <w:pPr>
        <w:pStyle w:val="BodyText"/>
      </w:pPr>
      <w:r>
        <w:t>Hotels are predominantly owned by private companies. Hotel owners may choose to operate the hotel themselves, let out a management contract (typically 3-5 year term), or lease the hotel to a hotel operator (typically 10-15 year lease term). Sale turnover of hotels is very low at around 1 per cent.</w:t>
      </w:r>
      <w:r>
        <w:rPr>
          <w:rStyle w:val="FootnoteReference"/>
        </w:rPr>
        <w:footnoteReference w:id="53"/>
      </w:r>
      <w:r>
        <w:t xml:space="preserve"> Superannuation funds, fund managers and property trusts, especially from overseas, have increasingly purchased hotels and resorts over the past five years.</w:t>
      </w:r>
      <w:r>
        <w:rPr>
          <w:rStyle w:val="FootnoteReference"/>
        </w:rPr>
        <w:footnoteReference w:id="54"/>
      </w:r>
      <w:r>
        <w:t xml:space="preserve"> </w:t>
      </w:r>
    </w:p>
    <w:p w14:paraId="7DA15CA6" w14:textId="77777777" w:rsidR="00ED0E85" w:rsidRDefault="00ED0E85" w:rsidP="00ED0E85">
      <w:pPr>
        <w:pStyle w:val="BodyText"/>
      </w:pPr>
      <w:r>
        <w:t xml:space="preserve">The industry is relatively competitive (in terms of operators and owners). Some of the major operators in Australia are: </w:t>
      </w:r>
    </w:p>
    <w:p w14:paraId="326C49BC" w14:textId="77777777" w:rsidR="00ED0E85" w:rsidRDefault="00ED0E85" w:rsidP="00ED0E85">
      <w:pPr>
        <w:pStyle w:val="ListBullet"/>
      </w:pPr>
      <w:r>
        <w:t>Mantra Group Limited</w:t>
      </w:r>
    </w:p>
    <w:p w14:paraId="7F558DD4" w14:textId="77777777" w:rsidR="00ED0E85" w:rsidRDefault="00ED0E85" w:rsidP="00ED0E85">
      <w:pPr>
        <w:pStyle w:val="ListBullet"/>
      </w:pPr>
      <w:r>
        <w:t>IHG Hotel Management (Australia) Pty Limited</w:t>
      </w:r>
    </w:p>
    <w:p w14:paraId="102F0ABC" w14:textId="77777777" w:rsidR="00ED0E85" w:rsidRDefault="00ED0E85" w:rsidP="00ED0E85">
      <w:pPr>
        <w:pStyle w:val="ListBullet"/>
      </w:pPr>
      <w:r>
        <w:t>Marriott International Inc. (including brands Ritz-Carlton, Renaissance, JW Marriott, Westin and Sheraton)</w:t>
      </w:r>
    </w:p>
    <w:p w14:paraId="77BB8691" w14:textId="77777777" w:rsidR="00ED0E85" w:rsidRDefault="00ED0E85" w:rsidP="00ED0E85">
      <w:pPr>
        <w:pStyle w:val="ListBullet"/>
      </w:pPr>
      <w:r>
        <w:t>Event Hospitality &amp; Entertainment Limited</w:t>
      </w:r>
    </w:p>
    <w:p w14:paraId="70265252" w14:textId="77777777" w:rsidR="00ED0E85" w:rsidRDefault="00ED0E85" w:rsidP="00ED0E85">
      <w:pPr>
        <w:pStyle w:val="ListBullet"/>
      </w:pPr>
      <w:r>
        <w:t xml:space="preserve">Accor (including brands Novotel, Sofitel, ibis and Pullman) </w:t>
      </w:r>
    </w:p>
    <w:p w14:paraId="0931187E" w14:textId="77777777" w:rsidR="00ED0E85" w:rsidRDefault="00ED0E85" w:rsidP="00ED0E85">
      <w:pPr>
        <w:pStyle w:val="ListBullet"/>
      </w:pPr>
      <w:r>
        <w:t>Hilton International Australia Pty Limited (including brands Hilton and DoubleTree)</w:t>
      </w:r>
    </w:p>
    <w:p w14:paraId="3B854143" w14:textId="77777777" w:rsidR="00ED0E85" w:rsidRDefault="00ED0E85" w:rsidP="00ED0E85">
      <w:pPr>
        <w:pStyle w:val="BodyText"/>
      </w:pPr>
      <w:r>
        <w:t xml:space="preserve">IBISWorld notes that the level of concentration of the industry is low (there are no real dominate players in the industry). </w:t>
      </w:r>
    </w:p>
    <w:p w14:paraId="0225769E" w14:textId="77777777" w:rsidR="00ED0E85" w:rsidRDefault="00ED0E85" w:rsidP="00ED0E85">
      <w:pPr>
        <w:pStyle w:val="Heading3"/>
        <w:numPr>
          <w:ilvl w:val="2"/>
          <w:numId w:val="5"/>
        </w:numPr>
      </w:pPr>
      <w:r>
        <w:t>Drivers of energy use in hotels</w:t>
      </w:r>
    </w:p>
    <w:p w14:paraId="7244459D" w14:textId="29158BDC" w:rsidR="00ED0E85" w:rsidRDefault="00ED0E85" w:rsidP="00ED0E85">
      <w:pPr>
        <w:pStyle w:val="BodyText"/>
      </w:pPr>
      <w:bookmarkStart w:id="4998" w:name="_Hlk15642188"/>
      <w:r>
        <w:t xml:space="preserve">The main sources for energy in hotels are electricity and natural gas. The greatest requirement for energy comes from heating, ventilation and cooling (HVAC), and space heating (charts </w:t>
      </w:r>
      <w:r w:rsidR="004550CB">
        <w:rPr>
          <w:noProof/>
        </w:rPr>
        <w:fldChar w:fldCharType="begin"/>
      </w:r>
      <w:r w:rsidR="004550CB">
        <w:rPr>
          <w:noProof/>
        </w:rPr>
        <w:instrText xml:space="preserve"> REF _Caption8125 </w:instrText>
      </w:r>
      <w:r w:rsidR="004550CB">
        <w:rPr>
          <w:noProof/>
        </w:rPr>
        <w:fldChar w:fldCharType="separate"/>
      </w:r>
      <w:r w:rsidR="00AD3561">
        <w:rPr>
          <w:noProof/>
        </w:rPr>
        <w:t>8</w:t>
      </w:r>
      <w:r w:rsidR="00AD3561" w:rsidRPr="00695C93">
        <w:rPr>
          <w:noProof/>
        </w:rPr>
        <w:t>.</w:t>
      </w:r>
      <w:r w:rsidR="00AD3561">
        <w:rPr>
          <w:noProof/>
        </w:rPr>
        <w:t>3</w:t>
      </w:r>
      <w:r w:rsidR="004550CB">
        <w:rPr>
          <w:noProof/>
        </w:rPr>
        <w:fldChar w:fldCharType="end"/>
      </w:r>
      <w:r>
        <w:t xml:space="preserve"> and </w:t>
      </w:r>
      <w:r w:rsidR="004550CB">
        <w:rPr>
          <w:noProof/>
        </w:rPr>
        <w:fldChar w:fldCharType="begin"/>
      </w:r>
      <w:r w:rsidR="004550CB">
        <w:rPr>
          <w:noProof/>
        </w:rPr>
        <w:instrText xml:space="preserve"> REF _Caption5312 </w:instrText>
      </w:r>
      <w:r w:rsidR="004550CB">
        <w:rPr>
          <w:noProof/>
        </w:rPr>
        <w:fldChar w:fldCharType="separate"/>
      </w:r>
      <w:r w:rsidR="00AD3561">
        <w:rPr>
          <w:noProof/>
        </w:rPr>
        <w:t>8</w:t>
      </w:r>
      <w:r w:rsidR="00AD3561" w:rsidRPr="00695C93">
        <w:rPr>
          <w:noProof/>
        </w:rPr>
        <w:t>.</w:t>
      </w:r>
      <w:r w:rsidR="00AD3561">
        <w:rPr>
          <w:noProof/>
        </w:rPr>
        <w:t>4</w:t>
      </w:r>
      <w:r w:rsidR="004550CB">
        <w:rPr>
          <w:noProof/>
        </w:rPr>
        <w:fldChar w:fldCharType="end"/>
      </w:r>
      <w:r>
        <w:t>). Utility costs account for 6.3 per cent of industry revenue for hotels and resorts, which is considerably higher than the average utilities costs of all other sectors (2016-17) of 2.7 per cent.</w:t>
      </w:r>
      <w:r>
        <w:rPr>
          <w:rStyle w:val="FootnoteReference"/>
        </w:rPr>
        <w:footnoteReference w:id="55"/>
      </w:r>
      <w:r>
        <w:t xml:space="preserve"> </w:t>
      </w:r>
    </w:p>
    <w:p w14:paraId="402F9D69" w14:textId="5E2D204A"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w:instrText>
      </w:r>
      <w:r w:rsidRPr="00695C93">
        <w:fldChar w:fldCharType="separate"/>
      </w:r>
      <w:r w:rsidR="00AD3561">
        <w:rPr>
          <w:noProof/>
        </w:rPr>
        <w:instrText>8</w:instrText>
      </w:r>
      <w:r w:rsidR="00AD3561"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rsidRPr="00695C93">
        <w:instrText xml:space="preserve">." </w:instrText>
      </w:r>
      <w:r w:rsidRPr="00695C93">
        <w:fldChar w:fldCharType="separate"/>
      </w:r>
      <w:r w:rsidR="00C353B5">
        <w:rPr>
          <w:noProof/>
        </w:rPr>
        <w:instrText>8</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3</w:instrText>
      </w:r>
      <w:r w:rsidRPr="00695C93">
        <w:fldChar w:fldCharType="end"/>
      </w:r>
      <w:r w:rsidRPr="00695C93">
        <w:instrText xml:space="preserve">" "" </w:instrText>
      </w:r>
      <w:r w:rsidRPr="00695C93">
        <w:fldChar w:fldCharType="separate"/>
      </w:r>
      <w:bookmarkStart w:id="4999" w:name="_Caption1304"/>
      <w:bookmarkStart w:id="5000" w:name="_Caption0724"/>
      <w:bookmarkStart w:id="5001" w:name="_Caption5221"/>
      <w:bookmarkStart w:id="5002" w:name="_Caption2839"/>
      <w:bookmarkStart w:id="5003" w:name="_Caption7764"/>
      <w:bookmarkStart w:id="5004" w:name="_Caption5149"/>
      <w:bookmarkStart w:id="5005" w:name="_Caption1330"/>
      <w:bookmarkStart w:id="5006" w:name="_Caption8520"/>
      <w:bookmarkStart w:id="5007" w:name="_Caption6587"/>
      <w:bookmarkStart w:id="5008" w:name="_Caption9669"/>
      <w:bookmarkStart w:id="5009" w:name="_Caption3253"/>
      <w:bookmarkStart w:id="5010" w:name="_Caption3338"/>
      <w:bookmarkStart w:id="5011" w:name="_Caption4208"/>
      <w:bookmarkStart w:id="5012" w:name="_Caption0073"/>
      <w:bookmarkStart w:id="5013" w:name="_Caption8703"/>
      <w:bookmarkStart w:id="5014" w:name="_Caption4499"/>
      <w:bookmarkStart w:id="5015" w:name="_Caption0035"/>
      <w:bookmarkStart w:id="5016" w:name="_Caption4249"/>
      <w:bookmarkStart w:id="5017" w:name="_Caption6582"/>
      <w:bookmarkStart w:id="5018" w:name="_Caption5877"/>
      <w:bookmarkStart w:id="5019" w:name="_Caption7476"/>
      <w:bookmarkStart w:id="5020" w:name="_Caption0392"/>
      <w:bookmarkStart w:id="5021" w:name="_Caption8428"/>
      <w:bookmarkStart w:id="5022" w:name="_Caption8411"/>
      <w:bookmarkStart w:id="5023" w:name="_Caption0955"/>
      <w:bookmarkStart w:id="5024" w:name="_Caption4036"/>
      <w:bookmarkStart w:id="5025" w:name="_Caption5155"/>
      <w:bookmarkStart w:id="5026" w:name="_Caption4303"/>
      <w:bookmarkStart w:id="5027" w:name="_Caption6294"/>
      <w:bookmarkStart w:id="5028" w:name="_Caption4610"/>
      <w:bookmarkStart w:id="5029" w:name="_Caption8125"/>
      <w:bookmarkStart w:id="5030" w:name="_Caption4285"/>
      <w:bookmarkStart w:id="5031" w:name="_Caption0339"/>
      <w:bookmarkStart w:id="5032" w:name="_Caption7598"/>
      <w:bookmarkStart w:id="5033" w:name="_Caption6793"/>
      <w:bookmarkStart w:id="5034" w:name="_Caption8122"/>
      <w:bookmarkStart w:id="5035" w:name="_Caption6038"/>
      <w:bookmarkStart w:id="5036" w:name="_Caption4161"/>
      <w:bookmarkStart w:id="5037" w:name="_Caption6358"/>
      <w:bookmarkStart w:id="5038" w:name="_Caption1391"/>
      <w:bookmarkStart w:id="5039" w:name="_Caption0629"/>
      <w:bookmarkStart w:id="5040" w:name="_Caption6572"/>
      <w:bookmarkStart w:id="5041" w:name="_Caption8994"/>
      <w:bookmarkStart w:id="5042" w:name="_Caption5124"/>
      <w:bookmarkStart w:id="5043" w:name="_Caption9074"/>
      <w:bookmarkStart w:id="5044" w:name="_Caption1592"/>
      <w:bookmarkStart w:id="5045" w:name="_Caption5563"/>
      <w:bookmarkStart w:id="5046" w:name="_Caption7784"/>
      <w:bookmarkStart w:id="5047" w:name="_Caption3332"/>
      <w:bookmarkStart w:id="5048" w:name="_Caption1493"/>
      <w:bookmarkStart w:id="5049" w:name="_Caption8952"/>
      <w:bookmarkStart w:id="5050" w:name="_Caption3002"/>
      <w:bookmarkStart w:id="5051" w:name="_Caption2041"/>
      <w:bookmarkStart w:id="5052" w:name="_Caption8163"/>
      <w:bookmarkStart w:id="5053" w:name="_Caption9634"/>
      <w:bookmarkStart w:id="5054" w:name="_Caption6297"/>
      <w:bookmarkStart w:id="5055" w:name="_Caption8852"/>
      <w:bookmarkStart w:id="5056" w:name="_Toc15902867"/>
      <w:bookmarkStart w:id="5057" w:name="_Toc19275627"/>
      <w:bookmarkStart w:id="5058" w:name="_Toc19276237"/>
      <w:bookmarkStart w:id="5059" w:name="_Toc19280236"/>
      <w:r w:rsidR="00C353B5">
        <w:rPr>
          <w:noProof/>
        </w:rPr>
        <w:t>8</w:t>
      </w:r>
      <w:r w:rsidR="00C353B5" w:rsidRPr="00695C93">
        <w:rPr>
          <w:noProof/>
        </w:rPr>
        <w:t>.</w:t>
      </w:r>
      <w:r w:rsidR="00C353B5">
        <w:rPr>
          <w:noProof/>
        </w:rPr>
        <w:t>3</w:t>
      </w:r>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r w:rsidRPr="00695C93">
        <w:fldChar w:fldCharType="end"/>
      </w:r>
      <w:r w:rsidRPr="00695C93">
        <w:tab/>
      </w:r>
      <w:r>
        <w:t>Average allocation of electricity consumption in hotels</w:t>
      </w:r>
      <w:bookmarkEnd w:id="5056"/>
      <w:bookmarkEnd w:id="5057"/>
      <w:bookmarkEnd w:id="5058"/>
      <w:bookmarkEnd w:id="5059"/>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618B0064" w14:textId="77777777" w:rsidTr="00ED0E85">
        <w:trPr>
          <w:cantSplit/>
        </w:trPr>
        <w:tc>
          <w:tcPr>
            <w:tcW w:w="7938" w:type="dxa"/>
            <w:shd w:val="clear" w:color="auto" w:fill="E9E8E5" w:themeFill="background2"/>
          </w:tcPr>
          <w:p w14:paraId="7DB69BFC" w14:textId="77777777" w:rsidR="00ED0E85" w:rsidRDefault="00ED0E85" w:rsidP="00ED0E85">
            <w:pPr>
              <w:pStyle w:val="Chart"/>
              <w:jc w:val="center"/>
            </w:pPr>
            <w:r w:rsidRPr="00843850">
              <w:rPr>
                <w:noProof/>
                <w:lang w:eastAsia="en-AU"/>
              </w:rPr>
              <w:drawing>
                <wp:inline distT="0" distB="0" distL="0" distR="0" wp14:anchorId="4A89356D" wp14:editId="0CD3833F">
                  <wp:extent cx="4752621" cy="216275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4">
                            <a:extLst>
                              <a:ext uri="{28A0092B-C50C-407E-A947-70E740481C1C}">
                                <a14:useLocalDpi xmlns:a14="http://schemas.microsoft.com/office/drawing/2010/main" val="0"/>
                              </a:ext>
                            </a:extLst>
                          </a:blip>
                          <a:srcRect t="3504" r="5133" b="9824"/>
                          <a:stretch/>
                        </pic:blipFill>
                        <pic:spPr bwMode="auto">
                          <a:xfrm>
                            <a:off x="0" y="0"/>
                            <a:ext cx="4752975" cy="216291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C9AE142" w14:textId="77777777" w:rsidR="00ED0E85" w:rsidRPr="00843850" w:rsidRDefault="00ED0E85" w:rsidP="00ED0E85">
      <w:pPr>
        <w:pStyle w:val="Source"/>
        <w:rPr>
          <w:i/>
          <w:iCs/>
        </w:rPr>
      </w:pPr>
      <w:r>
        <w:rPr>
          <w:i/>
        </w:rPr>
        <w:t>Data source</w:t>
      </w:r>
      <w:r w:rsidRPr="00A67576">
        <w:rPr>
          <w:i/>
        </w:rPr>
        <w:t>:</w:t>
      </w:r>
      <w:r>
        <w:t xml:space="preserve"> Pitt &amp; Sherry, cited in COAG National Strategy on Energy Efficiency (2012), </w:t>
      </w:r>
      <w:r>
        <w:rPr>
          <w:i/>
          <w:iCs/>
        </w:rPr>
        <w:t xml:space="preserve">Baseline Energy Consumption and Greenhouse Gas Emissions In Commercial Buildings in Australia, </w:t>
      </w:r>
      <w:r>
        <w:t>p 57.</w:t>
      </w:r>
      <w:r>
        <w:rPr>
          <w:i/>
          <w:iCs/>
        </w:rPr>
        <w:t xml:space="preserve"> </w:t>
      </w:r>
    </w:p>
    <w:p w14:paraId="4CC06E27" w14:textId="393CF9F7"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w:instrText>
      </w:r>
      <w:r w:rsidRPr="00695C93">
        <w:fldChar w:fldCharType="separate"/>
      </w:r>
      <w:r w:rsidR="00AD3561">
        <w:rPr>
          <w:noProof/>
        </w:rPr>
        <w:instrText>8</w:instrText>
      </w:r>
      <w:r w:rsidR="00AD3561"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rsidRPr="00695C93">
        <w:instrText xml:space="preserve">." </w:instrText>
      </w:r>
      <w:r w:rsidRPr="00695C93">
        <w:fldChar w:fldCharType="separate"/>
      </w:r>
      <w:r w:rsidR="00C353B5">
        <w:rPr>
          <w:noProof/>
        </w:rPr>
        <w:instrText>8</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4</w:instrText>
      </w:r>
      <w:r w:rsidRPr="00695C93">
        <w:fldChar w:fldCharType="end"/>
      </w:r>
      <w:r w:rsidRPr="00695C93">
        <w:instrText xml:space="preserve">" "" </w:instrText>
      </w:r>
      <w:r w:rsidRPr="00695C93">
        <w:fldChar w:fldCharType="separate"/>
      </w:r>
      <w:bookmarkStart w:id="5060" w:name="_Caption2840"/>
      <w:bookmarkStart w:id="5061" w:name="_Caption9534"/>
      <w:bookmarkStart w:id="5062" w:name="_Caption4754"/>
      <w:bookmarkStart w:id="5063" w:name="_Caption8326"/>
      <w:bookmarkStart w:id="5064" w:name="_Caption0821"/>
      <w:bookmarkStart w:id="5065" w:name="_Caption2681"/>
      <w:bookmarkStart w:id="5066" w:name="_Caption3746"/>
      <w:bookmarkStart w:id="5067" w:name="_Caption1364"/>
      <w:bookmarkStart w:id="5068" w:name="_Caption7975"/>
      <w:bookmarkStart w:id="5069" w:name="_Caption1658"/>
      <w:bookmarkStart w:id="5070" w:name="_Caption5069"/>
      <w:bookmarkStart w:id="5071" w:name="_Caption9599"/>
      <w:bookmarkStart w:id="5072" w:name="_Caption4034"/>
      <w:bookmarkStart w:id="5073" w:name="_Caption9112"/>
      <w:bookmarkStart w:id="5074" w:name="_Caption8833"/>
      <w:bookmarkStart w:id="5075" w:name="_Caption8252"/>
      <w:bookmarkStart w:id="5076" w:name="_Caption2532"/>
      <w:bookmarkStart w:id="5077" w:name="_Caption2875"/>
      <w:bookmarkStart w:id="5078" w:name="_Caption1989"/>
      <w:bookmarkStart w:id="5079" w:name="_Caption6757"/>
      <w:bookmarkStart w:id="5080" w:name="_Caption2109"/>
      <w:bookmarkStart w:id="5081" w:name="_Caption6185"/>
      <w:bookmarkStart w:id="5082" w:name="_Caption9989"/>
      <w:bookmarkStart w:id="5083" w:name="_Caption3391"/>
      <w:bookmarkStart w:id="5084" w:name="_Caption9099"/>
      <w:bookmarkStart w:id="5085" w:name="_Caption5322"/>
      <w:bookmarkStart w:id="5086" w:name="_Caption6250"/>
      <w:bookmarkStart w:id="5087" w:name="_Caption4090"/>
      <w:bookmarkStart w:id="5088" w:name="_Caption6079"/>
      <w:bookmarkStart w:id="5089" w:name="_Caption8069"/>
      <w:bookmarkStart w:id="5090" w:name="_Caption9951"/>
      <w:bookmarkStart w:id="5091" w:name="_Caption5312"/>
      <w:bookmarkStart w:id="5092" w:name="_Caption5766"/>
      <w:bookmarkStart w:id="5093" w:name="_Caption4490"/>
      <w:bookmarkStart w:id="5094" w:name="_Caption6770"/>
      <w:bookmarkStart w:id="5095" w:name="_Caption0583"/>
      <w:bookmarkStart w:id="5096" w:name="_Caption9656"/>
      <w:bookmarkStart w:id="5097" w:name="_Caption9140"/>
      <w:bookmarkStart w:id="5098" w:name="_Caption5931"/>
      <w:bookmarkStart w:id="5099" w:name="_Caption2606"/>
      <w:bookmarkStart w:id="5100" w:name="_Caption3193"/>
      <w:bookmarkStart w:id="5101" w:name="_Caption0270"/>
      <w:bookmarkStart w:id="5102" w:name="_Caption9819"/>
      <w:bookmarkStart w:id="5103" w:name="_Caption8075"/>
      <w:bookmarkStart w:id="5104" w:name="_Caption1586"/>
      <w:bookmarkStart w:id="5105" w:name="_Caption3154"/>
      <w:bookmarkStart w:id="5106" w:name="_Caption8234"/>
      <w:bookmarkStart w:id="5107" w:name="_Caption6311"/>
      <w:bookmarkStart w:id="5108" w:name="_Caption7391"/>
      <w:bookmarkStart w:id="5109" w:name="_Caption6900"/>
      <w:bookmarkStart w:id="5110" w:name="_Caption0127"/>
      <w:bookmarkStart w:id="5111" w:name="_Caption7647"/>
      <w:bookmarkStart w:id="5112" w:name="_Caption9331"/>
      <w:bookmarkStart w:id="5113" w:name="_Caption7762"/>
      <w:bookmarkStart w:id="5114" w:name="_Caption6043"/>
      <w:bookmarkStart w:id="5115" w:name="_Caption6817"/>
      <w:bookmarkStart w:id="5116" w:name="_Caption5460"/>
      <w:bookmarkStart w:id="5117" w:name="_Toc15902868"/>
      <w:bookmarkStart w:id="5118" w:name="_Toc19275628"/>
      <w:bookmarkStart w:id="5119" w:name="_Toc19276238"/>
      <w:bookmarkStart w:id="5120" w:name="_Toc19280237"/>
      <w:r w:rsidR="00C353B5">
        <w:rPr>
          <w:noProof/>
        </w:rPr>
        <w:t>8</w:t>
      </w:r>
      <w:r w:rsidR="00C353B5" w:rsidRPr="00695C93">
        <w:rPr>
          <w:noProof/>
        </w:rPr>
        <w:t>.</w:t>
      </w:r>
      <w:r w:rsidR="00C353B5">
        <w:rPr>
          <w:noProof/>
        </w:rPr>
        <w:t>4</w:t>
      </w:r>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r w:rsidRPr="00695C93">
        <w:fldChar w:fldCharType="end"/>
      </w:r>
      <w:r w:rsidRPr="00695C93">
        <w:tab/>
      </w:r>
      <w:r>
        <w:t>Average allocation of gas consumption in hotels</w:t>
      </w:r>
      <w:bookmarkEnd w:id="5117"/>
      <w:bookmarkEnd w:id="5118"/>
      <w:bookmarkEnd w:id="5119"/>
      <w:bookmarkEnd w:id="5120"/>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1E146074" w14:textId="77777777" w:rsidTr="00ED0E85">
        <w:trPr>
          <w:cantSplit/>
        </w:trPr>
        <w:tc>
          <w:tcPr>
            <w:tcW w:w="7938" w:type="dxa"/>
            <w:shd w:val="clear" w:color="auto" w:fill="E9E8E5" w:themeFill="background2"/>
          </w:tcPr>
          <w:p w14:paraId="0D4EAB75" w14:textId="77777777" w:rsidR="00ED0E85" w:rsidRDefault="00ED0E85" w:rsidP="00ED0E85">
            <w:pPr>
              <w:pStyle w:val="Chart"/>
            </w:pPr>
            <w:r w:rsidRPr="00843850">
              <w:rPr>
                <w:noProof/>
                <w:lang w:eastAsia="en-AU"/>
              </w:rPr>
              <w:drawing>
                <wp:inline distT="0" distB="0" distL="0" distR="0" wp14:anchorId="295EC9E6" wp14:editId="3474575E">
                  <wp:extent cx="5009645" cy="21309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5">
                            <a:extLst>
                              <a:ext uri="{28A0092B-C50C-407E-A947-70E740481C1C}">
                                <a14:useLocalDpi xmlns:a14="http://schemas.microsoft.com/office/drawing/2010/main" val="0"/>
                              </a:ext>
                            </a:extLst>
                          </a:blip>
                          <a:srcRect t="12152" b="2448"/>
                          <a:stretch/>
                        </pic:blipFill>
                        <pic:spPr bwMode="auto">
                          <a:xfrm>
                            <a:off x="0" y="0"/>
                            <a:ext cx="5010150" cy="21311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EC4F76B" w14:textId="77777777" w:rsidR="00ED0E85" w:rsidRDefault="00ED0E85" w:rsidP="00ED0E85">
      <w:pPr>
        <w:pStyle w:val="Source"/>
      </w:pPr>
      <w:r>
        <w:rPr>
          <w:i/>
        </w:rPr>
        <w:t>Data source</w:t>
      </w:r>
      <w:r w:rsidRPr="00A67576">
        <w:rPr>
          <w:i/>
        </w:rPr>
        <w:t>:</w:t>
      </w:r>
      <w:r>
        <w:t xml:space="preserve"> Pitt &amp; Sherry, cited in COAG National Strategy on Energy Efficiency (2012), </w:t>
      </w:r>
      <w:r>
        <w:rPr>
          <w:i/>
          <w:iCs/>
        </w:rPr>
        <w:t xml:space="preserve">Baseline Energy Consumption and Greenhouse Gas Emissions In Commercial Buildings in Australia, </w:t>
      </w:r>
      <w:r>
        <w:t xml:space="preserve">p 57. </w:t>
      </w:r>
    </w:p>
    <w:p w14:paraId="35547CF8" w14:textId="02AFB5B1" w:rsidR="00ED0E85" w:rsidRDefault="00ED0E85" w:rsidP="00ED0E85">
      <w:pPr>
        <w:pStyle w:val="BodyText"/>
      </w:pPr>
      <w:r>
        <w:t>Using NABERS energy data on electricity and gas use, we have constructed approximate costs of energy per room. A zero NABERS energy star rated hotel would have a cost of over $6000 per room, compared to less than $2000 for a 3 star NABERS energy rated hotel (table </w:t>
      </w:r>
      <w:r>
        <w:rPr>
          <w:noProof/>
        </w:rPr>
        <w:fldChar w:fldCharType="begin"/>
      </w:r>
      <w:r>
        <w:rPr>
          <w:noProof/>
        </w:rPr>
        <w:instrText xml:space="preserve"> REF _Caption4643 </w:instrText>
      </w:r>
      <w:r>
        <w:rPr>
          <w:noProof/>
        </w:rPr>
        <w:fldChar w:fldCharType="separate"/>
      </w:r>
      <w:r w:rsidR="00AD3561">
        <w:rPr>
          <w:noProof/>
        </w:rPr>
        <w:t>8</w:t>
      </w:r>
      <w:r w:rsidR="00AD3561" w:rsidRPr="00695C93">
        <w:rPr>
          <w:noProof/>
        </w:rPr>
        <w:t>.</w:t>
      </w:r>
      <w:r w:rsidR="00AD3561">
        <w:rPr>
          <w:noProof/>
        </w:rPr>
        <w:t>5</w:t>
      </w:r>
      <w:r>
        <w:rPr>
          <w:noProof/>
        </w:rPr>
        <w:fldChar w:fldCharType="end"/>
      </w:r>
      <w:r>
        <w:t>).</w:t>
      </w:r>
    </w:p>
    <w:p w14:paraId="054AF94F" w14:textId="5D689C02"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w:instrText>
      </w:r>
      <w:r w:rsidRPr="00695C93">
        <w:fldChar w:fldCharType="separate"/>
      </w:r>
      <w:r w:rsidR="00AD3561">
        <w:rPr>
          <w:noProof/>
        </w:rPr>
        <w:instrText>8</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8</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5</w:instrText>
      </w:r>
      <w:r w:rsidRPr="00695C93">
        <w:fldChar w:fldCharType="end"/>
      </w:r>
      <w:r w:rsidRPr="00695C93">
        <w:instrText xml:space="preserve">" "" </w:instrText>
      </w:r>
      <w:r w:rsidRPr="00695C93">
        <w:fldChar w:fldCharType="separate"/>
      </w:r>
      <w:bookmarkStart w:id="5121" w:name="_Caption1238"/>
      <w:bookmarkStart w:id="5122" w:name="_Caption0499"/>
      <w:bookmarkStart w:id="5123" w:name="_Caption0842"/>
      <w:bookmarkStart w:id="5124" w:name="_Caption1863"/>
      <w:bookmarkStart w:id="5125" w:name="_Caption5388"/>
      <w:bookmarkStart w:id="5126" w:name="_Caption6806"/>
      <w:bookmarkStart w:id="5127" w:name="_Caption6907"/>
      <w:bookmarkStart w:id="5128" w:name="_Caption4440"/>
      <w:bookmarkStart w:id="5129" w:name="_Caption6307"/>
      <w:bookmarkStart w:id="5130" w:name="_Caption5691"/>
      <w:bookmarkStart w:id="5131" w:name="_Caption2277"/>
      <w:bookmarkStart w:id="5132" w:name="_Caption0133"/>
      <w:bookmarkStart w:id="5133" w:name="_Caption7478"/>
      <w:bookmarkStart w:id="5134" w:name="_Caption5292"/>
      <w:bookmarkStart w:id="5135" w:name="_Caption2806"/>
      <w:bookmarkStart w:id="5136" w:name="_Caption9133"/>
      <w:bookmarkStart w:id="5137" w:name="_Caption2385"/>
      <w:bookmarkStart w:id="5138" w:name="_Caption6746"/>
      <w:bookmarkStart w:id="5139" w:name="_Caption3736"/>
      <w:bookmarkStart w:id="5140" w:name="_Caption1297"/>
      <w:bookmarkStart w:id="5141" w:name="_Caption2274"/>
      <w:bookmarkStart w:id="5142" w:name="_Caption6292"/>
      <w:bookmarkStart w:id="5143" w:name="_Caption5783"/>
      <w:bookmarkStart w:id="5144" w:name="_Caption8452"/>
      <w:bookmarkStart w:id="5145" w:name="_Caption7324"/>
      <w:bookmarkStart w:id="5146" w:name="_Caption5039"/>
      <w:bookmarkStart w:id="5147" w:name="_Caption8666"/>
      <w:bookmarkStart w:id="5148" w:name="_Caption6650"/>
      <w:bookmarkStart w:id="5149" w:name="_Caption5051"/>
      <w:bookmarkStart w:id="5150" w:name="_Caption1207"/>
      <w:bookmarkStart w:id="5151" w:name="_Caption4201"/>
      <w:bookmarkStart w:id="5152" w:name="_Caption2701"/>
      <w:bookmarkStart w:id="5153" w:name="_Caption3181"/>
      <w:bookmarkStart w:id="5154" w:name="_Caption7803"/>
      <w:bookmarkStart w:id="5155" w:name="_Caption1832"/>
      <w:bookmarkStart w:id="5156" w:name="_Caption8991"/>
      <w:bookmarkStart w:id="5157" w:name="_Caption1438"/>
      <w:bookmarkStart w:id="5158" w:name="_Caption7713"/>
      <w:bookmarkStart w:id="5159" w:name="_Caption6399"/>
      <w:bookmarkStart w:id="5160" w:name="_Caption7534"/>
      <w:bookmarkStart w:id="5161" w:name="_Caption4643"/>
      <w:bookmarkStart w:id="5162" w:name="_Caption9126"/>
      <w:bookmarkStart w:id="5163" w:name="_Caption3364"/>
      <w:bookmarkStart w:id="5164" w:name="_Caption4827"/>
      <w:bookmarkStart w:id="5165" w:name="_Caption0572"/>
      <w:bookmarkStart w:id="5166" w:name="_Caption5471"/>
      <w:bookmarkStart w:id="5167" w:name="_Caption2075"/>
      <w:bookmarkStart w:id="5168" w:name="_Caption6923"/>
      <w:bookmarkStart w:id="5169" w:name="_Caption1369"/>
      <w:bookmarkStart w:id="5170" w:name="_Caption3283"/>
      <w:bookmarkStart w:id="5171" w:name="_Toc19275629"/>
      <w:bookmarkStart w:id="5172" w:name="_Toc19276239"/>
      <w:bookmarkStart w:id="5173" w:name="_Toc19280238"/>
      <w:r w:rsidR="00C353B5">
        <w:rPr>
          <w:noProof/>
        </w:rPr>
        <w:t>8</w:t>
      </w:r>
      <w:r w:rsidR="00C353B5" w:rsidRPr="00695C93">
        <w:rPr>
          <w:noProof/>
        </w:rPr>
        <w:t>.</w:t>
      </w:r>
      <w:r w:rsidR="00C353B5">
        <w:rPr>
          <w:noProof/>
        </w:rPr>
        <w:t>5</w:t>
      </w:r>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r w:rsidRPr="00695C93">
        <w:fldChar w:fldCharType="end"/>
      </w:r>
      <w:r w:rsidRPr="00695C93">
        <w:tab/>
      </w:r>
      <w:r>
        <w:t>Cost of energy for hotels</w:t>
      </w:r>
      <w:bookmarkEnd w:id="5171"/>
      <w:bookmarkEnd w:id="5172"/>
      <w:bookmarkEnd w:id="5173"/>
    </w:p>
    <w:tbl>
      <w:tblPr>
        <w:tblW w:w="7937" w:type="dxa"/>
        <w:tblLook w:val="04A0" w:firstRow="1" w:lastRow="0" w:firstColumn="1" w:lastColumn="0" w:noHBand="0" w:noVBand="1"/>
      </w:tblPr>
      <w:tblGrid>
        <w:gridCol w:w="5616"/>
        <w:gridCol w:w="2321"/>
      </w:tblGrid>
      <w:tr w:rsidR="00ED0E85" w:rsidRPr="008D7F8D" w14:paraId="070DA609" w14:textId="77777777" w:rsidTr="00ED0E85">
        <w:trPr>
          <w:trHeight w:val="250"/>
          <w:tblHeader/>
        </w:trPr>
        <w:tc>
          <w:tcPr>
            <w:tcW w:w="5616" w:type="dxa"/>
            <w:shd w:val="clear" w:color="auto" w:fill="6F6652"/>
            <w:noWrap/>
            <w:tcMar>
              <w:left w:w="57" w:type="dxa"/>
              <w:right w:w="57" w:type="dxa"/>
            </w:tcMar>
            <w:hideMark/>
          </w:tcPr>
          <w:p w14:paraId="284AFC8E" w14:textId="77777777" w:rsidR="00ED0E85" w:rsidRPr="008D7F8D" w:rsidRDefault="00ED0E85" w:rsidP="00ED0E85">
            <w:pPr>
              <w:pStyle w:val="TableDataColumnHeading"/>
              <w:jc w:val="left"/>
            </w:pPr>
            <w:r>
              <w:t>NABERS energy rating</w:t>
            </w:r>
          </w:p>
        </w:tc>
        <w:tc>
          <w:tcPr>
            <w:tcW w:w="2321" w:type="dxa"/>
            <w:shd w:val="clear" w:color="auto" w:fill="6F6652"/>
            <w:noWrap/>
            <w:tcMar>
              <w:left w:w="57" w:type="dxa"/>
              <w:right w:w="57" w:type="dxa"/>
            </w:tcMar>
            <w:hideMark/>
          </w:tcPr>
          <w:p w14:paraId="5FC7978B" w14:textId="77777777" w:rsidR="00ED0E85" w:rsidRPr="008D7F8D" w:rsidRDefault="00ED0E85" w:rsidP="00ED0E85">
            <w:pPr>
              <w:pStyle w:val="TableDataColumnHeading"/>
            </w:pPr>
            <w:r>
              <w:t>Energy cost per room</w:t>
            </w:r>
          </w:p>
        </w:tc>
      </w:tr>
      <w:tr w:rsidR="00ED0E85" w:rsidRPr="008D7F8D" w14:paraId="35CA17F1" w14:textId="77777777" w:rsidTr="00ED0E85">
        <w:trPr>
          <w:trHeight w:val="250"/>
          <w:tblHeader/>
        </w:trPr>
        <w:tc>
          <w:tcPr>
            <w:tcW w:w="5616" w:type="dxa"/>
            <w:tcBorders>
              <w:bottom w:val="single" w:sz="8" w:space="0" w:color="FFFFFF" w:themeColor="background1"/>
            </w:tcBorders>
            <w:shd w:val="clear" w:color="auto" w:fill="auto"/>
            <w:noWrap/>
            <w:tcMar>
              <w:left w:w="57" w:type="dxa"/>
              <w:right w:w="57" w:type="dxa"/>
            </w:tcMar>
          </w:tcPr>
          <w:p w14:paraId="31A76862" w14:textId="77777777" w:rsidR="00ED0E85" w:rsidRPr="008D7F8D" w:rsidRDefault="00ED0E85" w:rsidP="00ED0E85">
            <w:pPr>
              <w:pStyle w:val="TableUnit"/>
              <w:jc w:val="left"/>
            </w:pPr>
          </w:p>
        </w:tc>
        <w:tc>
          <w:tcPr>
            <w:tcW w:w="2321" w:type="dxa"/>
            <w:tcBorders>
              <w:bottom w:val="single" w:sz="8" w:space="0" w:color="FFFFFF" w:themeColor="background1"/>
            </w:tcBorders>
            <w:shd w:val="clear" w:color="auto" w:fill="auto"/>
            <w:noWrap/>
            <w:tcMar>
              <w:left w:w="57" w:type="dxa"/>
              <w:right w:w="57" w:type="dxa"/>
            </w:tcMar>
          </w:tcPr>
          <w:p w14:paraId="7E5C4B85" w14:textId="77777777" w:rsidR="00ED0E85" w:rsidRPr="008D7F8D" w:rsidRDefault="00ED0E85" w:rsidP="00ED0E85">
            <w:pPr>
              <w:pStyle w:val="TableUnit"/>
            </w:pPr>
            <w:r>
              <w:t>$/room</w:t>
            </w:r>
          </w:p>
        </w:tc>
      </w:tr>
      <w:tr w:rsidR="00ED0E85" w:rsidRPr="008D7F8D" w14:paraId="4FBB36B1" w14:textId="77777777" w:rsidTr="00ED0E85">
        <w:trPr>
          <w:trHeight w:val="250"/>
        </w:trPr>
        <w:tc>
          <w:tcPr>
            <w:tcW w:w="56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053E50" w14:textId="77777777" w:rsidR="00ED0E85" w:rsidRPr="008D7F8D" w:rsidRDefault="00ED0E85" w:rsidP="00ED0E85">
            <w:pPr>
              <w:pStyle w:val="TableDataEntries"/>
              <w:jc w:val="left"/>
            </w:pPr>
            <w:r w:rsidRPr="008D7F8D">
              <w:t>0.0</w:t>
            </w:r>
          </w:p>
        </w:tc>
        <w:tc>
          <w:tcPr>
            <w:tcW w:w="23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343AA9" w14:textId="77777777" w:rsidR="00ED0E85" w:rsidRPr="008D7F8D" w:rsidRDefault="00ED0E85" w:rsidP="00ED0E85">
            <w:pPr>
              <w:pStyle w:val="TableDataEntries"/>
            </w:pPr>
            <w:r w:rsidRPr="008D7F8D">
              <w:t xml:space="preserve">                  6</w:t>
            </w:r>
            <w:r>
              <w:t xml:space="preserve"> </w:t>
            </w:r>
            <w:r w:rsidRPr="008D7F8D">
              <w:t xml:space="preserve">293 </w:t>
            </w:r>
          </w:p>
        </w:tc>
      </w:tr>
      <w:tr w:rsidR="00ED0E85" w:rsidRPr="008D7F8D" w14:paraId="24B4A0A9" w14:textId="77777777" w:rsidTr="00ED0E85">
        <w:trPr>
          <w:trHeight w:val="250"/>
        </w:trPr>
        <w:tc>
          <w:tcPr>
            <w:tcW w:w="56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2E0136" w14:textId="77777777" w:rsidR="00ED0E85" w:rsidRPr="008D7F8D" w:rsidRDefault="00ED0E85" w:rsidP="00ED0E85">
            <w:pPr>
              <w:pStyle w:val="TableDataEntries"/>
              <w:jc w:val="left"/>
            </w:pPr>
            <w:r w:rsidRPr="008D7F8D">
              <w:t>0.5</w:t>
            </w:r>
          </w:p>
        </w:tc>
        <w:tc>
          <w:tcPr>
            <w:tcW w:w="23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F15772" w14:textId="77777777" w:rsidR="00ED0E85" w:rsidRPr="008D7F8D" w:rsidRDefault="00ED0E85" w:rsidP="00ED0E85">
            <w:pPr>
              <w:pStyle w:val="TableDataEntries"/>
            </w:pPr>
            <w:r w:rsidRPr="008D7F8D">
              <w:t xml:space="preserve">                  5</w:t>
            </w:r>
            <w:r>
              <w:t xml:space="preserve"> </w:t>
            </w:r>
            <w:r w:rsidRPr="008D7F8D">
              <w:t xml:space="preserve">125 </w:t>
            </w:r>
          </w:p>
        </w:tc>
      </w:tr>
      <w:tr w:rsidR="00ED0E85" w:rsidRPr="008D7F8D" w14:paraId="4FF83747" w14:textId="77777777" w:rsidTr="00ED0E85">
        <w:trPr>
          <w:trHeight w:val="250"/>
        </w:trPr>
        <w:tc>
          <w:tcPr>
            <w:tcW w:w="56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842AC4" w14:textId="77777777" w:rsidR="00ED0E85" w:rsidRPr="008D7F8D" w:rsidRDefault="00ED0E85" w:rsidP="00ED0E85">
            <w:pPr>
              <w:pStyle w:val="TableDataEntries"/>
              <w:jc w:val="left"/>
            </w:pPr>
            <w:r w:rsidRPr="008D7F8D">
              <w:t>1.0</w:t>
            </w:r>
          </w:p>
        </w:tc>
        <w:tc>
          <w:tcPr>
            <w:tcW w:w="23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6983F6" w14:textId="77777777" w:rsidR="00ED0E85" w:rsidRPr="008D7F8D" w:rsidRDefault="00ED0E85" w:rsidP="00ED0E85">
            <w:pPr>
              <w:pStyle w:val="TableDataEntries"/>
            </w:pPr>
            <w:r w:rsidRPr="008D7F8D">
              <w:t xml:space="preserve">                  4</w:t>
            </w:r>
            <w:r>
              <w:t xml:space="preserve"> </w:t>
            </w:r>
            <w:r w:rsidRPr="008D7F8D">
              <w:t xml:space="preserve">174 </w:t>
            </w:r>
          </w:p>
        </w:tc>
      </w:tr>
      <w:tr w:rsidR="00ED0E85" w:rsidRPr="008D7F8D" w14:paraId="63974C97" w14:textId="77777777" w:rsidTr="00ED0E85">
        <w:trPr>
          <w:trHeight w:val="250"/>
        </w:trPr>
        <w:tc>
          <w:tcPr>
            <w:tcW w:w="56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6D8081" w14:textId="77777777" w:rsidR="00ED0E85" w:rsidRPr="008D7F8D" w:rsidRDefault="00ED0E85" w:rsidP="00ED0E85">
            <w:pPr>
              <w:pStyle w:val="TableDataEntries"/>
              <w:jc w:val="left"/>
            </w:pPr>
            <w:r w:rsidRPr="008D7F8D">
              <w:t>1.5</w:t>
            </w:r>
          </w:p>
        </w:tc>
        <w:tc>
          <w:tcPr>
            <w:tcW w:w="23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3E782F3" w14:textId="77777777" w:rsidR="00ED0E85" w:rsidRPr="008D7F8D" w:rsidRDefault="00ED0E85" w:rsidP="00ED0E85">
            <w:pPr>
              <w:pStyle w:val="TableDataEntries"/>
            </w:pPr>
            <w:r w:rsidRPr="008D7F8D">
              <w:t xml:space="preserve">                  3</w:t>
            </w:r>
            <w:r>
              <w:t xml:space="preserve"> </w:t>
            </w:r>
            <w:r w:rsidRPr="008D7F8D">
              <w:t xml:space="preserve">399 </w:t>
            </w:r>
          </w:p>
        </w:tc>
      </w:tr>
      <w:tr w:rsidR="00ED0E85" w:rsidRPr="008D7F8D" w14:paraId="11AE09B8" w14:textId="77777777" w:rsidTr="00ED0E85">
        <w:trPr>
          <w:trHeight w:val="250"/>
        </w:trPr>
        <w:tc>
          <w:tcPr>
            <w:tcW w:w="56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62178D" w14:textId="77777777" w:rsidR="00ED0E85" w:rsidRPr="008D7F8D" w:rsidRDefault="00ED0E85" w:rsidP="00ED0E85">
            <w:pPr>
              <w:pStyle w:val="TableDataEntries"/>
              <w:jc w:val="left"/>
            </w:pPr>
            <w:r w:rsidRPr="008D7F8D">
              <w:t>2.0</w:t>
            </w:r>
          </w:p>
        </w:tc>
        <w:tc>
          <w:tcPr>
            <w:tcW w:w="23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2E5CE1" w14:textId="77777777" w:rsidR="00ED0E85" w:rsidRPr="008D7F8D" w:rsidRDefault="00ED0E85" w:rsidP="00ED0E85">
            <w:pPr>
              <w:pStyle w:val="TableDataEntries"/>
            </w:pPr>
            <w:r w:rsidRPr="008D7F8D">
              <w:t xml:space="preserve">                  2</w:t>
            </w:r>
            <w:r>
              <w:t xml:space="preserve"> </w:t>
            </w:r>
            <w:r w:rsidRPr="008D7F8D">
              <w:t xml:space="preserve">768 </w:t>
            </w:r>
          </w:p>
        </w:tc>
      </w:tr>
      <w:tr w:rsidR="00ED0E85" w:rsidRPr="008D7F8D" w14:paraId="23F59057" w14:textId="77777777" w:rsidTr="00ED0E85">
        <w:trPr>
          <w:trHeight w:val="250"/>
        </w:trPr>
        <w:tc>
          <w:tcPr>
            <w:tcW w:w="56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B7937C" w14:textId="77777777" w:rsidR="00ED0E85" w:rsidRPr="008D7F8D" w:rsidRDefault="00ED0E85" w:rsidP="00ED0E85">
            <w:pPr>
              <w:pStyle w:val="TableDataEntries"/>
              <w:jc w:val="left"/>
            </w:pPr>
            <w:r w:rsidRPr="008D7F8D">
              <w:t>2.5</w:t>
            </w:r>
          </w:p>
        </w:tc>
        <w:tc>
          <w:tcPr>
            <w:tcW w:w="23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A1EC5E" w14:textId="77777777" w:rsidR="00ED0E85" w:rsidRPr="008D7F8D" w:rsidRDefault="00ED0E85" w:rsidP="00ED0E85">
            <w:pPr>
              <w:pStyle w:val="TableDataEntries"/>
            </w:pPr>
            <w:r w:rsidRPr="008D7F8D">
              <w:t xml:space="preserve">                  2</w:t>
            </w:r>
            <w:r>
              <w:t xml:space="preserve"> </w:t>
            </w:r>
            <w:r w:rsidRPr="008D7F8D">
              <w:t xml:space="preserve">254 </w:t>
            </w:r>
          </w:p>
        </w:tc>
      </w:tr>
      <w:tr w:rsidR="00ED0E85" w:rsidRPr="008D7F8D" w14:paraId="54DEA4B8" w14:textId="77777777" w:rsidTr="00ED0E85">
        <w:trPr>
          <w:trHeight w:val="250"/>
        </w:trPr>
        <w:tc>
          <w:tcPr>
            <w:tcW w:w="56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AF2A4E" w14:textId="77777777" w:rsidR="00ED0E85" w:rsidRPr="008D7F8D" w:rsidRDefault="00ED0E85" w:rsidP="00ED0E85">
            <w:pPr>
              <w:pStyle w:val="TableDataEntries"/>
              <w:jc w:val="left"/>
            </w:pPr>
            <w:r w:rsidRPr="008D7F8D">
              <w:t>3.0</w:t>
            </w:r>
          </w:p>
        </w:tc>
        <w:tc>
          <w:tcPr>
            <w:tcW w:w="23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F6BDDD" w14:textId="77777777" w:rsidR="00ED0E85" w:rsidRPr="008D7F8D" w:rsidRDefault="00ED0E85" w:rsidP="00ED0E85">
            <w:pPr>
              <w:pStyle w:val="TableDataEntries"/>
            </w:pPr>
            <w:r w:rsidRPr="008D7F8D">
              <w:t xml:space="preserve">                  1</w:t>
            </w:r>
            <w:r>
              <w:t xml:space="preserve"> </w:t>
            </w:r>
            <w:r w:rsidRPr="008D7F8D">
              <w:t xml:space="preserve">836 </w:t>
            </w:r>
          </w:p>
        </w:tc>
      </w:tr>
      <w:tr w:rsidR="00ED0E85" w:rsidRPr="008D7F8D" w14:paraId="58166B08" w14:textId="77777777" w:rsidTr="00ED0E85">
        <w:trPr>
          <w:trHeight w:val="250"/>
        </w:trPr>
        <w:tc>
          <w:tcPr>
            <w:tcW w:w="56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C621416" w14:textId="77777777" w:rsidR="00ED0E85" w:rsidRPr="008D7F8D" w:rsidRDefault="00ED0E85" w:rsidP="00ED0E85">
            <w:pPr>
              <w:pStyle w:val="TableDataEntries"/>
              <w:jc w:val="left"/>
            </w:pPr>
            <w:r w:rsidRPr="008D7F8D">
              <w:t>3.5</w:t>
            </w:r>
          </w:p>
        </w:tc>
        <w:tc>
          <w:tcPr>
            <w:tcW w:w="23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A989C0" w14:textId="77777777" w:rsidR="00ED0E85" w:rsidRPr="008D7F8D" w:rsidRDefault="00ED0E85" w:rsidP="00ED0E85">
            <w:pPr>
              <w:pStyle w:val="TableDataEntries"/>
            </w:pPr>
            <w:r w:rsidRPr="008D7F8D">
              <w:t xml:space="preserve">                  1</w:t>
            </w:r>
            <w:r>
              <w:t xml:space="preserve"> </w:t>
            </w:r>
            <w:r w:rsidRPr="008D7F8D">
              <w:t xml:space="preserve">495 </w:t>
            </w:r>
          </w:p>
        </w:tc>
      </w:tr>
      <w:tr w:rsidR="00ED0E85" w:rsidRPr="008D7F8D" w14:paraId="254B1C10" w14:textId="77777777" w:rsidTr="00ED0E85">
        <w:trPr>
          <w:trHeight w:val="250"/>
        </w:trPr>
        <w:tc>
          <w:tcPr>
            <w:tcW w:w="56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14FB67" w14:textId="77777777" w:rsidR="00ED0E85" w:rsidRPr="008D7F8D" w:rsidRDefault="00ED0E85" w:rsidP="00ED0E85">
            <w:pPr>
              <w:pStyle w:val="TableDataEntries"/>
              <w:jc w:val="left"/>
            </w:pPr>
            <w:r w:rsidRPr="008D7F8D">
              <w:t>4.0</w:t>
            </w:r>
          </w:p>
        </w:tc>
        <w:tc>
          <w:tcPr>
            <w:tcW w:w="23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FD9508" w14:textId="77777777" w:rsidR="00ED0E85" w:rsidRPr="008D7F8D" w:rsidRDefault="00ED0E85" w:rsidP="00ED0E85">
            <w:pPr>
              <w:pStyle w:val="TableDataEntries"/>
            </w:pPr>
            <w:r w:rsidRPr="008D7F8D">
              <w:t xml:space="preserve">                  1</w:t>
            </w:r>
            <w:r>
              <w:t xml:space="preserve"> </w:t>
            </w:r>
            <w:r w:rsidRPr="008D7F8D">
              <w:t xml:space="preserve">217 </w:t>
            </w:r>
          </w:p>
        </w:tc>
      </w:tr>
      <w:tr w:rsidR="00ED0E85" w:rsidRPr="008D7F8D" w14:paraId="6A75687A" w14:textId="77777777" w:rsidTr="00ED0E85">
        <w:trPr>
          <w:trHeight w:val="250"/>
        </w:trPr>
        <w:tc>
          <w:tcPr>
            <w:tcW w:w="561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D806894" w14:textId="77777777" w:rsidR="00ED0E85" w:rsidRPr="008D7F8D" w:rsidRDefault="00ED0E85" w:rsidP="00ED0E85">
            <w:pPr>
              <w:pStyle w:val="TableDataEntries"/>
              <w:jc w:val="left"/>
            </w:pPr>
            <w:r w:rsidRPr="008D7F8D">
              <w:t>4.5</w:t>
            </w:r>
          </w:p>
        </w:tc>
        <w:tc>
          <w:tcPr>
            <w:tcW w:w="232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38DCA4" w14:textId="77777777" w:rsidR="00ED0E85" w:rsidRPr="008D7F8D" w:rsidRDefault="00ED0E85" w:rsidP="00ED0E85">
            <w:pPr>
              <w:pStyle w:val="TableDataEntries"/>
            </w:pPr>
            <w:r w:rsidRPr="008D7F8D">
              <w:t xml:space="preserve">                     991 </w:t>
            </w:r>
          </w:p>
        </w:tc>
      </w:tr>
      <w:tr w:rsidR="00ED0E85" w:rsidRPr="008D7F8D" w14:paraId="666F8B72" w14:textId="77777777" w:rsidTr="00ED0E85">
        <w:trPr>
          <w:trHeight w:val="250"/>
        </w:trPr>
        <w:tc>
          <w:tcPr>
            <w:tcW w:w="5616"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3535F58D" w14:textId="77777777" w:rsidR="00ED0E85" w:rsidRPr="008D7F8D" w:rsidRDefault="00ED0E85" w:rsidP="00ED0E85">
            <w:pPr>
              <w:pStyle w:val="TableDataEntries"/>
              <w:jc w:val="left"/>
            </w:pPr>
            <w:r w:rsidRPr="008D7F8D">
              <w:t>5.0</w:t>
            </w:r>
          </w:p>
        </w:tc>
        <w:tc>
          <w:tcPr>
            <w:tcW w:w="232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219E4E8" w14:textId="77777777" w:rsidR="00ED0E85" w:rsidRPr="008D7F8D" w:rsidRDefault="00ED0E85" w:rsidP="00ED0E85">
            <w:pPr>
              <w:pStyle w:val="TableDataEntries"/>
            </w:pPr>
            <w:r w:rsidRPr="008D7F8D">
              <w:t xml:space="preserve">                     807 </w:t>
            </w:r>
          </w:p>
        </w:tc>
      </w:tr>
    </w:tbl>
    <w:p w14:paraId="6045754B" w14:textId="77777777" w:rsidR="00ED0E85" w:rsidRDefault="00ED0E85" w:rsidP="00ED0E85">
      <w:pPr>
        <w:pStyle w:val="Source"/>
      </w:pPr>
      <w:r>
        <w:rPr>
          <w:i/>
        </w:rPr>
        <w:t>Source</w:t>
      </w:r>
      <w:r w:rsidRPr="00E4232C">
        <w:rPr>
          <w:i/>
        </w:rPr>
        <w:t>:</w:t>
      </w:r>
      <w:r>
        <w:t xml:space="preserve"> The CIE, based on NABERS energy dataset for hotels and electricity and gas prices.</w:t>
      </w:r>
    </w:p>
    <w:p w14:paraId="63B1B920" w14:textId="77777777" w:rsidR="00ED0E85" w:rsidRDefault="00ED0E85" w:rsidP="00ED0E85">
      <w:pPr>
        <w:pStyle w:val="Heading3"/>
        <w:numPr>
          <w:ilvl w:val="2"/>
          <w:numId w:val="5"/>
        </w:numPr>
        <w:rPr>
          <w:lang w:eastAsia="en-US"/>
        </w:rPr>
      </w:pPr>
      <w:r>
        <w:rPr>
          <w:lang w:eastAsia="en-US"/>
        </w:rPr>
        <w:t>Energy use in hotels</w:t>
      </w:r>
    </w:p>
    <w:p w14:paraId="3417FCA2" w14:textId="77777777" w:rsidR="00ED0E85" w:rsidRDefault="00ED0E85" w:rsidP="00ED0E85">
      <w:pPr>
        <w:pStyle w:val="BodyText"/>
        <w:rPr>
          <w:lang w:eastAsia="en-US"/>
        </w:rPr>
      </w:pPr>
      <w:r>
        <w:rPr>
          <w:lang w:eastAsia="en-US"/>
        </w:rPr>
        <w:t xml:space="preserve">Whilst there is not an industry wide database on hotel energy use, a baseline dataset was collected in 2007 to inform NABERS implementation. From this, we can make a number of observations (n=71): </w:t>
      </w:r>
    </w:p>
    <w:p w14:paraId="17439DEF" w14:textId="77777777" w:rsidR="00ED0E85" w:rsidRDefault="00ED0E85" w:rsidP="00ED0E85">
      <w:pPr>
        <w:pStyle w:val="ListBullet"/>
        <w:rPr>
          <w:lang w:eastAsia="en-US"/>
        </w:rPr>
      </w:pPr>
      <w:r>
        <w:rPr>
          <w:lang w:eastAsia="en-US"/>
        </w:rPr>
        <w:t>Hotels with higher accommodation star ratings are typically associated with higher energy consumption per room</w:t>
      </w:r>
    </w:p>
    <w:p w14:paraId="180E8D74" w14:textId="77777777" w:rsidR="00ED0E85" w:rsidRDefault="00ED0E85" w:rsidP="00ED0E85">
      <w:pPr>
        <w:pStyle w:val="ListBullet"/>
        <w:rPr>
          <w:lang w:eastAsia="en-US"/>
        </w:rPr>
      </w:pPr>
      <w:r>
        <w:rPr>
          <w:lang w:eastAsia="en-US"/>
        </w:rPr>
        <w:t xml:space="preserve">For 4.5 accommodation star and 5.0 accommodation star hotels, there is a large variation between the lowest and highest energy consumption per room </w:t>
      </w:r>
    </w:p>
    <w:p w14:paraId="01555464" w14:textId="6BB7BEE3"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w:instrText>
      </w:r>
      <w:r w:rsidRPr="00695C93">
        <w:fldChar w:fldCharType="separate"/>
      </w:r>
      <w:r w:rsidR="00AD3561">
        <w:rPr>
          <w:noProof/>
        </w:rPr>
        <w:instrText>8</w:instrText>
      </w:r>
      <w:r w:rsidR="00AD3561"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rsidRPr="00695C93">
        <w:instrText xml:space="preserve">." </w:instrText>
      </w:r>
      <w:r w:rsidRPr="00695C93">
        <w:fldChar w:fldCharType="separate"/>
      </w:r>
      <w:r w:rsidR="00C353B5">
        <w:rPr>
          <w:noProof/>
        </w:rPr>
        <w:instrText>8</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6</w:instrText>
      </w:r>
      <w:r w:rsidRPr="00695C93">
        <w:fldChar w:fldCharType="end"/>
      </w:r>
      <w:r w:rsidRPr="00695C93">
        <w:instrText xml:space="preserve">" "" </w:instrText>
      </w:r>
      <w:r w:rsidRPr="00695C93">
        <w:fldChar w:fldCharType="separate"/>
      </w:r>
      <w:bookmarkStart w:id="5174" w:name="_Caption6044"/>
      <w:bookmarkStart w:id="5175" w:name="_Caption1048"/>
      <w:bookmarkStart w:id="5176" w:name="_Caption0028"/>
      <w:bookmarkStart w:id="5177" w:name="_Caption9178"/>
      <w:bookmarkStart w:id="5178" w:name="_Caption4508"/>
      <w:bookmarkStart w:id="5179" w:name="_Caption4048"/>
      <w:bookmarkStart w:id="5180" w:name="_Caption4652"/>
      <w:bookmarkStart w:id="5181" w:name="_Caption1648"/>
      <w:bookmarkStart w:id="5182" w:name="_Caption1913"/>
      <w:bookmarkStart w:id="5183" w:name="_Caption3132"/>
      <w:bookmarkStart w:id="5184" w:name="_Caption1275"/>
      <w:bookmarkStart w:id="5185" w:name="_Caption8375"/>
      <w:bookmarkStart w:id="5186" w:name="_Caption2337"/>
      <w:bookmarkStart w:id="5187" w:name="_Caption0526"/>
      <w:bookmarkStart w:id="5188" w:name="_Caption6331"/>
      <w:bookmarkStart w:id="5189" w:name="_Caption1136"/>
      <w:bookmarkStart w:id="5190" w:name="_Caption3400"/>
      <w:bookmarkStart w:id="5191" w:name="_Caption7789"/>
      <w:bookmarkStart w:id="5192" w:name="_Caption4377"/>
      <w:bookmarkStart w:id="5193" w:name="_Caption7319"/>
      <w:bookmarkStart w:id="5194" w:name="_Caption4598"/>
      <w:bookmarkStart w:id="5195" w:name="_Caption6310"/>
      <w:bookmarkStart w:id="5196" w:name="_Caption5570"/>
      <w:bookmarkStart w:id="5197" w:name="_Caption9439"/>
      <w:bookmarkStart w:id="5198" w:name="_Caption9994"/>
      <w:bookmarkStart w:id="5199" w:name="_Caption0527"/>
      <w:bookmarkStart w:id="5200" w:name="_Caption9921"/>
      <w:bookmarkStart w:id="5201" w:name="_Caption2167"/>
      <w:bookmarkStart w:id="5202" w:name="_Caption7089"/>
      <w:bookmarkStart w:id="5203" w:name="_Caption6441"/>
      <w:bookmarkStart w:id="5204" w:name="_Caption1178"/>
      <w:bookmarkStart w:id="5205" w:name="_Caption6772"/>
      <w:bookmarkStart w:id="5206" w:name="_Caption5188"/>
      <w:bookmarkStart w:id="5207" w:name="_Caption7570"/>
      <w:bookmarkStart w:id="5208" w:name="_Caption6613"/>
      <w:bookmarkStart w:id="5209" w:name="_Caption2102"/>
      <w:bookmarkStart w:id="5210" w:name="_Caption5114"/>
      <w:bookmarkStart w:id="5211" w:name="_Caption8707"/>
      <w:bookmarkStart w:id="5212" w:name="_Caption7832"/>
      <w:bookmarkStart w:id="5213" w:name="_Caption1757"/>
      <w:bookmarkStart w:id="5214" w:name="_Caption0775"/>
      <w:bookmarkStart w:id="5215" w:name="_Caption7468"/>
      <w:bookmarkStart w:id="5216" w:name="_Caption8167"/>
      <w:bookmarkStart w:id="5217" w:name="_Caption9233"/>
      <w:bookmarkStart w:id="5218" w:name="_Caption6660"/>
      <w:bookmarkStart w:id="5219" w:name="_Caption9925"/>
      <w:bookmarkStart w:id="5220" w:name="_Caption3961"/>
      <w:bookmarkStart w:id="5221" w:name="_Caption3788"/>
      <w:bookmarkStart w:id="5222" w:name="_Caption8432"/>
      <w:bookmarkStart w:id="5223" w:name="_Caption7099"/>
      <w:bookmarkStart w:id="5224" w:name="_Caption7599"/>
      <w:bookmarkStart w:id="5225" w:name="_Caption3649"/>
      <w:bookmarkStart w:id="5226" w:name="_Toc19275630"/>
      <w:bookmarkStart w:id="5227" w:name="_Toc19276240"/>
      <w:bookmarkStart w:id="5228" w:name="_Toc19280239"/>
      <w:r w:rsidR="00C353B5">
        <w:rPr>
          <w:noProof/>
        </w:rPr>
        <w:t>8</w:t>
      </w:r>
      <w:r w:rsidR="00C353B5" w:rsidRPr="00695C93">
        <w:rPr>
          <w:noProof/>
        </w:rPr>
        <w:t>.</w:t>
      </w:r>
      <w:r w:rsidR="00C353B5">
        <w:rPr>
          <w:noProof/>
        </w:rPr>
        <w:t>6</w:t>
      </w:r>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r w:rsidRPr="00695C93">
        <w:fldChar w:fldCharType="end"/>
      </w:r>
      <w:r w:rsidRPr="00695C93">
        <w:tab/>
      </w:r>
      <w:r>
        <w:t>Energy consumption per room based on hotel star rating, 2007</w:t>
      </w:r>
      <w:bookmarkEnd w:id="5226"/>
      <w:bookmarkEnd w:id="5227"/>
      <w:bookmarkEnd w:id="5228"/>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45E9C683" w14:textId="77777777" w:rsidTr="00ED0E85">
        <w:trPr>
          <w:cantSplit/>
        </w:trPr>
        <w:tc>
          <w:tcPr>
            <w:tcW w:w="7938" w:type="dxa"/>
            <w:shd w:val="clear" w:color="auto" w:fill="E9E8E5" w:themeFill="background2"/>
          </w:tcPr>
          <w:p w14:paraId="41932B1D" w14:textId="77777777" w:rsidR="00ED0E85" w:rsidRDefault="00ED0E85" w:rsidP="00ED0E85">
            <w:pPr>
              <w:pStyle w:val="Chart"/>
              <w:spacing w:after="120"/>
              <w:jc w:val="center"/>
            </w:pPr>
            <w:r w:rsidRPr="00BC31C9">
              <w:rPr>
                <w:noProof/>
                <w:lang w:eastAsia="en-AU"/>
              </w:rPr>
              <w:drawing>
                <wp:inline distT="0" distB="0" distL="0" distR="0" wp14:anchorId="6E4890AE" wp14:editId="70E353C0">
                  <wp:extent cx="4876800" cy="24955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76800" cy="2495550"/>
                          </a:xfrm>
                          <a:prstGeom prst="rect">
                            <a:avLst/>
                          </a:prstGeom>
                          <a:noFill/>
                          <a:ln>
                            <a:noFill/>
                          </a:ln>
                        </pic:spPr>
                      </pic:pic>
                    </a:graphicData>
                  </a:graphic>
                </wp:inline>
              </w:drawing>
            </w:r>
          </w:p>
        </w:tc>
      </w:tr>
    </w:tbl>
    <w:p w14:paraId="34715FC4" w14:textId="77777777" w:rsidR="00ED0E85" w:rsidRDefault="00ED0E85" w:rsidP="00ED0E85">
      <w:pPr>
        <w:pStyle w:val="Source"/>
      </w:pPr>
      <w:r>
        <w:rPr>
          <w:i/>
        </w:rPr>
        <w:t>Data source</w:t>
      </w:r>
      <w:r w:rsidRPr="00A67576">
        <w:rPr>
          <w:i/>
        </w:rPr>
        <w:t>:</w:t>
      </w:r>
      <w:r>
        <w:t xml:space="preserve"> NABERS 2007 dataset.</w:t>
      </w:r>
    </w:p>
    <w:p w14:paraId="7C73A350" w14:textId="7A7B4288" w:rsidR="00ED0E85" w:rsidRDefault="00ED0E85" w:rsidP="00ED0E85">
      <w:pPr>
        <w:pStyle w:val="BodyText"/>
        <w:rPr>
          <w:lang w:eastAsia="en-US"/>
        </w:rPr>
      </w:pPr>
      <w:r>
        <w:rPr>
          <w:lang w:eastAsia="en-US"/>
        </w:rPr>
        <w:t xml:space="preserve">We have also obtained data on energy use from the City of Sydney, which covers an anonymised set of hotels in the City of Sydney Council. Using this, energy consumption by room id declining relative to the 2007 dataset (chart </w:t>
      </w:r>
      <w:r>
        <w:rPr>
          <w:lang w:eastAsia="en-US"/>
        </w:rPr>
        <w:fldChar w:fldCharType="begin"/>
      </w:r>
      <w:r>
        <w:rPr>
          <w:lang w:eastAsia="en-US"/>
        </w:rPr>
        <w:instrText xml:space="preserve"> REF _Caption0970 </w:instrText>
      </w:r>
      <w:r>
        <w:rPr>
          <w:lang w:eastAsia="en-US"/>
        </w:rPr>
        <w:fldChar w:fldCharType="separate"/>
      </w:r>
      <w:r w:rsidR="00AD3561">
        <w:rPr>
          <w:noProof/>
        </w:rPr>
        <w:t>8</w:t>
      </w:r>
      <w:r w:rsidR="00AD3561" w:rsidRPr="00E239B7">
        <w:rPr>
          <w:noProof/>
        </w:rPr>
        <w:t>.</w:t>
      </w:r>
      <w:r w:rsidR="00AD3561">
        <w:rPr>
          <w:noProof/>
        </w:rPr>
        <w:t>7</w:t>
      </w:r>
      <w:r>
        <w:rPr>
          <w:lang w:eastAsia="en-US"/>
        </w:rPr>
        <w:fldChar w:fldCharType="end"/>
      </w:r>
      <w:r>
        <w:rPr>
          <w:lang w:eastAsia="en-US"/>
        </w:rPr>
        <w:t>). Given that this data relates to Sydney CBD only, it is unknown if this trend is consistent across Australia. Also note that we cannot match exact hotels using these datasets.</w:t>
      </w:r>
    </w:p>
    <w:p w14:paraId="7B4D2E58" w14:textId="56B002B0" w:rsidR="00ED0E85" w:rsidRPr="00695C93" w:rsidRDefault="00ED0E85" w:rsidP="00ED0E85">
      <w:pPr>
        <w:pStyle w:val="Caption"/>
        <w:ind w:left="568" w:hanging="568"/>
      </w:pPr>
      <w:r w:rsidRPr="00E239B7">
        <w:fldChar w:fldCharType="begin"/>
      </w:r>
      <w:r w:rsidRPr="00E239B7">
        <w:instrText xml:space="preserve"> IF 1 = 1 "</w:instrText>
      </w:r>
      <w:r w:rsidRPr="00E239B7">
        <w:fldChar w:fldCharType="begin"/>
      </w:r>
      <w:r w:rsidRPr="00E239B7">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E239B7">
        <w:instrText xml:space="preserve"> = 0 "</w:instrText>
      </w:r>
      <w:r w:rsidRPr="00E239B7">
        <w:fldChar w:fldCharType="begin"/>
      </w:r>
      <w:r w:rsidRPr="00E239B7">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E239B7">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E239B7">
        <w:instrText xml:space="preserve">." </w:instrText>
      </w:r>
      <w:r w:rsidRPr="00E239B7">
        <w:fldChar w:fldCharType="separate"/>
      </w:r>
      <w:r w:rsidR="00AD3561">
        <w:rPr>
          <w:noProof/>
        </w:rPr>
        <w:instrText>8</w:instrText>
      </w:r>
      <w:r w:rsidR="00AD3561" w:rsidRPr="00E239B7">
        <w:rPr>
          <w:noProof/>
        </w:rPr>
        <w:instrText>.</w:instrText>
      </w:r>
      <w:r w:rsidRPr="00E239B7">
        <w:fldChar w:fldCharType="end"/>
      </w:r>
      <w:r w:rsidRPr="00E239B7">
        <w:instrText>" "</w:instrText>
      </w:r>
      <w:r w:rsidR="004550CB">
        <w:rPr>
          <w:noProof/>
        </w:rPr>
        <w:fldChar w:fldCharType="begin"/>
      </w:r>
      <w:r w:rsidR="004550CB">
        <w:rPr>
          <w:noProof/>
        </w:rPr>
        <w:instrText xml:space="preserve"> STYLEREF "Heading 6" \l \n </w:instrText>
      </w:r>
      <w:r w:rsidR="004550CB">
        <w:rPr>
          <w:noProof/>
        </w:rPr>
        <w:fldChar w:fldCharType="separate"/>
      </w:r>
      <w:r w:rsidRPr="00E239B7">
        <w:rPr>
          <w:noProof/>
        </w:rPr>
        <w:instrText>A</w:instrText>
      </w:r>
      <w:r w:rsidR="004550CB">
        <w:rPr>
          <w:noProof/>
        </w:rPr>
        <w:fldChar w:fldCharType="end"/>
      </w:r>
      <w:r w:rsidRPr="00E239B7">
        <w:instrText xml:space="preserve">." </w:instrText>
      </w:r>
      <w:r w:rsidRPr="00E239B7">
        <w:fldChar w:fldCharType="separate"/>
      </w:r>
      <w:r w:rsidR="00C353B5">
        <w:rPr>
          <w:noProof/>
        </w:rPr>
        <w:instrText>8</w:instrText>
      </w:r>
      <w:r w:rsidR="00C353B5" w:rsidRPr="00E239B7">
        <w:rPr>
          <w:noProof/>
        </w:rPr>
        <w:instrText>.</w:instrText>
      </w:r>
      <w:r w:rsidRPr="00E239B7">
        <w:fldChar w:fldCharType="end"/>
      </w:r>
      <w:r w:rsidRPr="00E239B7">
        <w:fldChar w:fldCharType="begin"/>
      </w:r>
      <w:r w:rsidRPr="00E239B7">
        <w:instrText xml:space="preserve"> SEQ Item \* ARABIC \s </w:instrText>
      </w:r>
      <w:r w:rsidRPr="00E239B7">
        <w:fldChar w:fldCharType="begin"/>
      </w:r>
      <w:r w:rsidRPr="00E239B7">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E239B7">
        <w:instrText xml:space="preserve"> = 0 "</w:instrText>
      </w:r>
      <w:r w:rsidRPr="00E239B7">
        <w:fldChar w:fldCharType="begin"/>
      </w:r>
      <w:r w:rsidRPr="00E239B7">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E239B7">
        <w:instrText xml:space="preserve"> = 0 "" "1" </w:instrText>
      </w:r>
      <w:r w:rsidRPr="00E239B7">
        <w:fldChar w:fldCharType="separate"/>
      </w:r>
      <w:r w:rsidR="00C353B5" w:rsidRPr="00E239B7">
        <w:rPr>
          <w:noProof/>
        </w:rPr>
        <w:instrText>1</w:instrText>
      </w:r>
      <w:r w:rsidRPr="00E239B7">
        <w:fldChar w:fldCharType="end"/>
      </w:r>
      <w:r w:rsidRPr="00E239B7">
        <w:instrText xml:space="preserve">" "6" </w:instrText>
      </w:r>
      <w:r w:rsidRPr="00E239B7">
        <w:fldChar w:fldCharType="separate"/>
      </w:r>
      <w:r w:rsidR="00C353B5" w:rsidRPr="00E239B7">
        <w:rPr>
          <w:noProof/>
        </w:rPr>
        <w:instrText>1</w:instrText>
      </w:r>
      <w:r w:rsidRPr="00E239B7">
        <w:fldChar w:fldCharType="end"/>
      </w:r>
      <w:r w:rsidRPr="00E239B7">
        <w:instrText xml:space="preserve"> </w:instrText>
      </w:r>
      <w:r w:rsidRPr="00E239B7">
        <w:fldChar w:fldCharType="separate"/>
      </w:r>
      <w:r w:rsidR="00AD3561">
        <w:rPr>
          <w:noProof/>
        </w:rPr>
        <w:instrText>7</w:instrText>
      </w:r>
      <w:r w:rsidRPr="00E239B7">
        <w:fldChar w:fldCharType="end"/>
      </w:r>
      <w:r w:rsidRPr="00E239B7">
        <w:instrText xml:space="preserve">" "" </w:instrText>
      </w:r>
      <w:r w:rsidRPr="00E239B7">
        <w:fldChar w:fldCharType="separate"/>
      </w:r>
      <w:bookmarkStart w:id="5229" w:name="_Caption3120"/>
      <w:bookmarkStart w:id="5230" w:name="_Caption7739"/>
      <w:bookmarkStart w:id="5231" w:name="_Caption0331"/>
      <w:bookmarkStart w:id="5232" w:name="_Caption5800"/>
      <w:bookmarkStart w:id="5233" w:name="_Caption8887"/>
      <w:bookmarkStart w:id="5234" w:name="_Caption4409"/>
      <w:bookmarkStart w:id="5235" w:name="_Caption2794"/>
      <w:bookmarkStart w:id="5236" w:name="_Caption8701"/>
      <w:bookmarkStart w:id="5237" w:name="_Caption2620"/>
      <w:bookmarkStart w:id="5238" w:name="_Caption8046"/>
      <w:bookmarkStart w:id="5239" w:name="_Caption7297"/>
      <w:bookmarkStart w:id="5240" w:name="_Caption9337"/>
      <w:bookmarkStart w:id="5241" w:name="_Caption1456"/>
      <w:bookmarkStart w:id="5242" w:name="_Caption7241"/>
      <w:bookmarkStart w:id="5243" w:name="_Caption9068"/>
      <w:bookmarkStart w:id="5244" w:name="_Caption2513"/>
      <w:bookmarkStart w:id="5245" w:name="_Caption2332"/>
      <w:bookmarkStart w:id="5246" w:name="_Caption9350"/>
      <w:bookmarkStart w:id="5247" w:name="_Caption2800"/>
      <w:bookmarkStart w:id="5248" w:name="_Caption9908"/>
      <w:bookmarkStart w:id="5249" w:name="_Caption2314"/>
      <w:bookmarkStart w:id="5250" w:name="_Caption3426"/>
      <w:bookmarkStart w:id="5251" w:name="_Caption6531"/>
      <w:bookmarkStart w:id="5252" w:name="_Caption9734"/>
      <w:bookmarkStart w:id="5253" w:name="_Caption1983"/>
      <w:bookmarkStart w:id="5254" w:name="_Caption1407"/>
      <w:bookmarkStart w:id="5255" w:name="_Caption1204"/>
      <w:bookmarkStart w:id="5256" w:name="_Caption2765"/>
      <w:bookmarkStart w:id="5257" w:name="_Caption2208"/>
      <w:bookmarkStart w:id="5258" w:name="_Caption3004"/>
      <w:bookmarkStart w:id="5259" w:name="_Caption2965"/>
      <w:bookmarkStart w:id="5260" w:name="_Caption8131"/>
      <w:bookmarkStart w:id="5261" w:name="_Caption0362"/>
      <w:bookmarkStart w:id="5262" w:name="_Caption0970"/>
      <w:bookmarkStart w:id="5263" w:name="_Caption0313"/>
      <w:bookmarkStart w:id="5264" w:name="_Caption2646"/>
      <w:bookmarkStart w:id="5265" w:name="_Caption8713"/>
      <w:bookmarkStart w:id="5266" w:name="_Caption3846"/>
      <w:bookmarkStart w:id="5267" w:name="_Caption5692"/>
      <w:bookmarkStart w:id="5268" w:name="_Caption7269"/>
      <w:bookmarkStart w:id="5269" w:name="_Caption1202"/>
      <w:bookmarkStart w:id="5270" w:name="_Caption6851"/>
      <w:bookmarkStart w:id="5271" w:name="_Caption0756"/>
      <w:bookmarkStart w:id="5272" w:name="_Caption8345"/>
      <w:bookmarkStart w:id="5273" w:name="_Caption5342"/>
      <w:bookmarkStart w:id="5274" w:name="_Caption0271"/>
      <w:bookmarkStart w:id="5275" w:name="_Caption9770"/>
      <w:bookmarkStart w:id="5276" w:name="_Caption7030"/>
      <w:bookmarkStart w:id="5277" w:name="_Caption2760"/>
      <w:bookmarkStart w:id="5278" w:name="_Caption3877"/>
      <w:bookmarkStart w:id="5279" w:name="_Caption6657"/>
      <w:bookmarkStart w:id="5280" w:name="_Caption6510"/>
      <w:bookmarkStart w:id="5281" w:name="_Caption8365"/>
      <w:bookmarkStart w:id="5282" w:name="_Caption5350"/>
      <w:bookmarkStart w:id="5283" w:name="_Caption7879"/>
      <w:bookmarkStart w:id="5284" w:name="_Caption7734"/>
      <w:bookmarkStart w:id="5285" w:name="_Toc19275631"/>
      <w:bookmarkStart w:id="5286" w:name="_Toc19276241"/>
      <w:bookmarkStart w:id="5287" w:name="_Toc19280240"/>
      <w:r w:rsidR="00C353B5">
        <w:rPr>
          <w:noProof/>
        </w:rPr>
        <w:t>8</w:t>
      </w:r>
      <w:r w:rsidR="00C353B5" w:rsidRPr="00E239B7">
        <w:rPr>
          <w:noProof/>
        </w:rPr>
        <w:t>.</w:t>
      </w:r>
      <w:r w:rsidR="00C353B5">
        <w:rPr>
          <w:noProof/>
        </w:rPr>
        <w:t>7</w:t>
      </w:r>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r w:rsidRPr="00E239B7">
        <w:fldChar w:fldCharType="end"/>
      </w:r>
      <w:r w:rsidRPr="00E239B7">
        <w:tab/>
        <w:t>Comparison of energy consumption per room (kWh) of Sydney CBD hotels in 2007 and 2018</w:t>
      </w:r>
      <w:bookmarkEnd w:id="5285"/>
      <w:bookmarkEnd w:id="5286"/>
      <w:bookmarkEnd w:id="5287"/>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700A1CF9" w14:textId="77777777" w:rsidTr="00ED0E85">
        <w:trPr>
          <w:cantSplit/>
        </w:trPr>
        <w:tc>
          <w:tcPr>
            <w:tcW w:w="7938" w:type="dxa"/>
            <w:shd w:val="clear" w:color="auto" w:fill="E9E8E5" w:themeFill="background2"/>
          </w:tcPr>
          <w:p w14:paraId="5AF7D097" w14:textId="77777777" w:rsidR="00ED0E85" w:rsidRDefault="00ED0E85" w:rsidP="00ED0E85">
            <w:pPr>
              <w:pStyle w:val="Chart"/>
              <w:jc w:val="center"/>
            </w:pPr>
            <w:r w:rsidRPr="00E239B7">
              <w:rPr>
                <w:noProof/>
                <w:lang w:eastAsia="en-AU"/>
              </w:rPr>
              <w:drawing>
                <wp:inline distT="0" distB="0" distL="0" distR="0" wp14:anchorId="5C10E65B" wp14:editId="0F6229C5">
                  <wp:extent cx="4876800" cy="2495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76800" cy="2495550"/>
                          </a:xfrm>
                          <a:prstGeom prst="rect">
                            <a:avLst/>
                          </a:prstGeom>
                          <a:noFill/>
                          <a:ln>
                            <a:noFill/>
                          </a:ln>
                        </pic:spPr>
                      </pic:pic>
                    </a:graphicData>
                  </a:graphic>
                </wp:inline>
              </w:drawing>
            </w:r>
          </w:p>
        </w:tc>
      </w:tr>
    </w:tbl>
    <w:p w14:paraId="4F0680C8" w14:textId="77777777" w:rsidR="00ED0E85" w:rsidRDefault="00ED0E85" w:rsidP="00ED0E85">
      <w:pPr>
        <w:pStyle w:val="Note"/>
      </w:pPr>
      <w:r w:rsidRPr="007D1B4F">
        <w:rPr>
          <w:i/>
        </w:rPr>
        <w:t>Note:</w:t>
      </w:r>
      <w:r w:rsidRPr="00E879B8">
        <w:t xml:space="preserve"> </w:t>
      </w:r>
      <w:r>
        <w:t xml:space="preserve">The sample size of hotels in 2007 is 11 and in 2018, is 28 (including 24 hotels with a hotel star rating of 4.0 or higher). There was no data available in the NABERS dataset in 2007 for hotels in Sydney CBD with a 3 or a 3.5 star rating to compare to 2018. </w:t>
      </w:r>
    </w:p>
    <w:p w14:paraId="47874A1A" w14:textId="77777777" w:rsidR="00ED0E85" w:rsidRDefault="00ED0E85" w:rsidP="00ED0E85">
      <w:pPr>
        <w:pStyle w:val="Source"/>
      </w:pPr>
      <w:r>
        <w:rPr>
          <w:i/>
        </w:rPr>
        <w:t>Source</w:t>
      </w:r>
      <w:r w:rsidRPr="00E4232C">
        <w:rPr>
          <w:i/>
        </w:rPr>
        <w:t>:</w:t>
      </w:r>
      <w:r>
        <w:t xml:space="preserve"> NABERS baseline dataset (2007), DEE dataset (2018) (not publicly available). </w:t>
      </w:r>
    </w:p>
    <w:p w14:paraId="2C32B24B" w14:textId="77777777" w:rsidR="00ED0E85" w:rsidRDefault="00ED0E85" w:rsidP="00ED0E85">
      <w:pPr>
        <w:pStyle w:val="Heading3"/>
        <w:numPr>
          <w:ilvl w:val="2"/>
          <w:numId w:val="5"/>
        </w:numPr>
        <w:rPr>
          <w:lang w:eastAsia="en-US"/>
        </w:rPr>
      </w:pPr>
      <w:r>
        <w:rPr>
          <w:lang w:eastAsia="en-US"/>
        </w:rPr>
        <w:t>CO2 emissions per occupied room</w:t>
      </w:r>
    </w:p>
    <w:p w14:paraId="2FEEC1D6" w14:textId="6424A726" w:rsidR="00ED0E85" w:rsidRDefault="00ED0E85" w:rsidP="00ED0E85">
      <w:pPr>
        <w:pStyle w:val="BodyText"/>
        <w:rPr>
          <w:lang w:eastAsia="en-US"/>
        </w:rPr>
      </w:pPr>
      <w:r>
        <w:rPr>
          <w:lang w:eastAsia="en-US"/>
        </w:rPr>
        <w:t xml:space="preserve">The link between energy and CO2 emission per room depends on the efficiency of the energy source, the efficiency devices, as well as the level of service provided by the hotel (e.g. a heated swimming pool from gas versus no pool at all). Full-service hotels (i.e. those with the highest levels of services) in Germany and the United States have similar levels of emissions per occupied room, while the United Kingdom is the most efficient. In terms of limited-service hotels, Germany and the United Kingdom are the most efficient. Chart </w:t>
      </w:r>
      <w:r>
        <w:rPr>
          <w:lang w:eastAsia="en-US"/>
        </w:rPr>
        <w:fldChar w:fldCharType="begin"/>
      </w:r>
      <w:r>
        <w:rPr>
          <w:lang w:eastAsia="en-US"/>
        </w:rPr>
        <w:instrText xml:space="preserve"> REF _Caption3273 </w:instrText>
      </w:r>
      <w:r>
        <w:rPr>
          <w:lang w:eastAsia="en-US"/>
        </w:rPr>
        <w:fldChar w:fldCharType="separate"/>
      </w:r>
      <w:r w:rsidR="00AD3561">
        <w:rPr>
          <w:noProof/>
        </w:rPr>
        <w:t>8</w:t>
      </w:r>
      <w:r w:rsidR="00AD3561" w:rsidRPr="00E239B7">
        <w:rPr>
          <w:noProof/>
        </w:rPr>
        <w:t>.</w:t>
      </w:r>
      <w:r w:rsidR="00AD3561">
        <w:rPr>
          <w:noProof/>
        </w:rPr>
        <w:t>8</w:t>
      </w:r>
      <w:r>
        <w:rPr>
          <w:lang w:eastAsia="en-US"/>
        </w:rPr>
        <w:fldChar w:fldCharType="end"/>
      </w:r>
      <w:r>
        <w:rPr>
          <w:lang w:eastAsia="en-US"/>
        </w:rPr>
        <w:t xml:space="preserve"> provides an indication of how energy translates to global emissions, per occupied room, across the globe. </w:t>
      </w:r>
    </w:p>
    <w:p w14:paraId="758EF95E" w14:textId="21BFE8EF" w:rsidR="00ED0E85" w:rsidRPr="00695C93" w:rsidRDefault="00ED0E85" w:rsidP="00ED0E85">
      <w:pPr>
        <w:pStyle w:val="Caption"/>
        <w:ind w:left="568" w:hanging="568"/>
      </w:pPr>
      <w:r w:rsidRPr="00E239B7">
        <w:fldChar w:fldCharType="begin"/>
      </w:r>
      <w:r w:rsidRPr="00E239B7">
        <w:instrText xml:space="preserve"> IF 1 = 1 "</w:instrText>
      </w:r>
      <w:r w:rsidRPr="00E239B7">
        <w:fldChar w:fldCharType="begin"/>
      </w:r>
      <w:r w:rsidRPr="00E239B7">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E239B7">
        <w:instrText xml:space="preserve"> = 0 "</w:instrText>
      </w:r>
      <w:r w:rsidRPr="00E239B7">
        <w:fldChar w:fldCharType="begin"/>
      </w:r>
      <w:r w:rsidRPr="00E239B7">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E239B7">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E239B7">
        <w:instrText xml:space="preserve">." </w:instrText>
      </w:r>
      <w:r w:rsidRPr="00E239B7">
        <w:fldChar w:fldCharType="separate"/>
      </w:r>
      <w:r w:rsidR="00AD3561">
        <w:rPr>
          <w:noProof/>
        </w:rPr>
        <w:instrText>8</w:instrText>
      </w:r>
      <w:r w:rsidR="00AD3561" w:rsidRPr="00E239B7">
        <w:rPr>
          <w:noProof/>
        </w:rPr>
        <w:instrText>.</w:instrText>
      </w:r>
      <w:r w:rsidRPr="00E239B7">
        <w:fldChar w:fldCharType="end"/>
      </w:r>
      <w:r w:rsidRPr="00E239B7">
        <w:instrText>" "</w:instrText>
      </w:r>
      <w:r w:rsidR="004550CB">
        <w:rPr>
          <w:noProof/>
        </w:rPr>
        <w:fldChar w:fldCharType="begin"/>
      </w:r>
      <w:r w:rsidR="004550CB">
        <w:rPr>
          <w:noProof/>
        </w:rPr>
        <w:instrText xml:space="preserve"> STYLEREF "Heading 6" \l \n </w:instrText>
      </w:r>
      <w:r w:rsidR="004550CB">
        <w:rPr>
          <w:noProof/>
        </w:rPr>
        <w:fldChar w:fldCharType="separate"/>
      </w:r>
      <w:r w:rsidRPr="00E239B7">
        <w:rPr>
          <w:noProof/>
        </w:rPr>
        <w:instrText>A</w:instrText>
      </w:r>
      <w:r w:rsidR="004550CB">
        <w:rPr>
          <w:noProof/>
        </w:rPr>
        <w:fldChar w:fldCharType="end"/>
      </w:r>
      <w:r w:rsidRPr="00E239B7">
        <w:instrText xml:space="preserve">." </w:instrText>
      </w:r>
      <w:r w:rsidRPr="00E239B7">
        <w:fldChar w:fldCharType="separate"/>
      </w:r>
      <w:r w:rsidR="00C353B5">
        <w:rPr>
          <w:noProof/>
        </w:rPr>
        <w:instrText>8</w:instrText>
      </w:r>
      <w:r w:rsidR="00C353B5" w:rsidRPr="00E239B7">
        <w:rPr>
          <w:noProof/>
        </w:rPr>
        <w:instrText>.</w:instrText>
      </w:r>
      <w:r w:rsidRPr="00E239B7">
        <w:fldChar w:fldCharType="end"/>
      </w:r>
      <w:r w:rsidRPr="00E239B7">
        <w:fldChar w:fldCharType="begin"/>
      </w:r>
      <w:r w:rsidRPr="00E239B7">
        <w:instrText xml:space="preserve"> SEQ Item \* ARABIC \s </w:instrText>
      </w:r>
      <w:r w:rsidRPr="00E239B7">
        <w:fldChar w:fldCharType="begin"/>
      </w:r>
      <w:r w:rsidRPr="00E239B7">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E239B7">
        <w:instrText xml:space="preserve"> = 0 "</w:instrText>
      </w:r>
      <w:r w:rsidRPr="00E239B7">
        <w:fldChar w:fldCharType="begin"/>
      </w:r>
      <w:r w:rsidRPr="00E239B7">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E239B7">
        <w:instrText xml:space="preserve"> = 0 "" "1" </w:instrText>
      </w:r>
      <w:r w:rsidRPr="00E239B7">
        <w:fldChar w:fldCharType="separate"/>
      </w:r>
      <w:r w:rsidR="00C353B5" w:rsidRPr="00E239B7">
        <w:rPr>
          <w:noProof/>
        </w:rPr>
        <w:instrText>1</w:instrText>
      </w:r>
      <w:r w:rsidRPr="00E239B7">
        <w:fldChar w:fldCharType="end"/>
      </w:r>
      <w:r w:rsidRPr="00E239B7">
        <w:instrText xml:space="preserve">" "6" </w:instrText>
      </w:r>
      <w:r w:rsidRPr="00E239B7">
        <w:fldChar w:fldCharType="separate"/>
      </w:r>
      <w:r w:rsidR="00C353B5" w:rsidRPr="00E239B7">
        <w:rPr>
          <w:noProof/>
        </w:rPr>
        <w:instrText>1</w:instrText>
      </w:r>
      <w:r w:rsidRPr="00E239B7">
        <w:fldChar w:fldCharType="end"/>
      </w:r>
      <w:r w:rsidRPr="00E239B7">
        <w:instrText xml:space="preserve"> </w:instrText>
      </w:r>
      <w:r w:rsidRPr="00E239B7">
        <w:fldChar w:fldCharType="separate"/>
      </w:r>
      <w:r w:rsidR="00AD3561">
        <w:rPr>
          <w:noProof/>
        </w:rPr>
        <w:instrText>8</w:instrText>
      </w:r>
      <w:r w:rsidRPr="00E239B7">
        <w:fldChar w:fldCharType="end"/>
      </w:r>
      <w:r w:rsidRPr="00E239B7">
        <w:instrText xml:space="preserve">" "" </w:instrText>
      </w:r>
      <w:r w:rsidRPr="00E239B7">
        <w:fldChar w:fldCharType="separate"/>
      </w:r>
      <w:bookmarkStart w:id="5288" w:name="_Caption3053"/>
      <w:bookmarkStart w:id="5289" w:name="_Caption8152"/>
      <w:bookmarkStart w:id="5290" w:name="_Caption9716"/>
      <w:bookmarkStart w:id="5291" w:name="_Caption5145"/>
      <w:bookmarkStart w:id="5292" w:name="_Caption0438"/>
      <w:bookmarkStart w:id="5293" w:name="_Caption5116"/>
      <w:bookmarkStart w:id="5294" w:name="_Caption2381"/>
      <w:bookmarkStart w:id="5295" w:name="_Caption6178"/>
      <w:bookmarkStart w:id="5296" w:name="_Caption9014"/>
      <w:bookmarkStart w:id="5297" w:name="_Caption7578"/>
      <w:bookmarkStart w:id="5298" w:name="_Caption9574"/>
      <w:bookmarkStart w:id="5299" w:name="_Caption5105"/>
      <w:bookmarkStart w:id="5300" w:name="_Caption2698"/>
      <w:bookmarkStart w:id="5301" w:name="_Caption9992"/>
      <w:bookmarkStart w:id="5302" w:name="_Caption0202"/>
      <w:bookmarkStart w:id="5303" w:name="_Caption0016"/>
      <w:bookmarkStart w:id="5304" w:name="_Caption4483"/>
      <w:bookmarkStart w:id="5305" w:name="_Caption0754"/>
      <w:bookmarkStart w:id="5306" w:name="_Caption7367"/>
      <w:bookmarkStart w:id="5307" w:name="_Caption4796"/>
      <w:bookmarkStart w:id="5308" w:name="_Caption1821"/>
      <w:bookmarkStart w:id="5309" w:name="_Caption2078"/>
      <w:bookmarkStart w:id="5310" w:name="_Caption2861"/>
      <w:bookmarkStart w:id="5311" w:name="_Caption4736"/>
      <w:bookmarkStart w:id="5312" w:name="_Caption6149"/>
      <w:bookmarkStart w:id="5313" w:name="_Caption4077"/>
      <w:bookmarkStart w:id="5314" w:name="_Caption8493"/>
      <w:bookmarkStart w:id="5315" w:name="_Caption4234"/>
      <w:bookmarkStart w:id="5316" w:name="_Caption8665"/>
      <w:bookmarkStart w:id="5317" w:name="_Caption2603"/>
      <w:bookmarkStart w:id="5318" w:name="_Caption6317"/>
      <w:bookmarkStart w:id="5319" w:name="_Caption3273"/>
      <w:bookmarkStart w:id="5320" w:name="_Caption2891"/>
      <w:bookmarkStart w:id="5321" w:name="_Caption0455"/>
      <w:bookmarkStart w:id="5322" w:name="_Caption8139"/>
      <w:bookmarkStart w:id="5323" w:name="_Caption4980"/>
      <w:bookmarkStart w:id="5324" w:name="_Caption5479"/>
      <w:bookmarkStart w:id="5325" w:name="_Caption7056"/>
      <w:bookmarkStart w:id="5326" w:name="_Caption2724"/>
      <w:bookmarkStart w:id="5327" w:name="_Caption7732"/>
      <w:bookmarkStart w:id="5328" w:name="_Caption7680"/>
      <w:bookmarkStart w:id="5329" w:name="_Caption8894"/>
      <w:bookmarkStart w:id="5330" w:name="_Caption0495"/>
      <w:bookmarkStart w:id="5331" w:name="_Caption3516"/>
      <w:bookmarkStart w:id="5332" w:name="_Caption2786"/>
      <w:bookmarkStart w:id="5333" w:name="_Caption8935"/>
      <w:bookmarkStart w:id="5334" w:name="_Caption7740"/>
      <w:bookmarkStart w:id="5335" w:name="_Caption8883"/>
      <w:bookmarkStart w:id="5336" w:name="_Caption7644"/>
      <w:bookmarkStart w:id="5337" w:name="_Caption8620"/>
      <w:bookmarkStart w:id="5338" w:name="_Caption3279"/>
      <w:bookmarkStart w:id="5339" w:name="_Caption4657"/>
      <w:bookmarkStart w:id="5340" w:name="_Caption8906"/>
      <w:bookmarkStart w:id="5341" w:name="_Caption1712"/>
      <w:bookmarkStart w:id="5342" w:name="_Toc19275632"/>
      <w:bookmarkStart w:id="5343" w:name="_Toc19276242"/>
      <w:bookmarkStart w:id="5344" w:name="_Toc19280241"/>
      <w:r w:rsidR="00C353B5">
        <w:rPr>
          <w:noProof/>
        </w:rPr>
        <w:t>8</w:t>
      </w:r>
      <w:r w:rsidR="00C353B5" w:rsidRPr="00E239B7">
        <w:rPr>
          <w:noProof/>
        </w:rPr>
        <w:t>.</w:t>
      </w:r>
      <w:r w:rsidR="00C353B5">
        <w:rPr>
          <w:noProof/>
        </w:rPr>
        <w:t>8</w:t>
      </w:r>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r w:rsidRPr="00E239B7">
        <w:fldChar w:fldCharType="end"/>
      </w:r>
      <w:r w:rsidRPr="00E239B7">
        <w:tab/>
        <w:t>Median kilograms Co2 emissions per occupied room, by location and service type, 2016</w:t>
      </w:r>
      <w:bookmarkEnd w:id="5342"/>
      <w:bookmarkEnd w:id="5343"/>
      <w:bookmarkEnd w:id="5344"/>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1ACD5323" w14:textId="77777777" w:rsidTr="00ED0E85">
        <w:trPr>
          <w:cantSplit/>
        </w:trPr>
        <w:tc>
          <w:tcPr>
            <w:tcW w:w="7938" w:type="dxa"/>
            <w:shd w:val="clear" w:color="auto" w:fill="E9E8E5" w:themeFill="background2"/>
          </w:tcPr>
          <w:p w14:paraId="0901880F" w14:textId="77777777" w:rsidR="00ED0E85" w:rsidRDefault="00ED0E85" w:rsidP="00ED0E85">
            <w:pPr>
              <w:pStyle w:val="Chart"/>
              <w:jc w:val="center"/>
            </w:pPr>
            <w:r w:rsidRPr="00E239B7">
              <w:rPr>
                <w:noProof/>
                <w:lang w:eastAsia="en-AU"/>
              </w:rPr>
              <w:drawing>
                <wp:inline distT="0" distB="0" distL="0" distR="0" wp14:anchorId="43E935F2" wp14:editId="64C75469">
                  <wp:extent cx="4876800" cy="25050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76800" cy="2505075"/>
                          </a:xfrm>
                          <a:prstGeom prst="rect">
                            <a:avLst/>
                          </a:prstGeom>
                          <a:noFill/>
                          <a:ln>
                            <a:noFill/>
                          </a:ln>
                        </pic:spPr>
                      </pic:pic>
                    </a:graphicData>
                  </a:graphic>
                </wp:inline>
              </w:drawing>
            </w:r>
          </w:p>
        </w:tc>
      </w:tr>
    </w:tbl>
    <w:p w14:paraId="51FB1538" w14:textId="77777777" w:rsidR="00ED0E85" w:rsidRDefault="00ED0E85" w:rsidP="00ED0E85">
      <w:pPr>
        <w:pStyle w:val="Source"/>
      </w:pPr>
      <w:r>
        <w:rPr>
          <w:i/>
        </w:rPr>
        <w:t>Data source</w:t>
      </w:r>
      <w:r w:rsidRPr="00A67576">
        <w:rPr>
          <w:i/>
        </w:rPr>
        <w:t>:</w:t>
      </w:r>
      <w:r>
        <w:t xml:space="preserve"> Cornell Hotel Sustainability Benchmark index cited in Urban Land Institute (2019), </w:t>
      </w:r>
      <w:r>
        <w:rPr>
          <w:i/>
          <w:iCs/>
        </w:rPr>
        <w:t xml:space="preserve">Sustainability in Hotels, </w:t>
      </w:r>
      <w:r>
        <w:t>p 9.</w:t>
      </w:r>
    </w:p>
    <w:p w14:paraId="2869E554" w14:textId="77777777" w:rsidR="00ED0E85" w:rsidRDefault="00ED0E85" w:rsidP="00ED0E85">
      <w:pPr>
        <w:pStyle w:val="Heading2"/>
        <w:numPr>
          <w:ilvl w:val="1"/>
          <w:numId w:val="5"/>
        </w:numPr>
        <w:rPr>
          <w:lang w:eastAsia="en-US"/>
        </w:rPr>
      </w:pPr>
      <w:bookmarkStart w:id="5345" w:name="_Toc19275532"/>
      <w:bookmarkStart w:id="5346" w:name="_Toc19276142"/>
      <w:bookmarkStart w:id="5347" w:name="_Toc19280141"/>
      <w:r>
        <w:rPr>
          <w:lang w:eastAsia="en-US"/>
        </w:rPr>
        <w:t>The effectiveness of ratings tools to reduce energy consumption</w:t>
      </w:r>
      <w:bookmarkEnd w:id="5345"/>
      <w:bookmarkEnd w:id="5346"/>
      <w:bookmarkEnd w:id="5347"/>
    </w:p>
    <w:p w14:paraId="018F9525" w14:textId="77777777" w:rsidR="00ED0E85" w:rsidRDefault="00ED0E85" w:rsidP="00ED0E85">
      <w:pPr>
        <w:pStyle w:val="BodyText"/>
      </w:pPr>
      <w:r>
        <w:t xml:space="preserve">There are many globally recognised ratings systems to measure the sustainability of a hotel. Ratings can be based on construction and design as well as performance, or may focus on just one of these variables. This regulatory approach is one method to reduce emissions with some hotels announcing that they have received a rating under a particular system. </w:t>
      </w:r>
    </w:p>
    <w:p w14:paraId="7C5966CF" w14:textId="77777777" w:rsidR="00ED0E85" w:rsidRDefault="00ED0E85" w:rsidP="00ED0E85">
      <w:pPr>
        <w:pStyle w:val="BodyText"/>
      </w:pPr>
      <w:r>
        <w:t xml:space="preserve">Many larger hotel brands have established targets within their sustainability reports to reduce their energy consumption and/or set emission reduction targets. It appears that hotels do not just rely on regulatory controls to take this action and that it is an internal business decision.  </w:t>
      </w:r>
    </w:p>
    <w:p w14:paraId="0CCA0026" w14:textId="77777777" w:rsidR="00ED0E85" w:rsidRDefault="00ED0E85" w:rsidP="00ED0E85">
      <w:pPr>
        <w:pStyle w:val="BodyText"/>
      </w:pPr>
      <w:r>
        <w:t xml:space="preserve">In terms of the ratings systems, for customers going to the hotel’s website, it is generally clear that they have a rating, although information is not always readily available on what the rating means. Although, for customer bookings made through third party websites, environmental or sustainability ratings are generally not displayed, meaning that consumer decisions are made without consideration to these rating systems. </w:t>
      </w:r>
    </w:p>
    <w:p w14:paraId="3C7474DE" w14:textId="77777777" w:rsidR="00ED0E85" w:rsidRDefault="00ED0E85" w:rsidP="00ED0E85">
      <w:pPr>
        <w:pStyle w:val="BodyText"/>
      </w:pPr>
      <w:r>
        <w:t xml:space="preserve">There are hundreds of ratings systems globally. This section focuses on some key systems, including some systems currently used in Australia. </w:t>
      </w:r>
    </w:p>
    <w:p w14:paraId="5AB431ED" w14:textId="77777777" w:rsidR="00ED0E85" w:rsidRDefault="00ED0E85" w:rsidP="00ED0E85">
      <w:pPr>
        <w:pStyle w:val="Heading3"/>
        <w:numPr>
          <w:ilvl w:val="2"/>
          <w:numId w:val="5"/>
        </w:numPr>
      </w:pPr>
      <w:r>
        <w:t>Eco Certified Tourism</w:t>
      </w:r>
    </w:p>
    <w:p w14:paraId="4DEC43AA" w14:textId="77777777" w:rsidR="00ED0E85" w:rsidRDefault="00ED0E85" w:rsidP="00ED0E85">
      <w:pPr>
        <w:pStyle w:val="BodyText"/>
      </w:pPr>
      <w:r>
        <w:t>Ecotourism Australia (EA) is a not for profit organisation focused on inspiring environmentally sustainable and culturally responsible tourism. Certification is for tours, accommodation and attractions. The program offers three levels of certification:</w:t>
      </w:r>
      <w:r>
        <w:rPr>
          <w:rStyle w:val="FootnoteReference"/>
        </w:rPr>
        <w:footnoteReference w:id="56"/>
      </w:r>
      <w:r>
        <w:t xml:space="preserve"> </w:t>
      </w:r>
    </w:p>
    <w:p w14:paraId="7BECA02E" w14:textId="77777777" w:rsidR="00ED0E85" w:rsidRDefault="00ED0E85" w:rsidP="00ED0E85">
      <w:pPr>
        <w:pStyle w:val="ListBullet"/>
      </w:pPr>
      <w:r>
        <w:t>Nature Tourism - Tourism in natural areas that leaves minimal impact on the environment.</w:t>
      </w:r>
    </w:p>
    <w:p w14:paraId="3FC9F33B" w14:textId="77777777" w:rsidR="00ED0E85" w:rsidRDefault="00ED0E85" w:rsidP="00ED0E85">
      <w:pPr>
        <w:pStyle w:val="ListBullet"/>
      </w:pPr>
      <w:r>
        <w:t>Ecotourism - tourism in a natural area that focuses on optimal resources use, leaves minimal impact on the environment and offers interesting ways to learn about the environment with operators that use resources wisely, contribute to conserving the environment and help local communities.</w:t>
      </w:r>
    </w:p>
    <w:p w14:paraId="4184F547" w14:textId="77777777" w:rsidR="00ED0E85" w:rsidRDefault="00ED0E85" w:rsidP="00ED0E85">
      <w:pPr>
        <w:pStyle w:val="ListBullet"/>
      </w:pPr>
      <w:r>
        <w:t>Advanced Ecotourism - Australia's leading and most innovative ecotourism products that operate with minimal impact on the environment and provide opportunities to learn about the environment with operators who are committed to achieving best practice, using resources wisely, contributing to conserving the environment and helping local communities.</w:t>
      </w:r>
    </w:p>
    <w:p w14:paraId="24C26C47" w14:textId="77777777" w:rsidR="00ED0E85" w:rsidRDefault="00ED0E85" w:rsidP="00ED0E85">
      <w:pPr>
        <w:pStyle w:val="ListBullet"/>
        <w:numPr>
          <w:ilvl w:val="0"/>
          <w:numId w:val="0"/>
        </w:numPr>
      </w:pPr>
      <w:r>
        <w:t>There are 125 accommodation locations in Australia with some level of certification under this program.</w:t>
      </w:r>
      <w:r>
        <w:rPr>
          <w:rStyle w:val="FootnoteReference"/>
        </w:rPr>
        <w:footnoteReference w:id="57"/>
      </w:r>
      <w:r>
        <w:t xml:space="preserve"> </w:t>
      </w:r>
    </w:p>
    <w:p w14:paraId="51C09E35" w14:textId="77777777" w:rsidR="00ED0E85" w:rsidRPr="001036E6" w:rsidRDefault="00ED0E85" w:rsidP="00ED0E85">
      <w:pPr>
        <w:pStyle w:val="ListBullet"/>
        <w:numPr>
          <w:ilvl w:val="0"/>
          <w:numId w:val="0"/>
        </w:numPr>
      </w:pPr>
      <w:r>
        <w:t>They also offer Climate Action Certification where many initiatives offered under this program provide cost savings to the business through efficiency gains.</w:t>
      </w:r>
      <w:r>
        <w:rPr>
          <w:rStyle w:val="FootnoteReference"/>
        </w:rPr>
        <w:footnoteReference w:id="58"/>
      </w:r>
      <w:r>
        <w:t xml:space="preserve"> </w:t>
      </w:r>
    </w:p>
    <w:p w14:paraId="65823CDB" w14:textId="77777777" w:rsidR="00ED0E85" w:rsidRPr="005501A7" w:rsidRDefault="00ED0E85" w:rsidP="00ED0E85">
      <w:pPr>
        <w:pStyle w:val="Heading3"/>
        <w:numPr>
          <w:ilvl w:val="2"/>
          <w:numId w:val="5"/>
        </w:numPr>
      </w:pPr>
      <w:r>
        <w:t xml:space="preserve">Green Star </w:t>
      </w:r>
    </w:p>
    <w:p w14:paraId="50658316" w14:textId="77777777" w:rsidR="00ED0E85" w:rsidRDefault="00ED0E85" w:rsidP="00ED0E85">
      <w:pPr>
        <w:pStyle w:val="BodyText"/>
      </w:pPr>
      <w:r>
        <w:t>Green Star was launched in 2003 by the Green Building Council of Australia. A Green Star Certification is based on sustainable design and construction, as well as performance across a range of categories such as transport, land use, water, energy and materials. The rating system has been used for office space, shopping centres, universities, apartment blocks and, more recently, hotels. The rating system is from zero to six stars, but buildings need to qualify for at least four stars before they are eligible for the certification.</w:t>
      </w:r>
      <w:r>
        <w:rPr>
          <w:rStyle w:val="FootnoteReference"/>
        </w:rPr>
        <w:footnoteReference w:id="59"/>
      </w:r>
      <w:r>
        <w:t xml:space="preserve"> Each building is given a scorecard based on their performance. Buildings incorporate information gathered under NABERS as part of their scorecard. </w:t>
      </w:r>
    </w:p>
    <w:p w14:paraId="6162C18D" w14:textId="77777777" w:rsidR="00ED0E85" w:rsidRDefault="00ED0E85" w:rsidP="00ED0E85">
      <w:pPr>
        <w:pStyle w:val="BodyText"/>
      </w:pPr>
      <w:r>
        <w:t>A review</w:t>
      </w:r>
      <w:r>
        <w:rPr>
          <w:rStyle w:val="FootnoteReference"/>
        </w:rPr>
        <w:footnoteReference w:id="60"/>
      </w:r>
      <w:r>
        <w:t xml:space="preserve"> of Green Star after 10 years of operation found, on average (i.e., across all building types): </w:t>
      </w:r>
    </w:p>
    <w:p w14:paraId="24A820E8" w14:textId="77777777" w:rsidR="00ED0E85" w:rsidRDefault="00ED0E85" w:rsidP="00ED0E85">
      <w:pPr>
        <w:pStyle w:val="ListBullet"/>
      </w:pPr>
      <w:r>
        <w:t xml:space="preserve">Green Star certified buildings produce 62% fewer greenhouse gas emissions than average Australian buildings. </w:t>
      </w:r>
    </w:p>
    <w:p w14:paraId="61032039" w14:textId="77777777" w:rsidR="00ED0E85" w:rsidRDefault="00ED0E85" w:rsidP="00ED0E85">
      <w:pPr>
        <w:pStyle w:val="ListBullet"/>
      </w:pPr>
      <w:r>
        <w:t xml:space="preserve">Green Star certified buildings produce 45% fewer greenhouse gas emissions than if they had been built to meet minimum industry requirements. </w:t>
      </w:r>
    </w:p>
    <w:p w14:paraId="4FF81089" w14:textId="77777777" w:rsidR="00ED0E85" w:rsidRDefault="00ED0E85" w:rsidP="00ED0E85">
      <w:pPr>
        <w:pStyle w:val="ListBullet"/>
      </w:pPr>
      <w:r>
        <w:t xml:space="preserve">Green Star certified buildings use 66% less electricity than average Australian buildings. </w:t>
      </w:r>
    </w:p>
    <w:p w14:paraId="7A9F2BD6" w14:textId="77777777" w:rsidR="00ED0E85" w:rsidRDefault="00ED0E85" w:rsidP="00ED0E85">
      <w:pPr>
        <w:pStyle w:val="ListBullet"/>
      </w:pPr>
      <w:r>
        <w:t>Green Star certified buildings use 50% less electricity than if they had been built to meet minimum industry requirements.</w:t>
      </w:r>
    </w:p>
    <w:p w14:paraId="4761A94D" w14:textId="77777777" w:rsidR="00ED0E85" w:rsidRDefault="00ED0E85" w:rsidP="00ED0E85">
      <w:pPr>
        <w:pStyle w:val="Heading3"/>
        <w:numPr>
          <w:ilvl w:val="2"/>
          <w:numId w:val="5"/>
        </w:numPr>
      </w:pPr>
      <w:r>
        <w:t>Earth Check</w:t>
      </w:r>
    </w:p>
    <w:p w14:paraId="08A8D2DB" w14:textId="77777777" w:rsidR="00ED0E85" w:rsidRDefault="00ED0E85" w:rsidP="00ED0E85">
      <w:pPr>
        <w:pStyle w:val="BodyText"/>
      </w:pPr>
      <w:r>
        <w:t>EarthCheck is a global environmental certification and scientific benchmarking program for the travel and tourism sectors. EarthCheck's scientific systems were developed by the Cooperative Research Centre for Sustainable Tourism in Australia over a 10 year period.  EarthCheck Certified is built on the Agenda 21 principles for Sustainable Development endorsed by 182 Heads of State at the United Nations Rio De Janeiro Earth Summit in 1992.</w:t>
      </w:r>
      <w:r>
        <w:rPr>
          <w:rStyle w:val="FootnoteReference"/>
        </w:rPr>
        <w:footnoteReference w:id="61"/>
      </w:r>
      <w:r>
        <w:t xml:space="preserve"> </w:t>
      </w:r>
    </w:p>
    <w:p w14:paraId="4FADD3E7" w14:textId="77777777" w:rsidR="00ED0E85" w:rsidRDefault="00ED0E85" w:rsidP="00ED0E85">
      <w:pPr>
        <w:pStyle w:val="BodyText"/>
      </w:pPr>
      <w:r>
        <w:t>The ratings system for EarthCheck Certification are:</w:t>
      </w:r>
      <w:r>
        <w:rPr>
          <w:rStyle w:val="FootnoteReference"/>
        </w:rPr>
        <w:footnoteReference w:id="62"/>
      </w:r>
      <w:r>
        <w:t xml:space="preserve"> </w:t>
      </w:r>
    </w:p>
    <w:p w14:paraId="5AA73589" w14:textId="77777777" w:rsidR="00ED0E85" w:rsidRDefault="00ED0E85" w:rsidP="00ED0E85">
      <w:pPr>
        <w:pStyle w:val="ListBullet"/>
      </w:pPr>
      <w:r>
        <w:t xml:space="preserve">Bronze - Benchmarked not certified </w:t>
      </w:r>
    </w:p>
    <w:p w14:paraId="5BBDA2D5" w14:textId="77777777" w:rsidR="00ED0E85" w:rsidRDefault="00ED0E85" w:rsidP="00ED0E85">
      <w:pPr>
        <w:pStyle w:val="ListBullet"/>
      </w:pPr>
      <w:r>
        <w:t>Silver – Certified</w:t>
      </w:r>
    </w:p>
    <w:p w14:paraId="151CABF5" w14:textId="77777777" w:rsidR="00ED0E85" w:rsidRDefault="00ED0E85" w:rsidP="00ED0E85">
      <w:pPr>
        <w:pStyle w:val="ListBullet"/>
      </w:pPr>
      <w:r>
        <w:t xml:space="preserve">Gold - Five to nine years of continuous certification </w:t>
      </w:r>
    </w:p>
    <w:p w14:paraId="07FDA309" w14:textId="77777777" w:rsidR="00ED0E85" w:rsidRDefault="00ED0E85" w:rsidP="00ED0E85">
      <w:pPr>
        <w:pStyle w:val="ListBullet"/>
      </w:pPr>
      <w:r>
        <w:t xml:space="preserve">Platinum - More than 10 years of continuous certification </w:t>
      </w:r>
    </w:p>
    <w:p w14:paraId="28643942" w14:textId="77777777" w:rsidR="00ED0E85" w:rsidRDefault="00ED0E85" w:rsidP="00ED0E85">
      <w:pPr>
        <w:pStyle w:val="BodyText"/>
      </w:pPr>
      <w:r>
        <w:t xml:space="preserve">EarthCheck is a performance-based scheme. The process begins with benchmarking a company’s business sustainability performance quantitatively against a sector baseline to highlight areas for improvement. </w:t>
      </w:r>
    </w:p>
    <w:p w14:paraId="27F55A2A" w14:textId="77777777" w:rsidR="00ED0E85" w:rsidRDefault="00ED0E85" w:rsidP="00ED0E85">
      <w:pPr>
        <w:pStyle w:val="BodyText"/>
      </w:pPr>
      <w:r>
        <w:t>Certification is given to a company that demonstrates 100% compliance with the EarthCheck Company Standard which has been verified by third party auditors.</w:t>
      </w:r>
      <w:r>
        <w:rPr>
          <w:rStyle w:val="FootnoteReference"/>
        </w:rPr>
        <w:footnoteReference w:id="63"/>
      </w:r>
      <w:r>
        <w:t xml:space="preserve"> The EarthCheck Company Standard addresses the Sustainable Development Goals (SDGs)</w:t>
      </w:r>
      <w:r>
        <w:rPr>
          <w:rStyle w:val="FootnoteReference"/>
        </w:rPr>
        <w:footnoteReference w:id="64"/>
      </w:r>
      <w:r>
        <w:t xml:space="preserve"> with qualitative criteria and also assesses the quantitative progress towards achieving the SDGs with its benchmarking indicators (which speak directly to the certified standard’s criteria).</w:t>
      </w:r>
    </w:p>
    <w:p w14:paraId="0A90D826" w14:textId="77777777" w:rsidR="00ED0E85" w:rsidRDefault="00ED0E85" w:rsidP="00ED0E85">
      <w:pPr>
        <w:pStyle w:val="BodyText"/>
      </w:pPr>
      <w:r>
        <w:t xml:space="preserve">The certification process involves assessing applicants across a range of key performance areas (KPAs) related to environment and sustainable practices such as greenhouse gases; energy efficiency, conservation and management; management of freshwater resources; and air quality protection. The company must retain data on these KPAs. </w:t>
      </w:r>
    </w:p>
    <w:p w14:paraId="71C0E9F1" w14:textId="77777777" w:rsidR="00ED0E85" w:rsidRDefault="00ED0E85" w:rsidP="00ED0E85">
      <w:pPr>
        <w:pStyle w:val="BodyText"/>
      </w:pPr>
      <w:r>
        <w:t>Hotels develop or demonstrate the existence of a sustainability approach that address the KPAs based on the risk assessment of their setting – location, local impacts and size.</w:t>
      </w:r>
      <w:r>
        <w:rPr>
          <w:rStyle w:val="FootnoteReference"/>
        </w:rPr>
        <w:footnoteReference w:id="65"/>
      </w:r>
      <w:r>
        <w:t xml:space="preserve"> </w:t>
      </w:r>
    </w:p>
    <w:bookmarkEnd w:id="4998"/>
    <w:p w14:paraId="10DBAEFA" w14:textId="77777777" w:rsidR="00ED0E85" w:rsidRPr="00504303" w:rsidRDefault="00ED0E85" w:rsidP="00ED0E85">
      <w:pPr>
        <w:pStyle w:val="Heading3"/>
        <w:numPr>
          <w:ilvl w:val="2"/>
          <w:numId w:val="5"/>
        </w:numPr>
      </w:pPr>
      <w:r>
        <w:t>NABERS energy</w:t>
      </w:r>
    </w:p>
    <w:p w14:paraId="56D45A00" w14:textId="77777777" w:rsidR="00ED0E85" w:rsidRDefault="00ED0E85" w:rsidP="00ED0E85">
      <w:pPr>
        <w:pStyle w:val="BodyText"/>
      </w:pPr>
      <w:r>
        <w:t>The NABERS hotel energy tool applies to accommodation hotels. NABERS compares like with like in recognition that there are fundamental differences between hotels (star rating, number of guest rooms, onsite laundry services, size of heating pools and function rooms). The average number of guest rooms for hotels that have been rated is 265, with the minimum being 10 rooms and the maximum 630 rooms.</w:t>
      </w:r>
    </w:p>
    <w:p w14:paraId="2B8DA025" w14:textId="261A0B45" w:rsidR="00ED0E85" w:rsidRDefault="00ED0E85" w:rsidP="00ED0E85">
      <w:pPr>
        <w:pStyle w:val="BodyText"/>
      </w:pPr>
      <w:r>
        <w:t>Following the release of the NABERS Hotel Energy tool, there was initially reasonable uptake with the number of current ratings reaching 32 a couple of years after it was released (chart </w:t>
      </w:r>
      <w:r w:rsidR="004550CB">
        <w:rPr>
          <w:noProof/>
        </w:rPr>
        <w:fldChar w:fldCharType="begin"/>
      </w:r>
      <w:r w:rsidR="004550CB">
        <w:rPr>
          <w:noProof/>
        </w:rPr>
        <w:instrText xml:space="preserve"> REF _Caption3457 </w:instrText>
      </w:r>
      <w:r w:rsidR="004550CB">
        <w:rPr>
          <w:noProof/>
        </w:rPr>
        <w:fldChar w:fldCharType="separate"/>
      </w:r>
      <w:r w:rsidR="00AD3561">
        <w:rPr>
          <w:noProof/>
        </w:rPr>
        <w:t>8</w:t>
      </w:r>
      <w:r w:rsidR="00AD3561" w:rsidRPr="00072AB0">
        <w:rPr>
          <w:noProof/>
        </w:rPr>
        <w:t>.</w:t>
      </w:r>
      <w:r w:rsidR="00AD3561">
        <w:rPr>
          <w:noProof/>
        </w:rPr>
        <w:t>9</w:t>
      </w:r>
      <w:r w:rsidR="004550CB">
        <w:rPr>
          <w:noProof/>
        </w:rPr>
        <w:fldChar w:fldCharType="end"/>
      </w:r>
      <w:r>
        <w:t>). However, the number of ratings subsequently declined, with only 3 current ratings as at June 2018 (all in NSW).</w:t>
      </w:r>
      <w:r>
        <w:rPr>
          <w:rStyle w:val="FootnoteReference"/>
        </w:rPr>
        <w:footnoteReference w:id="66"/>
      </w:r>
    </w:p>
    <w:p w14:paraId="734585BA" w14:textId="06E0F4F7" w:rsidR="00ED0E85" w:rsidRPr="00695C93" w:rsidRDefault="00ED0E85" w:rsidP="00ED0E85">
      <w:pPr>
        <w:pStyle w:val="Caption"/>
      </w:pPr>
      <w:r w:rsidRPr="00072AB0">
        <w:fldChar w:fldCharType="begin"/>
      </w:r>
      <w:r w:rsidRPr="00072AB0">
        <w:instrText xml:space="preserve"> IF 1 = 1 "</w:instrText>
      </w:r>
      <w:r w:rsidRPr="00072AB0">
        <w:fldChar w:fldCharType="begin"/>
      </w:r>
      <w:r w:rsidRPr="00072AB0">
        <w:instrText xml:space="preserve"> IF </w:instrText>
      </w:r>
      <w:r w:rsidRPr="00072AB0">
        <w:rPr>
          <w:noProof/>
        </w:rPr>
        <w:fldChar w:fldCharType="begin"/>
      </w:r>
      <w:r w:rsidRPr="00072AB0">
        <w:rPr>
          <w:noProof/>
        </w:rPr>
        <w:instrText xml:space="preserve"> STYLEREF "Heading 6" \l \n </w:instrText>
      </w:r>
      <w:r w:rsidRPr="00072AB0">
        <w:rPr>
          <w:noProof/>
        </w:rPr>
        <w:fldChar w:fldCharType="separate"/>
      </w:r>
      <w:r w:rsidR="00AD3561">
        <w:rPr>
          <w:noProof/>
        </w:rPr>
        <w:instrText>0</w:instrText>
      </w:r>
      <w:r w:rsidRPr="00072AB0">
        <w:rPr>
          <w:noProof/>
        </w:rPr>
        <w:fldChar w:fldCharType="end"/>
      </w:r>
      <w:r w:rsidRPr="00072AB0">
        <w:instrText xml:space="preserve"> = 0 "</w:instrText>
      </w:r>
      <w:r w:rsidRPr="00072AB0">
        <w:fldChar w:fldCharType="begin"/>
      </w:r>
      <w:r w:rsidRPr="00072AB0">
        <w:instrText xml:space="preserve"> IF </w:instrText>
      </w:r>
      <w:r w:rsidRPr="00072AB0">
        <w:rPr>
          <w:noProof/>
        </w:rPr>
        <w:fldChar w:fldCharType="begin"/>
      </w:r>
      <w:r w:rsidRPr="00072AB0">
        <w:rPr>
          <w:noProof/>
        </w:rPr>
        <w:instrText xml:space="preserve"> STYLEREF "Heading 1" \l \n </w:instrText>
      </w:r>
      <w:r w:rsidRPr="00072AB0">
        <w:rPr>
          <w:noProof/>
        </w:rPr>
        <w:fldChar w:fldCharType="separate"/>
      </w:r>
      <w:r w:rsidR="00AD3561">
        <w:rPr>
          <w:noProof/>
        </w:rPr>
        <w:instrText>8</w:instrText>
      </w:r>
      <w:r w:rsidRPr="00072AB0">
        <w:rPr>
          <w:noProof/>
        </w:rPr>
        <w:fldChar w:fldCharType="end"/>
      </w:r>
      <w:r w:rsidRPr="00072AB0">
        <w:instrText xml:space="preserve"> = 0 "" "</w:instrText>
      </w:r>
      <w:r w:rsidRPr="00072AB0">
        <w:rPr>
          <w:noProof/>
        </w:rPr>
        <w:fldChar w:fldCharType="begin"/>
      </w:r>
      <w:r w:rsidRPr="00072AB0">
        <w:rPr>
          <w:noProof/>
        </w:rPr>
        <w:instrText xml:space="preserve"> STYLEREF "Heading 1" \l \n </w:instrText>
      </w:r>
      <w:r w:rsidRPr="00072AB0">
        <w:rPr>
          <w:noProof/>
        </w:rPr>
        <w:fldChar w:fldCharType="separate"/>
      </w:r>
      <w:r w:rsidR="00AD3561">
        <w:rPr>
          <w:noProof/>
        </w:rPr>
        <w:instrText>8</w:instrText>
      </w:r>
      <w:r w:rsidRPr="00072AB0">
        <w:rPr>
          <w:noProof/>
        </w:rPr>
        <w:fldChar w:fldCharType="end"/>
      </w:r>
      <w:r w:rsidRPr="00072AB0">
        <w:instrText xml:space="preserve">." </w:instrText>
      </w:r>
      <w:r w:rsidRPr="00072AB0">
        <w:fldChar w:fldCharType="separate"/>
      </w:r>
      <w:r w:rsidR="00AD3561">
        <w:rPr>
          <w:noProof/>
        </w:rPr>
        <w:instrText>8</w:instrText>
      </w:r>
      <w:r w:rsidR="00AD3561" w:rsidRPr="00072AB0">
        <w:rPr>
          <w:noProof/>
        </w:rPr>
        <w:instrText>.</w:instrText>
      </w:r>
      <w:r w:rsidRPr="00072AB0">
        <w:fldChar w:fldCharType="end"/>
      </w:r>
      <w:r w:rsidRPr="00072AB0">
        <w:instrText>" "</w:instrText>
      </w:r>
      <w:r w:rsidRPr="00072AB0">
        <w:rPr>
          <w:noProof/>
        </w:rPr>
        <w:fldChar w:fldCharType="begin"/>
      </w:r>
      <w:r w:rsidRPr="00072AB0">
        <w:rPr>
          <w:noProof/>
        </w:rPr>
        <w:instrText xml:space="preserve"> STYLEREF "Heading 6" \l \n </w:instrText>
      </w:r>
      <w:r w:rsidRPr="00072AB0">
        <w:rPr>
          <w:noProof/>
        </w:rPr>
        <w:fldChar w:fldCharType="separate"/>
      </w:r>
      <w:r w:rsidRPr="00072AB0">
        <w:rPr>
          <w:noProof/>
        </w:rPr>
        <w:instrText>A</w:instrText>
      </w:r>
      <w:r w:rsidRPr="00072AB0">
        <w:rPr>
          <w:noProof/>
        </w:rPr>
        <w:fldChar w:fldCharType="end"/>
      </w:r>
      <w:r w:rsidRPr="00072AB0">
        <w:instrText xml:space="preserve">." </w:instrText>
      </w:r>
      <w:r w:rsidRPr="00072AB0">
        <w:fldChar w:fldCharType="separate"/>
      </w:r>
      <w:r w:rsidR="00C353B5">
        <w:rPr>
          <w:noProof/>
        </w:rPr>
        <w:instrText>8</w:instrText>
      </w:r>
      <w:r w:rsidR="00C353B5" w:rsidRPr="00072AB0">
        <w:rPr>
          <w:noProof/>
        </w:rPr>
        <w:instrText>.</w:instrText>
      </w:r>
      <w:r w:rsidRPr="00072AB0">
        <w:fldChar w:fldCharType="end"/>
      </w:r>
      <w:r w:rsidRPr="00072AB0">
        <w:fldChar w:fldCharType="begin"/>
      </w:r>
      <w:r w:rsidRPr="00072AB0">
        <w:instrText xml:space="preserve"> SEQ Item \* ARABIC \s </w:instrText>
      </w:r>
      <w:r w:rsidRPr="00072AB0">
        <w:fldChar w:fldCharType="begin"/>
      </w:r>
      <w:r w:rsidRPr="00072AB0">
        <w:instrText xml:space="preserve"> IF </w:instrText>
      </w:r>
      <w:r w:rsidRPr="00072AB0">
        <w:rPr>
          <w:noProof/>
        </w:rPr>
        <w:fldChar w:fldCharType="begin"/>
      </w:r>
      <w:r w:rsidRPr="00072AB0">
        <w:rPr>
          <w:noProof/>
        </w:rPr>
        <w:instrText xml:space="preserve"> STYLEREF "Heading 6" \l \n </w:instrText>
      </w:r>
      <w:r w:rsidRPr="00072AB0">
        <w:rPr>
          <w:noProof/>
        </w:rPr>
        <w:fldChar w:fldCharType="separate"/>
      </w:r>
      <w:r w:rsidR="00AD3561">
        <w:rPr>
          <w:noProof/>
        </w:rPr>
        <w:instrText>0</w:instrText>
      </w:r>
      <w:r w:rsidRPr="00072AB0">
        <w:rPr>
          <w:noProof/>
        </w:rPr>
        <w:fldChar w:fldCharType="end"/>
      </w:r>
      <w:r w:rsidRPr="00072AB0">
        <w:instrText xml:space="preserve"> = 0 "</w:instrText>
      </w:r>
      <w:r w:rsidRPr="00072AB0">
        <w:fldChar w:fldCharType="begin"/>
      </w:r>
      <w:r w:rsidRPr="00072AB0">
        <w:instrText xml:space="preserve"> IF </w:instrText>
      </w:r>
      <w:r w:rsidRPr="00072AB0">
        <w:rPr>
          <w:noProof/>
        </w:rPr>
        <w:fldChar w:fldCharType="begin"/>
      </w:r>
      <w:r w:rsidRPr="00072AB0">
        <w:rPr>
          <w:noProof/>
        </w:rPr>
        <w:instrText xml:space="preserve"> STYLEREF "Heading 1" \l \n </w:instrText>
      </w:r>
      <w:r w:rsidRPr="00072AB0">
        <w:rPr>
          <w:noProof/>
        </w:rPr>
        <w:fldChar w:fldCharType="separate"/>
      </w:r>
      <w:r w:rsidR="00AD3561">
        <w:rPr>
          <w:noProof/>
        </w:rPr>
        <w:instrText>8</w:instrText>
      </w:r>
      <w:r w:rsidRPr="00072AB0">
        <w:rPr>
          <w:noProof/>
        </w:rPr>
        <w:fldChar w:fldCharType="end"/>
      </w:r>
      <w:r w:rsidRPr="00072AB0">
        <w:instrText xml:space="preserve"> = 0 "" "1" </w:instrText>
      </w:r>
      <w:r w:rsidRPr="00072AB0">
        <w:fldChar w:fldCharType="separate"/>
      </w:r>
      <w:r w:rsidR="00C353B5" w:rsidRPr="00072AB0">
        <w:rPr>
          <w:noProof/>
        </w:rPr>
        <w:instrText>1</w:instrText>
      </w:r>
      <w:r w:rsidRPr="00072AB0">
        <w:fldChar w:fldCharType="end"/>
      </w:r>
      <w:r w:rsidRPr="00072AB0">
        <w:instrText xml:space="preserve">" "6" </w:instrText>
      </w:r>
      <w:r w:rsidRPr="00072AB0">
        <w:fldChar w:fldCharType="separate"/>
      </w:r>
      <w:r w:rsidR="00C353B5" w:rsidRPr="00072AB0">
        <w:rPr>
          <w:noProof/>
        </w:rPr>
        <w:instrText>1</w:instrText>
      </w:r>
      <w:r w:rsidRPr="00072AB0">
        <w:fldChar w:fldCharType="end"/>
      </w:r>
      <w:r w:rsidRPr="00072AB0">
        <w:instrText xml:space="preserve"> </w:instrText>
      </w:r>
      <w:r w:rsidRPr="00072AB0">
        <w:fldChar w:fldCharType="separate"/>
      </w:r>
      <w:r w:rsidR="00AD3561">
        <w:rPr>
          <w:noProof/>
        </w:rPr>
        <w:instrText>9</w:instrText>
      </w:r>
      <w:r w:rsidRPr="00072AB0">
        <w:fldChar w:fldCharType="end"/>
      </w:r>
      <w:r w:rsidRPr="00072AB0">
        <w:instrText xml:space="preserve">" "" </w:instrText>
      </w:r>
      <w:r w:rsidRPr="00072AB0">
        <w:fldChar w:fldCharType="separate"/>
      </w:r>
      <w:bookmarkStart w:id="5348" w:name="_Caption7452"/>
      <w:bookmarkStart w:id="5349" w:name="_Caption1492"/>
      <w:bookmarkStart w:id="5350" w:name="_Caption4283"/>
      <w:bookmarkStart w:id="5351" w:name="_Caption3569"/>
      <w:bookmarkStart w:id="5352" w:name="_Caption3642"/>
      <w:bookmarkStart w:id="5353" w:name="_Caption4759"/>
      <w:bookmarkStart w:id="5354" w:name="_Caption3807"/>
      <w:bookmarkStart w:id="5355" w:name="_Caption4093"/>
      <w:bookmarkStart w:id="5356" w:name="_Caption1939"/>
      <w:bookmarkStart w:id="5357" w:name="_Caption7994"/>
      <w:bookmarkStart w:id="5358" w:name="_Caption7545"/>
      <w:bookmarkStart w:id="5359" w:name="_Caption3838"/>
      <w:bookmarkStart w:id="5360" w:name="_Caption7423"/>
      <w:bookmarkStart w:id="5361" w:name="_Caption6427"/>
      <w:bookmarkStart w:id="5362" w:name="_Caption7422"/>
      <w:bookmarkStart w:id="5363" w:name="_Caption2431"/>
      <w:bookmarkStart w:id="5364" w:name="_Caption6781"/>
      <w:bookmarkStart w:id="5365" w:name="_Caption2489"/>
      <w:bookmarkStart w:id="5366" w:name="_Caption0866"/>
      <w:bookmarkStart w:id="5367" w:name="_Caption4822"/>
      <w:bookmarkStart w:id="5368" w:name="_Caption0646"/>
      <w:bookmarkStart w:id="5369" w:name="_Caption3466"/>
      <w:bookmarkStart w:id="5370" w:name="_Caption4168"/>
      <w:bookmarkStart w:id="5371" w:name="_Caption1598"/>
      <w:bookmarkStart w:id="5372" w:name="_Caption4142"/>
      <w:bookmarkStart w:id="5373" w:name="_Caption2689"/>
      <w:bookmarkStart w:id="5374" w:name="_Caption4261"/>
      <w:bookmarkStart w:id="5375" w:name="_Caption9475"/>
      <w:bookmarkStart w:id="5376" w:name="_Caption1015"/>
      <w:bookmarkStart w:id="5377" w:name="_Caption9118"/>
      <w:bookmarkStart w:id="5378" w:name="_Caption4394"/>
      <w:bookmarkStart w:id="5379" w:name="_Caption9480"/>
      <w:bookmarkStart w:id="5380" w:name="_Caption2222"/>
      <w:bookmarkStart w:id="5381" w:name="_Caption7886"/>
      <w:bookmarkStart w:id="5382" w:name="_Caption6440"/>
      <w:bookmarkStart w:id="5383" w:name="_Caption3934"/>
      <w:bookmarkStart w:id="5384" w:name="_Caption2693"/>
      <w:bookmarkStart w:id="5385" w:name="_Caption7845"/>
      <w:bookmarkStart w:id="5386" w:name="_Caption1878"/>
      <w:bookmarkStart w:id="5387" w:name="_Caption2964"/>
      <w:bookmarkStart w:id="5388" w:name="_Caption2518"/>
      <w:bookmarkStart w:id="5389" w:name="_Caption9544"/>
      <w:bookmarkStart w:id="5390" w:name="_Caption3784"/>
      <w:bookmarkStart w:id="5391" w:name="_Caption4345"/>
      <w:bookmarkStart w:id="5392" w:name="_Caption3457"/>
      <w:bookmarkStart w:id="5393" w:name="_Caption3058"/>
      <w:bookmarkStart w:id="5394" w:name="_Caption7304"/>
      <w:bookmarkStart w:id="5395" w:name="_Caption9786"/>
      <w:bookmarkStart w:id="5396" w:name="_Caption5659"/>
      <w:bookmarkStart w:id="5397" w:name="_Caption4780"/>
      <w:bookmarkStart w:id="5398" w:name="_Caption0886"/>
      <w:bookmarkStart w:id="5399" w:name="_Caption4876"/>
      <w:bookmarkStart w:id="5400" w:name="_Caption5456"/>
      <w:bookmarkStart w:id="5401" w:name="_Caption4662"/>
      <w:bookmarkStart w:id="5402" w:name="_Caption0153"/>
      <w:bookmarkStart w:id="5403" w:name="_Caption8525"/>
      <w:bookmarkStart w:id="5404" w:name="_Caption9101"/>
      <w:bookmarkStart w:id="5405" w:name="_Caption6340"/>
      <w:bookmarkStart w:id="5406" w:name="_Caption5038"/>
      <w:bookmarkStart w:id="5407" w:name="_Caption8747"/>
      <w:bookmarkStart w:id="5408" w:name="_Toc19275633"/>
      <w:bookmarkStart w:id="5409" w:name="_Toc19276243"/>
      <w:bookmarkStart w:id="5410" w:name="_Toc19280242"/>
      <w:r w:rsidR="00C353B5">
        <w:rPr>
          <w:noProof/>
        </w:rPr>
        <w:t>8</w:t>
      </w:r>
      <w:r w:rsidR="00C353B5" w:rsidRPr="00072AB0">
        <w:rPr>
          <w:noProof/>
        </w:rPr>
        <w:t>.</w:t>
      </w:r>
      <w:r w:rsidR="00C353B5">
        <w:rPr>
          <w:noProof/>
        </w:rPr>
        <w:t>9</w:t>
      </w:r>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r w:rsidRPr="00072AB0">
        <w:fldChar w:fldCharType="end"/>
      </w:r>
      <w:r w:rsidRPr="00072AB0">
        <w:tab/>
        <w:t>Number of NABERS Hotel Energy ratings over time</w:t>
      </w:r>
      <w:bookmarkEnd w:id="5408"/>
      <w:bookmarkEnd w:id="5409"/>
      <w:bookmarkEnd w:id="5410"/>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192ED5C0" w14:textId="77777777" w:rsidTr="00ED0E85">
        <w:trPr>
          <w:cantSplit/>
        </w:trPr>
        <w:tc>
          <w:tcPr>
            <w:tcW w:w="7938" w:type="dxa"/>
            <w:shd w:val="clear" w:color="auto" w:fill="E9E8E5" w:themeFill="background2"/>
          </w:tcPr>
          <w:p w14:paraId="4D282C0D" w14:textId="77777777" w:rsidR="00ED0E85" w:rsidRDefault="00E35784" w:rsidP="00ED0E85">
            <w:pPr>
              <w:pStyle w:val="Chart"/>
              <w:jc w:val="center"/>
            </w:pPr>
            <w:r w:rsidRPr="00E35784">
              <w:rPr>
                <w:noProof/>
                <w:lang w:eastAsia="en-AU"/>
              </w:rPr>
              <w:drawing>
                <wp:inline distT="0" distB="0" distL="0" distR="0" wp14:anchorId="4DFE35A2" wp14:editId="2C5C5A80">
                  <wp:extent cx="4879340" cy="249364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879340" cy="2493645"/>
                          </a:xfrm>
                          <a:prstGeom prst="rect">
                            <a:avLst/>
                          </a:prstGeom>
                          <a:noFill/>
                          <a:ln>
                            <a:noFill/>
                          </a:ln>
                        </pic:spPr>
                      </pic:pic>
                    </a:graphicData>
                  </a:graphic>
                </wp:inline>
              </w:drawing>
            </w:r>
          </w:p>
        </w:tc>
      </w:tr>
    </w:tbl>
    <w:p w14:paraId="34CAF739" w14:textId="77777777" w:rsidR="00ED0E85" w:rsidRDefault="00ED0E85" w:rsidP="00ED0E85">
      <w:pPr>
        <w:pStyle w:val="Source"/>
      </w:pPr>
      <w:r>
        <w:rPr>
          <w:i/>
        </w:rPr>
        <w:t>Data source</w:t>
      </w:r>
      <w:r w:rsidRPr="00A67576">
        <w:rPr>
          <w:i/>
        </w:rPr>
        <w:t>:</w:t>
      </w:r>
      <w:r>
        <w:t xml:space="preserve"> NABERS Annual Report.</w:t>
      </w:r>
    </w:p>
    <w:p w14:paraId="697B22B1" w14:textId="77777777" w:rsidR="00ED0E85" w:rsidRDefault="00ED0E85" w:rsidP="00ED0E85">
      <w:pPr>
        <w:pStyle w:val="Heading3"/>
        <w:numPr>
          <w:ilvl w:val="2"/>
          <w:numId w:val="5"/>
        </w:numPr>
        <w:tabs>
          <w:tab w:val="left" w:pos="5812"/>
        </w:tabs>
      </w:pPr>
      <w:r>
        <w:t>Green Key</w:t>
      </w:r>
    </w:p>
    <w:p w14:paraId="33EECA1A" w14:textId="77777777" w:rsidR="00ED0E85" w:rsidRDefault="00ED0E85" w:rsidP="00ED0E85">
      <w:pPr>
        <w:pStyle w:val="BodyText"/>
      </w:pPr>
      <w:r>
        <w:t xml:space="preserve">Green Key is a worldwide ecolabel certification for businesses in the tourism sector. There are currently over 3000 awarded sites (hotels, hostels, small accommodation,  restaurants, conference centres, attractions and campsites) across 57 countries that have achieved Green Key Certification. </w:t>
      </w:r>
    </w:p>
    <w:p w14:paraId="6ACC0D34" w14:textId="77777777" w:rsidR="00ED0E85" w:rsidRDefault="00ED0E85" w:rsidP="00ED0E85">
      <w:pPr>
        <w:pStyle w:val="BodyText"/>
      </w:pPr>
      <w:r>
        <w:t>The aims of Green Key are to:</w:t>
      </w:r>
      <w:r>
        <w:rPr>
          <w:rStyle w:val="FootnoteReference"/>
        </w:rPr>
        <w:footnoteReference w:id="67"/>
      </w:r>
      <w:r>
        <w:t xml:space="preserve"> </w:t>
      </w:r>
    </w:p>
    <w:p w14:paraId="312361DA" w14:textId="77777777" w:rsidR="00ED0E85" w:rsidRPr="0035125F" w:rsidRDefault="00ED0E85" w:rsidP="00ED0E85">
      <w:pPr>
        <w:pStyle w:val="ListBullet"/>
      </w:pPr>
      <w:r w:rsidRPr="0035125F">
        <w:t>Increase the use of environmentally friendly and sustainable methods of operation and technology in the establishments and thereby reduce the overall use of resources.</w:t>
      </w:r>
    </w:p>
    <w:p w14:paraId="356DB9A5" w14:textId="77777777" w:rsidR="00ED0E85" w:rsidRPr="0035125F" w:rsidRDefault="00ED0E85" w:rsidP="00ED0E85">
      <w:pPr>
        <w:pStyle w:val="ListBullet"/>
      </w:pPr>
      <w:r w:rsidRPr="0035125F">
        <w:t>Raise awareness and create behavioural changes in guests, staff and suppliers of individual tourism establishments.</w:t>
      </w:r>
    </w:p>
    <w:p w14:paraId="4D77B36D" w14:textId="77777777" w:rsidR="00ED0E85" w:rsidRDefault="00ED0E85" w:rsidP="00ED0E85">
      <w:pPr>
        <w:pStyle w:val="ListBullet"/>
      </w:pPr>
      <w:r w:rsidRPr="0035125F">
        <w:t>Increase the use of environmentally friendly and sustainable methods and raise awareness to create behavioural changes in the hospitality and tourism industry overall.</w:t>
      </w:r>
    </w:p>
    <w:p w14:paraId="042B3731" w14:textId="77777777" w:rsidR="00ED0E85" w:rsidRDefault="00ED0E85" w:rsidP="00ED0E85">
      <w:pPr>
        <w:pStyle w:val="ListBullet"/>
        <w:numPr>
          <w:ilvl w:val="0"/>
          <w:numId w:val="0"/>
        </w:numPr>
      </w:pPr>
      <w:r>
        <w:t>Some examples of conditions for hotels include:</w:t>
      </w:r>
      <w:r>
        <w:rPr>
          <w:rStyle w:val="FootnoteReference"/>
        </w:rPr>
        <w:footnoteReference w:id="68"/>
      </w:r>
      <w:r>
        <w:t xml:space="preserve"> </w:t>
      </w:r>
    </w:p>
    <w:p w14:paraId="08F0F712" w14:textId="77777777" w:rsidR="00ED0E85" w:rsidRDefault="00ED0E85" w:rsidP="00ED0E85">
      <w:pPr>
        <w:pStyle w:val="ListBullet"/>
      </w:pPr>
      <w:r>
        <w:t>Measuring energy consumption and calculating the annual carbon footprint</w:t>
      </w:r>
    </w:p>
    <w:p w14:paraId="1F431DB8" w14:textId="77777777" w:rsidR="00ED0E85" w:rsidRDefault="00ED0E85" w:rsidP="00ED0E85">
      <w:pPr>
        <w:pStyle w:val="ListBullet"/>
      </w:pPr>
      <w:r>
        <w:t xml:space="preserve">Informing guests of the environmental information including the reduction in environmental footprint through energy and water savings. </w:t>
      </w:r>
    </w:p>
    <w:p w14:paraId="6CD7EDD0" w14:textId="77777777" w:rsidR="00ED0E85" w:rsidRDefault="00ED0E85" w:rsidP="00ED0E85">
      <w:pPr>
        <w:pStyle w:val="ListBullet"/>
      </w:pPr>
      <w:r>
        <w:t>Having at least 75 per cent of light bulbs at the location, energy efficient</w:t>
      </w:r>
    </w:p>
    <w:p w14:paraId="32CB39D4" w14:textId="77777777" w:rsidR="00ED0E85" w:rsidRPr="0035125F" w:rsidRDefault="00ED0E85" w:rsidP="00ED0E85">
      <w:pPr>
        <w:pStyle w:val="ListBullet"/>
      </w:pPr>
      <w:r>
        <w:t xml:space="preserve">Newly purchased mini-bars must not have an energy consumption of more than 1 kWh/day. </w:t>
      </w:r>
    </w:p>
    <w:p w14:paraId="397637D5" w14:textId="77777777" w:rsidR="00ED0E85" w:rsidRDefault="00ED0E85" w:rsidP="00ED0E85">
      <w:pPr>
        <w:pStyle w:val="Heading3"/>
        <w:numPr>
          <w:ilvl w:val="2"/>
          <w:numId w:val="5"/>
        </w:numPr>
      </w:pPr>
      <w:r>
        <w:t>Green Globe</w:t>
      </w:r>
    </w:p>
    <w:p w14:paraId="0748BA9A" w14:textId="77777777" w:rsidR="00ED0E85" w:rsidRDefault="00ED0E85" w:rsidP="00ED0E85">
      <w:pPr>
        <w:pStyle w:val="BodyText"/>
        <w:rPr>
          <w:shd w:val="clear" w:color="auto" w:fill="FFFFFF"/>
        </w:rPr>
      </w:pPr>
      <w:r>
        <w:rPr>
          <w:shd w:val="clear" w:color="auto" w:fill="FFFFFF"/>
        </w:rPr>
        <w:t>Green Globe provides certification for the sustainable operations and management of travel and tourism companies and their related supplier businesses. Green Globe also maintains a global network of independent auditors who provide third party inspection and validation.</w:t>
      </w:r>
      <w:r>
        <w:rPr>
          <w:rStyle w:val="FootnoteReference"/>
          <w:shd w:val="clear" w:color="auto" w:fill="FFFFFF"/>
        </w:rPr>
        <w:footnoteReference w:id="69"/>
      </w:r>
      <w:r>
        <w:rPr>
          <w:shd w:val="clear" w:color="auto" w:fill="FFFFFF"/>
        </w:rPr>
        <w:t xml:space="preserve"> There are members of the Green Globe initiative in over 90 countries worldwide. </w:t>
      </w:r>
    </w:p>
    <w:p w14:paraId="0C2B5FB8" w14:textId="77777777" w:rsidR="00ED0E85" w:rsidRPr="006E4145" w:rsidRDefault="00ED0E85" w:rsidP="00ED0E85">
      <w:pPr>
        <w:pStyle w:val="BodyText"/>
      </w:pPr>
      <w:r>
        <w:t>Green Globe has a range of fundamental achievements related to environmental sustainability, diversity and inclusiveness of their workforce, compliance with the law, and human rights. Their environmental sustainability achievements include:</w:t>
      </w:r>
      <w:r>
        <w:rPr>
          <w:rStyle w:val="FootnoteReference"/>
        </w:rPr>
        <w:footnoteReference w:id="70"/>
      </w:r>
      <w:r>
        <w:t xml:space="preserve"> </w:t>
      </w:r>
    </w:p>
    <w:p w14:paraId="7703CB0A" w14:textId="77777777" w:rsidR="00ED0E85" w:rsidRPr="006E4145" w:rsidRDefault="00ED0E85" w:rsidP="00ED0E85">
      <w:pPr>
        <w:pStyle w:val="ListBullet"/>
      </w:pPr>
      <w:r w:rsidRPr="006E4145">
        <w:t>Members commit to managing and operating their business and organizations to the highest level of sustainability.</w:t>
      </w:r>
    </w:p>
    <w:p w14:paraId="67913D7C" w14:textId="77777777" w:rsidR="00ED0E85" w:rsidRPr="006E4145" w:rsidRDefault="00ED0E85" w:rsidP="00ED0E85">
      <w:pPr>
        <w:pStyle w:val="ListBullet"/>
      </w:pPr>
      <w:r>
        <w:t>M</w:t>
      </w:r>
      <w:r w:rsidRPr="006E4145">
        <w:t>embers are committed to benchmarking and managing the use of energy and water with the aim of reducing the use of these resources as well as promoting reuse and recycling of materials.</w:t>
      </w:r>
    </w:p>
    <w:p w14:paraId="49F0ABD1" w14:textId="77777777" w:rsidR="00ED0E85" w:rsidRPr="006E4145" w:rsidRDefault="00ED0E85" w:rsidP="00ED0E85">
      <w:pPr>
        <w:pStyle w:val="ListBullet"/>
      </w:pPr>
      <w:r>
        <w:t>F</w:t>
      </w:r>
      <w:r w:rsidRPr="006E4145">
        <w:t>undamental achievements are managed through a sustainability plan targeting over 300 activities that are carried out at all levels of the company.</w:t>
      </w:r>
    </w:p>
    <w:p w14:paraId="30FC4EBD" w14:textId="77777777" w:rsidR="00ED0E85" w:rsidRDefault="00ED0E85" w:rsidP="00ED0E85">
      <w:pPr>
        <w:pStyle w:val="ListBullet"/>
      </w:pPr>
      <w:r w:rsidRPr="006E4145">
        <w:t xml:space="preserve">The Green Globe International Standard for Sustainable Tourism has been developed over two decades in collaboration with the travel and tourism industry, communities in tourism destinations and other stakeholders. </w:t>
      </w:r>
    </w:p>
    <w:p w14:paraId="5A656C05" w14:textId="77777777" w:rsidR="00ED0E85" w:rsidRDefault="00ED0E85" w:rsidP="00ED0E85">
      <w:pPr>
        <w:pStyle w:val="BodyText"/>
      </w:pPr>
      <w:r>
        <w:t>The International Standards contain over 330 compliance indicators and certification is only awarded to members with a compliance rating of at least 51 per cent. The Standard is the combination of various other sustainable tourism standards:</w:t>
      </w:r>
      <w:r>
        <w:rPr>
          <w:rStyle w:val="FootnoteReference"/>
        </w:rPr>
        <w:footnoteReference w:id="71"/>
      </w:r>
      <w:r>
        <w:t xml:space="preserve"> </w:t>
      </w:r>
    </w:p>
    <w:p w14:paraId="7FEDE0F7" w14:textId="77777777" w:rsidR="00ED0E85" w:rsidRPr="00CB0FCF" w:rsidRDefault="00ED0E85" w:rsidP="00ED0E85">
      <w:pPr>
        <w:pStyle w:val="ListBullet"/>
      </w:pPr>
      <w:r w:rsidRPr="00CB0FCF">
        <w:t>Global Sustainable Tourism Criteria</w:t>
      </w:r>
    </w:p>
    <w:p w14:paraId="63DC6C2C" w14:textId="77777777" w:rsidR="00ED0E85" w:rsidRPr="00CB0FCF" w:rsidRDefault="00ED0E85" w:rsidP="00ED0E85">
      <w:pPr>
        <w:pStyle w:val="ListBullet"/>
      </w:pPr>
      <w:r w:rsidRPr="00CB0FCF">
        <w:t>Global Partnership for Sustainable Tourism Criteria (STC Partnership)</w:t>
      </w:r>
    </w:p>
    <w:p w14:paraId="1A2ECB59" w14:textId="77777777" w:rsidR="00ED0E85" w:rsidRPr="00CB0FCF" w:rsidRDefault="00ED0E85" w:rsidP="00ED0E85">
      <w:pPr>
        <w:pStyle w:val="ListBullet"/>
      </w:pPr>
      <w:r w:rsidRPr="00CB0FCF">
        <w:t>Baseline Criteria of the Sustainable Tourism Certification Network of the Americas</w:t>
      </w:r>
    </w:p>
    <w:p w14:paraId="103BD65F" w14:textId="77777777" w:rsidR="00ED0E85" w:rsidRPr="00CB0FCF" w:rsidRDefault="00ED0E85" w:rsidP="00ED0E85">
      <w:pPr>
        <w:pStyle w:val="ListBullet"/>
      </w:pPr>
      <w:r w:rsidRPr="00CB0FCF">
        <w:t>Agenda 21 and principles for Sustainable Development endorsed by 182 Governments at the United Nations Rio de Janeiro Earth Summit in 1992</w:t>
      </w:r>
    </w:p>
    <w:p w14:paraId="629BC776" w14:textId="77777777" w:rsidR="00ED0E85" w:rsidRPr="006E4145" w:rsidRDefault="00ED0E85" w:rsidP="00ED0E85">
      <w:pPr>
        <w:pStyle w:val="ListBullet"/>
      </w:pPr>
      <w:r w:rsidRPr="00CB0FCF">
        <w:t>ISO 9001 / 14001 / 19011 (International Standard Organisation)</w:t>
      </w:r>
      <w:r>
        <w:t>.</w:t>
      </w:r>
    </w:p>
    <w:p w14:paraId="0D3FE89D" w14:textId="77777777" w:rsidR="00ED0E85" w:rsidRDefault="00ED0E85" w:rsidP="00ED0E85">
      <w:pPr>
        <w:pStyle w:val="BodyText"/>
      </w:pPr>
      <w:r>
        <w:t xml:space="preserve">There are currently no Australian hotels participating in this program. </w:t>
      </w:r>
    </w:p>
    <w:p w14:paraId="67CB9457" w14:textId="77777777" w:rsidR="00ED0E85" w:rsidRDefault="00ED0E85" w:rsidP="00ED0E85">
      <w:pPr>
        <w:pStyle w:val="Heading3"/>
        <w:numPr>
          <w:ilvl w:val="2"/>
          <w:numId w:val="5"/>
        </w:numPr>
      </w:pPr>
      <w:r>
        <w:t>Stocktake of hotels registered under the various certification systems</w:t>
      </w:r>
    </w:p>
    <w:p w14:paraId="0806CE7C" w14:textId="7E1127DD" w:rsidR="00ED0E85" w:rsidRPr="008D7F8D" w:rsidRDefault="00ED0E85" w:rsidP="00ED0E85">
      <w:pPr>
        <w:pStyle w:val="BodyText"/>
      </w:pPr>
      <w:r>
        <w:t>An overall stocktake of use in Australia is shown in table </w:t>
      </w:r>
      <w:r w:rsidR="004550CB">
        <w:rPr>
          <w:noProof/>
        </w:rPr>
        <w:fldChar w:fldCharType="begin"/>
      </w:r>
      <w:r w:rsidR="004550CB">
        <w:rPr>
          <w:noProof/>
        </w:rPr>
        <w:instrText xml:space="preserve"> REF _Caption4113 </w:instrText>
      </w:r>
      <w:r w:rsidR="004550CB">
        <w:rPr>
          <w:noProof/>
        </w:rPr>
        <w:fldChar w:fldCharType="separate"/>
      </w:r>
      <w:r w:rsidR="00AD3561">
        <w:rPr>
          <w:noProof/>
        </w:rPr>
        <w:t>8</w:t>
      </w:r>
      <w:r w:rsidR="00AD3561" w:rsidRPr="00E7272D">
        <w:rPr>
          <w:noProof/>
        </w:rPr>
        <w:t>.</w:t>
      </w:r>
      <w:r w:rsidR="00AD3561">
        <w:rPr>
          <w:noProof/>
        </w:rPr>
        <w:t>10</w:t>
      </w:r>
      <w:r w:rsidR="004550CB">
        <w:rPr>
          <w:noProof/>
        </w:rPr>
        <w:fldChar w:fldCharType="end"/>
      </w:r>
      <w:r>
        <w:t>. Few energy rating tools have widespread take-up. Ecotourism has the largest take-up, but is much broader than just covering energy dislosure.</w:t>
      </w:r>
    </w:p>
    <w:p w14:paraId="082C2EB6" w14:textId="70BF49FB" w:rsidR="00ED0E85" w:rsidRDefault="00ED0E85" w:rsidP="00ED0E85">
      <w:pPr>
        <w:pStyle w:val="Caption"/>
      </w:pPr>
      <w:r w:rsidRPr="00E7272D">
        <w:fldChar w:fldCharType="begin"/>
      </w:r>
      <w:r w:rsidRPr="00E7272D">
        <w:instrText xml:space="preserve"> IF 1 = 1 "</w:instrText>
      </w:r>
      <w:r w:rsidRPr="00E7272D">
        <w:fldChar w:fldCharType="begin"/>
      </w:r>
      <w:r w:rsidRPr="00E7272D">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E7272D">
        <w:instrText xml:space="preserve"> = 0 "</w:instrText>
      </w:r>
      <w:r w:rsidRPr="00E7272D">
        <w:fldChar w:fldCharType="begin"/>
      </w:r>
      <w:r w:rsidRPr="00E7272D">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E7272D">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E7272D">
        <w:instrText xml:space="preserve">." </w:instrText>
      </w:r>
      <w:r w:rsidRPr="00E7272D">
        <w:fldChar w:fldCharType="separate"/>
      </w:r>
      <w:r w:rsidR="00AD3561">
        <w:rPr>
          <w:noProof/>
        </w:rPr>
        <w:instrText>8</w:instrText>
      </w:r>
      <w:r w:rsidR="00AD3561" w:rsidRPr="00E7272D">
        <w:rPr>
          <w:noProof/>
        </w:rPr>
        <w:instrText>.</w:instrText>
      </w:r>
      <w:r w:rsidRPr="00E7272D">
        <w:fldChar w:fldCharType="end"/>
      </w:r>
      <w:r w:rsidRPr="00E7272D">
        <w:instrText>" "</w:instrText>
      </w:r>
      <w:r w:rsidR="00C353B5">
        <w:fldChar w:fldCharType="begin"/>
      </w:r>
      <w:r w:rsidR="00C353B5">
        <w:instrText xml:space="preserve"> STYLEREF "Heading 6" \l \n </w:instrText>
      </w:r>
      <w:r w:rsidR="00C353B5">
        <w:fldChar w:fldCharType="separate"/>
      </w:r>
      <w:r w:rsidRPr="00E7272D">
        <w:instrText>B</w:instrText>
      </w:r>
      <w:r w:rsidR="00C353B5">
        <w:fldChar w:fldCharType="end"/>
      </w:r>
      <w:r w:rsidRPr="00E7272D">
        <w:instrText xml:space="preserve">." </w:instrText>
      </w:r>
      <w:r w:rsidRPr="00E7272D">
        <w:fldChar w:fldCharType="separate"/>
      </w:r>
      <w:r w:rsidR="00C353B5">
        <w:rPr>
          <w:noProof/>
        </w:rPr>
        <w:instrText>8</w:instrText>
      </w:r>
      <w:r w:rsidR="00C353B5" w:rsidRPr="00E7272D">
        <w:rPr>
          <w:noProof/>
        </w:rPr>
        <w:instrText>.</w:instrText>
      </w:r>
      <w:r w:rsidRPr="00E7272D">
        <w:fldChar w:fldCharType="end"/>
      </w:r>
      <w:r w:rsidRPr="00E7272D">
        <w:fldChar w:fldCharType="begin"/>
      </w:r>
      <w:r w:rsidRPr="00E7272D">
        <w:instrText xml:space="preserve"> SEQ Item \* ARABIC \s </w:instrText>
      </w:r>
      <w:r w:rsidRPr="00E7272D">
        <w:fldChar w:fldCharType="begin"/>
      </w:r>
      <w:r w:rsidRPr="00E7272D">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E7272D">
        <w:instrText xml:space="preserve"> = 0 "</w:instrText>
      </w:r>
      <w:r w:rsidRPr="00E7272D">
        <w:fldChar w:fldCharType="begin"/>
      </w:r>
      <w:r w:rsidRPr="00E7272D">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E7272D">
        <w:instrText xml:space="preserve"> = 0 "" "1" </w:instrText>
      </w:r>
      <w:r w:rsidRPr="00E7272D">
        <w:fldChar w:fldCharType="separate"/>
      </w:r>
      <w:r w:rsidR="00C353B5" w:rsidRPr="00E7272D">
        <w:rPr>
          <w:noProof/>
        </w:rPr>
        <w:instrText>1</w:instrText>
      </w:r>
      <w:r w:rsidRPr="00E7272D">
        <w:fldChar w:fldCharType="end"/>
      </w:r>
      <w:r w:rsidRPr="00E7272D">
        <w:instrText xml:space="preserve">" "6" </w:instrText>
      </w:r>
      <w:r w:rsidRPr="00E7272D">
        <w:fldChar w:fldCharType="separate"/>
      </w:r>
      <w:r w:rsidR="00C353B5" w:rsidRPr="00E7272D">
        <w:rPr>
          <w:noProof/>
        </w:rPr>
        <w:instrText>1</w:instrText>
      </w:r>
      <w:r w:rsidRPr="00E7272D">
        <w:fldChar w:fldCharType="end"/>
      </w:r>
      <w:r w:rsidRPr="00E7272D">
        <w:instrText xml:space="preserve"> </w:instrText>
      </w:r>
      <w:r w:rsidRPr="00E7272D">
        <w:fldChar w:fldCharType="separate"/>
      </w:r>
      <w:r w:rsidR="00AD3561">
        <w:rPr>
          <w:noProof/>
        </w:rPr>
        <w:instrText>10</w:instrText>
      </w:r>
      <w:r w:rsidRPr="00E7272D">
        <w:fldChar w:fldCharType="end"/>
      </w:r>
      <w:r w:rsidRPr="00E7272D">
        <w:instrText xml:space="preserve">" "" </w:instrText>
      </w:r>
      <w:r w:rsidRPr="00E7272D">
        <w:fldChar w:fldCharType="separate"/>
      </w:r>
      <w:bookmarkStart w:id="5411" w:name="_Caption0056"/>
      <w:bookmarkStart w:id="5412" w:name="_Caption7569"/>
      <w:bookmarkStart w:id="5413" w:name="_Caption9436"/>
      <w:bookmarkStart w:id="5414" w:name="_Caption1285"/>
      <w:bookmarkStart w:id="5415" w:name="_Caption2482"/>
      <w:bookmarkStart w:id="5416" w:name="_Caption9962"/>
      <w:bookmarkStart w:id="5417" w:name="_Caption7372"/>
      <w:bookmarkStart w:id="5418" w:name="_Caption0185"/>
      <w:bookmarkStart w:id="5419" w:name="_Caption3165"/>
      <w:bookmarkStart w:id="5420" w:name="_Caption0156"/>
      <w:bookmarkStart w:id="5421" w:name="_Caption3232"/>
      <w:bookmarkStart w:id="5422" w:name="_Caption9672"/>
      <w:bookmarkStart w:id="5423" w:name="_Caption7810"/>
      <w:bookmarkStart w:id="5424" w:name="_Caption5198"/>
      <w:bookmarkStart w:id="5425" w:name="_Caption9665"/>
      <w:bookmarkStart w:id="5426" w:name="_Caption4074"/>
      <w:bookmarkStart w:id="5427" w:name="_Caption4578"/>
      <w:bookmarkStart w:id="5428" w:name="_Caption0865"/>
      <w:bookmarkStart w:id="5429" w:name="_Caption6942"/>
      <w:bookmarkStart w:id="5430" w:name="_Caption9433"/>
      <w:bookmarkStart w:id="5431" w:name="_Caption5466"/>
      <w:bookmarkStart w:id="5432" w:name="_Caption1170"/>
      <w:bookmarkStart w:id="5433" w:name="_Caption3888"/>
      <w:bookmarkStart w:id="5434" w:name="_Caption3668"/>
      <w:bookmarkStart w:id="5435" w:name="_Caption9376"/>
      <w:bookmarkStart w:id="5436" w:name="_Caption2888"/>
      <w:bookmarkStart w:id="5437" w:name="_Caption3026"/>
      <w:bookmarkStart w:id="5438" w:name="_Caption4113"/>
      <w:bookmarkStart w:id="5439" w:name="_Caption7539"/>
      <w:bookmarkStart w:id="5440" w:name="_Caption6597"/>
      <w:bookmarkStart w:id="5441" w:name="_Caption0747"/>
      <w:bookmarkStart w:id="5442" w:name="_Caption4002"/>
      <w:bookmarkStart w:id="5443" w:name="_Caption1961"/>
      <w:bookmarkStart w:id="5444" w:name="_Caption4351"/>
      <w:bookmarkStart w:id="5445" w:name="_Caption1312"/>
      <w:bookmarkStart w:id="5446" w:name="_Caption8717"/>
      <w:bookmarkStart w:id="5447" w:name="_Caption2073"/>
      <w:bookmarkStart w:id="5448" w:name="_Caption3213"/>
      <w:bookmarkStart w:id="5449" w:name="_Caption5589"/>
      <w:bookmarkStart w:id="5450" w:name="_Caption5537"/>
      <w:bookmarkStart w:id="5451" w:name="_Caption0076"/>
      <w:bookmarkStart w:id="5452" w:name="_Caption7702"/>
      <w:bookmarkStart w:id="5453" w:name="_Caption3912"/>
      <w:bookmarkStart w:id="5454" w:name="_Caption5774"/>
      <w:bookmarkStart w:id="5455" w:name="_Caption8757"/>
      <w:bookmarkStart w:id="5456" w:name="_Caption0548"/>
      <w:bookmarkStart w:id="5457" w:name="_Caption4584"/>
      <w:bookmarkStart w:id="5458" w:name="_Caption8788"/>
      <w:bookmarkStart w:id="5459" w:name="_Caption1755"/>
      <w:bookmarkStart w:id="5460" w:name="_Caption9347"/>
      <w:bookmarkStart w:id="5461" w:name="_Caption8562"/>
      <w:bookmarkStart w:id="5462" w:name="_Caption3891"/>
      <w:bookmarkStart w:id="5463" w:name="_Caption7087"/>
      <w:bookmarkStart w:id="5464" w:name="_Caption2576"/>
      <w:bookmarkStart w:id="5465" w:name="_Caption2379"/>
      <w:bookmarkStart w:id="5466" w:name="_Caption0549"/>
      <w:bookmarkStart w:id="5467" w:name="_Toc19275634"/>
      <w:bookmarkStart w:id="5468" w:name="_Toc19276244"/>
      <w:bookmarkStart w:id="5469" w:name="_Toc19280243"/>
      <w:r w:rsidR="00C353B5">
        <w:rPr>
          <w:noProof/>
        </w:rPr>
        <w:t>8</w:t>
      </w:r>
      <w:r w:rsidR="00C353B5" w:rsidRPr="00E7272D">
        <w:rPr>
          <w:noProof/>
        </w:rPr>
        <w:t>.</w:t>
      </w:r>
      <w:r w:rsidR="00C353B5">
        <w:rPr>
          <w:noProof/>
        </w:rPr>
        <w:t>10</w:t>
      </w:r>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r w:rsidRPr="00E7272D">
        <w:fldChar w:fldCharType="end"/>
      </w:r>
      <w:r w:rsidRPr="00E7272D">
        <w:tab/>
        <w:t>Different energy rating tools for hotels</w:t>
      </w:r>
      <w:bookmarkEnd w:id="5467"/>
      <w:bookmarkEnd w:id="5468"/>
      <w:bookmarkEnd w:id="5469"/>
    </w:p>
    <w:tbl>
      <w:tblPr>
        <w:tblW w:w="0" w:type="auto"/>
        <w:tblLayout w:type="fixed"/>
        <w:tblLook w:val="0000" w:firstRow="0" w:lastRow="0" w:firstColumn="0" w:lastColumn="0" w:noHBand="0" w:noVBand="0"/>
      </w:tblPr>
      <w:tblGrid>
        <w:gridCol w:w="1276"/>
        <w:gridCol w:w="6629"/>
      </w:tblGrid>
      <w:tr w:rsidR="00ED0E85" w14:paraId="2FB83004" w14:textId="77777777" w:rsidTr="00ED0E85">
        <w:trPr>
          <w:trHeight w:val="356"/>
        </w:trPr>
        <w:tc>
          <w:tcPr>
            <w:tcW w:w="1276" w:type="dxa"/>
            <w:tcBorders>
              <w:bottom w:val="single" w:sz="8" w:space="0" w:color="FFFFFF" w:themeColor="background1"/>
            </w:tcBorders>
            <w:shd w:val="clear" w:color="auto" w:fill="6F6652"/>
            <w:tcMar>
              <w:left w:w="57" w:type="dxa"/>
              <w:right w:w="57" w:type="dxa"/>
            </w:tcMar>
          </w:tcPr>
          <w:p w14:paraId="2208B06B" w14:textId="77777777" w:rsidR="00ED0E85" w:rsidRDefault="00ED0E85" w:rsidP="00ED0E85">
            <w:pPr>
              <w:pStyle w:val="TableTextColumnHeading"/>
            </w:pPr>
            <w:r>
              <w:t>Rating tool</w:t>
            </w:r>
          </w:p>
        </w:tc>
        <w:tc>
          <w:tcPr>
            <w:tcW w:w="6629" w:type="dxa"/>
            <w:tcBorders>
              <w:bottom w:val="single" w:sz="8" w:space="0" w:color="FFFFFF" w:themeColor="background1"/>
            </w:tcBorders>
            <w:shd w:val="clear" w:color="auto" w:fill="6F6652"/>
            <w:tcMar>
              <w:left w:w="57" w:type="dxa"/>
              <w:right w:w="57" w:type="dxa"/>
            </w:tcMar>
          </w:tcPr>
          <w:p w14:paraId="4264CA78" w14:textId="77777777" w:rsidR="00ED0E85" w:rsidRDefault="00ED0E85" w:rsidP="00ED0E85">
            <w:pPr>
              <w:pStyle w:val="TableTextColumnHeading"/>
            </w:pPr>
            <w:r>
              <w:t>Hotels that use in Australia</w:t>
            </w:r>
          </w:p>
        </w:tc>
      </w:tr>
      <w:tr w:rsidR="00ED0E85" w14:paraId="4E0F04B2" w14:textId="77777777" w:rsidTr="00ED0E85">
        <w:trPr>
          <w:trHeight w:val="356"/>
        </w:trPr>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16DBCD" w14:textId="77777777" w:rsidR="00ED0E85" w:rsidRDefault="00ED0E85" w:rsidP="00ED0E85">
            <w:pPr>
              <w:pStyle w:val="TableTextEntries"/>
            </w:pPr>
            <w:r>
              <w:t xml:space="preserve">NABERS energy </w:t>
            </w:r>
          </w:p>
        </w:tc>
        <w:tc>
          <w:tcPr>
            <w:tcW w:w="66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FB12DA" w14:textId="77777777" w:rsidR="00ED0E85" w:rsidRDefault="00ED0E85" w:rsidP="00ED0E85">
            <w:pPr>
              <w:pStyle w:val="TableTextEntries"/>
            </w:pPr>
            <w:r w:rsidRPr="00F3369C">
              <w:rPr>
                <w:rFonts w:ascii="Franklin Gothic Demi" w:hAnsi="Franklin Gothic Demi"/>
                <w:bCs/>
              </w:rPr>
              <w:t>Three hotels</w:t>
            </w:r>
            <w:r w:rsidRPr="00F3369C">
              <w:t xml:space="preserve"> </w:t>
            </w:r>
            <w:r>
              <w:t>certified in Australia</w:t>
            </w:r>
          </w:p>
        </w:tc>
      </w:tr>
      <w:tr w:rsidR="00ED0E85" w14:paraId="2A003AD0" w14:textId="77777777" w:rsidTr="00ED0E85">
        <w:trPr>
          <w:trHeight w:val="1124"/>
        </w:trPr>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33EFCA" w14:textId="77777777" w:rsidR="00ED0E85" w:rsidRDefault="00ED0E85" w:rsidP="00ED0E85">
            <w:pPr>
              <w:pStyle w:val="TableTextEntries"/>
            </w:pPr>
            <w:r>
              <w:t>EarthCheck</w:t>
            </w:r>
          </w:p>
        </w:tc>
        <w:tc>
          <w:tcPr>
            <w:tcW w:w="66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82EB08" w14:textId="77777777" w:rsidR="00ED0E85" w:rsidRDefault="00ED0E85" w:rsidP="00ED0E85">
            <w:pPr>
              <w:pStyle w:val="TableTextEntries"/>
            </w:pPr>
            <w:r>
              <w:t xml:space="preserve">There </w:t>
            </w:r>
            <w:r w:rsidRPr="00F3369C">
              <w:rPr>
                <w:rFonts w:ascii="Franklin Gothic Demi" w:hAnsi="Franklin Gothic Demi"/>
                <w:bCs/>
              </w:rPr>
              <w:t>10- hotels</w:t>
            </w:r>
            <w:r w:rsidRPr="00F3369C">
              <w:rPr>
                <w:b/>
                <w:bCs/>
              </w:rPr>
              <w:t xml:space="preserve"> </w:t>
            </w:r>
            <w:r>
              <w:t xml:space="preserve">certified with EarthCheck in Australia including:Alto Hotel on Bourke, Melbourne, Certified Gold; Amora Hotel Riverwalk Melbourne, Benchmarked Bronze; Emporium Hotel, Brisbane, Certified Silver; Radisson Blu Plaza Hotel Sydney, Certified Silver; </w:t>
            </w:r>
            <w:r w:rsidRPr="00B30038">
              <w:t>Radisson on Flagstaff Gardens</w:t>
            </w:r>
            <w:r>
              <w:t xml:space="preserve">, Certified Silver; The Langham, Sydney, Certified Silver; </w:t>
            </w:r>
            <w:r w:rsidRPr="00B30038">
              <w:t>Emirates One</w:t>
            </w:r>
            <w:r>
              <w:t xml:space="preserve"> </w:t>
            </w:r>
            <w:r w:rsidRPr="00B30038">
              <w:t>&amp;</w:t>
            </w:r>
            <w:r>
              <w:t xml:space="preserve"> </w:t>
            </w:r>
            <w:r w:rsidRPr="00B30038">
              <w:t>Only</w:t>
            </w:r>
            <w:r>
              <w:t>,</w:t>
            </w:r>
            <w:r w:rsidRPr="00B30038">
              <w:t xml:space="preserve"> Wolgan Valley</w:t>
            </w:r>
            <w:r>
              <w:t xml:space="preserve">, Benchmared Bronze; </w:t>
            </w:r>
            <w:r w:rsidRPr="00B30038">
              <w:t>RACV Noosa Resort</w:t>
            </w:r>
            <w:r>
              <w:t xml:space="preserve">, Certified Silver; </w:t>
            </w:r>
            <w:r w:rsidRPr="00B12AA5">
              <w:t>Tangalooma Island Resort</w:t>
            </w:r>
            <w:r>
              <w:t xml:space="preserve">, Moreton Island, Certified Silver; The Langham, Melbourne, Certified Silver; </w:t>
            </w:r>
          </w:p>
          <w:p w14:paraId="297F52CC" w14:textId="77777777" w:rsidR="00ED0E85" w:rsidRDefault="00ED0E85" w:rsidP="00ED0E85">
            <w:pPr>
              <w:pStyle w:val="TableTextEntries"/>
            </w:pPr>
            <w:r>
              <w:t xml:space="preserve">Other examples of the effects of EarthCheck include: </w:t>
            </w:r>
          </w:p>
          <w:p w14:paraId="14981B21" w14:textId="77777777" w:rsidR="00ED0E85" w:rsidRDefault="00ED0E85" w:rsidP="00ED0E85">
            <w:pPr>
              <w:pStyle w:val="TableListBullet"/>
            </w:pPr>
            <w:r>
              <w:t xml:space="preserve">Initiatives at individual locations: Thredbo where the resorts electricity supply is derived from natural resources </w:t>
            </w:r>
          </w:p>
          <w:p w14:paraId="2A556B40" w14:textId="77777777" w:rsidR="00ED0E85" w:rsidRDefault="00ED0E85" w:rsidP="00ED0E85">
            <w:pPr>
              <w:pStyle w:val="TableListBullet"/>
            </w:pPr>
            <w:r>
              <w:t>Initiatives at the local council area: More than 30 local and international businesses from the accommodation and entertainment sectors, EarthCheck and the City of Sydney Council have signed up to the City’s Sustainability Destination Partnership. Some hotels that have agreed to be part of the program include: The Langham, Holiday Inn, Hilton Hyatt Regency, and the Amora Hotel as well as the Schwartz Family Company.</w:t>
            </w:r>
          </w:p>
        </w:tc>
      </w:tr>
      <w:tr w:rsidR="00ED0E85" w14:paraId="550CCA76" w14:textId="77777777" w:rsidTr="00ED0E85">
        <w:trPr>
          <w:trHeight w:val="132"/>
        </w:trPr>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DCF8C1" w14:textId="77777777" w:rsidR="00ED0E85" w:rsidRDefault="00ED0E85" w:rsidP="00ED0E85">
            <w:pPr>
              <w:pStyle w:val="TableTextEntries"/>
            </w:pPr>
            <w:r>
              <w:t>Green Globe</w:t>
            </w:r>
          </w:p>
        </w:tc>
        <w:tc>
          <w:tcPr>
            <w:tcW w:w="66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3FF0FB" w14:textId="77777777" w:rsidR="00ED0E85" w:rsidRDefault="00ED0E85" w:rsidP="00ED0E85">
            <w:pPr>
              <w:pStyle w:val="TableTextEntries"/>
            </w:pPr>
            <w:r>
              <w:t>Nil</w:t>
            </w:r>
          </w:p>
        </w:tc>
      </w:tr>
      <w:tr w:rsidR="00ED0E85" w14:paraId="6BDB5EA0" w14:textId="77777777" w:rsidTr="00ED0E85">
        <w:trPr>
          <w:trHeight w:val="356"/>
        </w:trPr>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C005AE" w14:textId="77777777" w:rsidR="00ED0E85" w:rsidRPr="00E7272D" w:rsidRDefault="00ED0E85" w:rsidP="00ED0E85">
            <w:pPr>
              <w:pStyle w:val="TableTextEntries"/>
              <w:rPr>
                <w:highlight w:val="yellow"/>
              </w:rPr>
            </w:pPr>
            <w:r w:rsidRPr="00CB3393">
              <w:t>Ecotourism</w:t>
            </w:r>
          </w:p>
        </w:tc>
        <w:tc>
          <w:tcPr>
            <w:tcW w:w="66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A6C4DE" w14:textId="77777777" w:rsidR="00ED0E85" w:rsidRPr="00F3369C" w:rsidRDefault="00ED0E85" w:rsidP="00ED0E85">
            <w:pPr>
              <w:pStyle w:val="TableTextEntries"/>
              <w:rPr>
                <w:rFonts w:ascii="Franklin Gothic Demi" w:hAnsi="Franklin Gothic Demi"/>
                <w:bCs/>
              </w:rPr>
            </w:pPr>
            <w:r w:rsidRPr="00F3369C">
              <w:rPr>
                <w:rFonts w:ascii="Franklin Gothic Demi" w:hAnsi="Franklin Gothic Demi"/>
                <w:bCs/>
              </w:rPr>
              <w:t>125 hotels</w:t>
            </w:r>
          </w:p>
        </w:tc>
      </w:tr>
      <w:tr w:rsidR="00ED0E85" w14:paraId="27828AA7" w14:textId="77777777" w:rsidTr="00ED0E85">
        <w:trPr>
          <w:trHeight w:val="132"/>
        </w:trPr>
        <w:tc>
          <w:tcPr>
            <w:tcW w:w="127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CA0234" w14:textId="77777777" w:rsidR="00ED0E85" w:rsidRDefault="00ED0E85" w:rsidP="00ED0E85">
            <w:pPr>
              <w:pStyle w:val="TableTextEntries"/>
            </w:pPr>
            <w:r>
              <w:t>Green Star</w:t>
            </w:r>
          </w:p>
        </w:tc>
        <w:tc>
          <w:tcPr>
            <w:tcW w:w="662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C37C41" w14:textId="77777777" w:rsidR="00ED0E85" w:rsidRDefault="00ED0E85" w:rsidP="00ED0E85">
            <w:pPr>
              <w:pStyle w:val="TableTextEntries"/>
            </w:pPr>
            <w:r w:rsidRPr="00F3369C">
              <w:rPr>
                <w:rFonts w:ascii="Franklin Gothic Demi" w:hAnsi="Franklin Gothic Demi"/>
                <w:bCs/>
              </w:rPr>
              <w:t>Four hotels (2 certified, 2 registered):</w:t>
            </w:r>
            <w:r w:rsidRPr="00F3369C">
              <w:t xml:space="preserve"> </w:t>
            </w:r>
            <w:r>
              <w:t xml:space="preserve">Abode Woden Hotel (certified); </w:t>
            </w:r>
            <w:r w:rsidRPr="00F26905">
              <w:t>ICC Hotel Sydney (certified)</w:t>
            </w:r>
            <w:r>
              <w:t xml:space="preserve">; </w:t>
            </w:r>
            <w:r w:rsidRPr="00F26905">
              <w:t>Chadstone Hotel, Melbourne (registered)</w:t>
            </w:r>
            <w:r>
              <w:t xml:space="preserve">; </w:t>
            </w:r>
            <w:r w:rsidRPr="00F26905">
              <w:t>The Star – Ritz Carlton Hotel Sydney (registered)</w:t>
            </w:r>
          </w:p>
        </w:tc>
      </w:tr>
      <w:tr w:rsidR="00ED0E85" w14:paraId="105D59C1" w14:textId="77777777" w:rsidTr="00ED0E85">
        <w:trPr>
          <w:trHeight w:val="356"/>
        </w:trPr>
        <w:tc>
          <w:tcPr>
            <w:tcW w:w="1276" w:type="dxa"/>
            <w:tcBorders>
              <w:top w:val="single" w:sz="8" w:space="0" w:color="FFFFFF" w:themeColor="background1"/>
              <w:bottom w:val="single" w:sz="6" w:space="0" w:color="6F6652"/>
            </w:tcBorders>
            <w:shd w:val="clear" w:color="auto" w:fill="E9E8E5" w:themeFill="background2"/>
            <w:tcMar>
              <w:left w:w="57" w:type="dxa"/>
              <w:right w:w="57" w:type="dxa"/>
            </w:tcMar>
          </w:tcPr>
          <w:p w14:paraId="560DF59E" w14:textId="77777777" w:rsidR="00ED0E85" w:rsidRDefault="00ED0E85" w:rsidP="00ED0E85">
            <w:pPr>
              <w:pStyle w:val="TableTextEntries"/>
            </w:pPr>
            <w:r>
              <w:t>Green Key</w:t>
            </w:r>
          </w:p>
        </w:tc>
        <w:tc>
          <w:tcPr>
            <w:tcW w:w="6629" w:type="dxa"/>
            <w:tcBorders>
              <w:top w:val="single" w:sz="8" w:space="0" w:color="FFFFFF" w:themeColor="background1"/>
              <w:bottom w:val="single" w:sz="6" w:space="0" w:color="6F6652"/>
            </w:tcBorders>
            <w:shd w:val="clear" w:color="auto" w:fill="E9E8E5" w:themeFill="background2"/>
            <w:tcMar>
              <w:left w:w="57" w:type="dxa"/>
              <w:right w:w="57" w:type="dxa"/>
            </w:tcMar>
          </w:tcPr>
          <w:p w14:paraId="70949D24" w14:textId="77777777" w:rsidR="00ED0E85" w:rsidRDefault="00ED0E85" w:rsidP="00ED0E85">
            <w:pPr>
              <w:pStyle w:val="TableTextEntries"/>
            </w:pPr>
            <w:r>
              <w:t>Nil</w:t>
            </w:r>
          </w:p>
        </w:tc>
      </w:tr>
    </w:tbl>
    <w:p w14:paraId="6848F556" w14:textId="77777777" w:rsidR="00ED0E85" w:rsidRDefault="00ED0E85" w:rsidP="00ED0E85">
      <w:pPr>
        <w:pStyle w:val="Source"/>
      </w:pPr>
      <w:r>
        <w:rPr>
          <w:i/>
        </w:rPr>
        <w:t>Source</w:t>
      </w:r>
      <w:r w:rsidRPr="00E4232C">
        <w:rPr>
          <w:i/>
        </w:rPr>
        <w:t>:</w:t>
      </w:r>
      <w:r>
        <w:t xml:space="preserve"> NABERS (2018) </w:t>
      </w:r>
      <w:r>
        <w:rPr>
          <w:i/>
          <w:iCs/>
        </w:rPr>
        <w:t xml:space="preserve">Nabers </w:t>
      </w:r>
      <w:r w:rsidRPr="00E7272D">
        <w:rPr>
          <w:i/>
          <w:iCs/>
        </w:rPr>
        <w:t>Annual Report 2017-18</w:t>
      </w:r>
      <w:r>
        <w:t xml:space="preserve">, </w:t>
      </w:r>
      <w:r w:rsidRPr="00E7272D">
        <w:t>version 1, available at:</w:t>
      </w:r>
      <w:r>
        <w:rPr>
          <w:i/>
          <w:iCs/>
        </w:rPr>
        <w:t xml:space="preserve"> </w:t>
      </w:r>
      <w:hyperlink r:id="rId100" w:history="1">
        <w:r w:rsidRPr="00B27C1D">
          <w:rPr>
            <w:rStyle w:val="Hyperlink"/>
          </w:rPr>
          <w:t>https://www.gbca.org.au/project-directory.asp</w:t>
        </w:r>
      </w:hyperlink>
      <w:r>
        <w:t xml:space="preserve"> ; EarthCheck (website), available at: </w:t>
      </w:r>
      <w:hyperlink r:id="rId101" w:history="1">
        <w:r w:rsidRPr="00B27C1D">
          <w:rPr>
            <w:rStyle w:val="Hyperlink"/>
          </w:rPr>
          <w:t>https://earthcheck.org/about/search-members/</w:t>
        </w:r>
      </w:hyperlink>
      <w:r>
        <w:t>, accessed 2 August 2019</w:t>
      </w:r>
      <w:r>
        <w:rPr>
          <w:rStyle w:val="Hyperlink"/>
        </w:rPr>
        <w:t xml:space="preserve">; EarthCheck (websites), available at: </w:t>
      </w:r>
      <w:hyperlink r:id="rId102" w:history="1">
        <w:r>
          <w:rPr>
            <w:rStyle w:val="Hyperlink"/>
          </w:rPr>
          <w:t>https://earthcheck.org/media/49073/final-master-earthcheck-company-standard_version-4_may18.pdf</w:t>
        </w:r>
      </w:hyperlink>
      <w:r>
        <w:rPr>
          <w:rStyle w:val="Hyperlink"/>
        </w:rPr>
        <w:t xml:space="preserve">; </w:t>
      </w:r>
      <w:hyperlink r:id="rId103" w:history="1">
        <w:r>
          <w:rPr>
            <w:rStyle w:val="Hyperlink"/>
          </w:rPr>
          <w:t>https://earthcheck.org/news/2019/july/thredbo-an-earthcheck-sustainable-destination-powered-by-renewable-energy/</w:t>
        </w:r>
      </w:hyperlink>
      <w:r>
        <w:rPr>
          <w:rStyle w:val="Hyperlink"/>
        </w:rPr>
        <w:t xml:space="preserve">; </w:t>
      </w:r>
      <w:hyperlink r:id="rId104" w:history="1">
        <w:r>
          <w:rPr>
            <w:rStyle w:val="Hyperlink"/>
          </w:rPr>
          <w:t>https://earthcheck.org/news/2018/june/making-green-venues-a-tourism-drawcard/</w:t>
        </w:r>
      </w:hyperlink>
      <w:r>
        <w:rPr>
          <w:rStyle w:val="Hyperlink"/>
        </w:rPr>
        <w:t xml:space="preserve">; </w:t>
      </w:r>
      <w:r w:rsidRPr="006460DF">
        <w:t>accessed 5 August 2019.</w:t>
      </w:r>
    </w:p>
    <w:p w14:paraId="51F8D53C" w14:textId="77777777" w:rsidR="00ED0E85" w:rsidRDefault="00ED0E85" w:rsidP="00ED0E85">
      <w:pPr>
        <w:pStyle w:val="Heading2"/>
        <w:numPr>
          <w:ilvl w:val="1"/>
          <w:numId w:val="5"/>
        </w:numPr>
      </w:pPr>
      <w:bookmarkStart w:id="5470" w:name="_Toc19275533"/>
      <w:bookmarkStart w:id="5471" w:name="_Toc19276143"/>
      <w:bookmarkStart w:id="5472" w:name="_Toc19280142"/>
      <w:r>
        <w:t>Energy performance of hotels</w:t>
      </w:r>
      <w:bookmarkEnd w:id="5470"/>
      <w:bookmarkEnd w:id="5471"/>
      <w:bookmarkEnd w:id="5472"/>
    </w:p>
    <w:p w14:paraId="52193557" w14:textId="6A8E9047" w:rsidR="00ED0E85" w:rsidRPr="001061C1" w:rsidRDefault="00ED0E85" w:rsidP="00ED0E85">
      <w:pPr>
        <w:pStyle w:val="BodyText"/>
      </w:pPr>
      <w:r>
        <w:t xml:space="preserve">With the introduction of the NABERS rating for hotels in 2007, 50 per cent of hotels registered with a NABERS rating of three stars or less (chart </w:t>
      </w:r>
      <w:r w:rsidR="004550CB">
        <w:rPr>
          <w:noProof/>
        </w:rPr>
        <w:fldChar w:fldCharType="begin"/>
      </w:r>
      <w:r w:rsidR="004550CB">
        <w:rPr>
          <w:noProof/>
        </w:rPr>
        <w:instrText xml:space="preserve"> REF _Caption2138 </w:instrText>
      </w:r>
      <w:r w:rsidR="004550CB">
        <w:rPr>
          <w:noProof/>
        </w:rPr>
        <w:fldChar w:fldCharType="separate"/>
      </w:r>
      <w:r w:rsidR="00AD3561">
        <w:rPr>
          <w:noProof/>
        </w:rPr>
        <w:t>8</w:t>
      </w:r>
      <w:r w:rsidR="00AD3561" w:rsidRPr="00695C93">
        <w:rPr>
          <w:noProof/>
        </w:rPr>
        <w:t>.</w:t>
      </w:r>
      <w:r w:rsidR="00AD3561">
        <w:rPr>
          <w:noProof/>
        </w:rPr>
        <w:t>11</w:t>
      </w:r>
      <w:r w:rsidR="004550CB">
        <w:rPr>
          <w:noProof/>
        </w:rPr>
        <w:fldChar w:fldCharType="end"/>
      </w:r>
      <w:r>
        <w:t>).</w:t>
      </w:r>
    </w:p>
    <w:p w14:paraId="2C201C94" w14:textId="206BC574"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w:instrText>
      </w:r>
      <w:r w:rsidRPr="00695C93">
        <w:fldChar w:fldCharType="separate"/>
      </w:r>
      <w:r w:rsidR="00AD3561">
        <w:rPr>
          <w:noProof/>
        </w:rPr>
        <w:instrText>8</w:instrText>
      </w:r>
      <w:r w:rsidR="00AD3561"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rsidRPr="00695C93">
        <w:instrText xml:space="preserve">." </w:instrText>
      </w:r>
      <w:r w:rsidRPr="00695C93">
        <w:fldChar w:fldCharType="separate"/>
      </w:r>
      <w:r w:rsidR="00C353B5">
        <w:rPr>
          <w:noProof/>
        </w:rPr>
        <w:instrText>8</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11</w:instrText>
      </w:r>
      <w:r w:rsidRPr="00695C93">
        <w:fldChar w:fldCharType="end"/>
      </w:r>
      <w:r w:rsidRPr="00695C93">
        <w:instrText xml:space="preserve">" "" </w:instrText>
      </w:r>
      <w:r w:rsidRPr="00695C93">
        <w:fldChar w:fldCharType="separate"/>
      </w:r>
      <w:bookmarkStart w:id="5473" w:name="_Caption5956"/>
      <w:bookmarkStart w:id="5474" w:name="_Caption0910"/>
      <w:bookmarkStart w:id="5475" w:name="_Caption9369"/>
      <w:bookmarkStart w:id="5476" w:name="_Caption6103"/>
      <w:bookmarkStart w:id="5477" w:name="_Caption0441"/>
      <w:bookmarkStart w:id="5478" w:name="_Caption8308"/>
      <w:bookmarkStart w:id="5479" w:name="_Caption9892"/>
      <w:bookmarkStart w:id="5480" w:name="_Caption1706"/>
      <w:bookmarkStart w:id="5481" w:name="_Caption0108"/>
      <w:bookmarkStart w:id="5482" w:name="_Caption6325"/>
      <w:bookmarkStart w:id="5483" w:name="_Caption4539"/>
      <w:bookmarkStart w:id="5484" w:name="_Caption4328"/>
      <w:bookmarkStart w:id="5485" w:name="_Caption2709"/>
      <w:bookmarkStart w:id="5486" w:name="_Caption5986"/>
      <w:bookmarkStart w:id="5487" w:name="_Caption0280"/>
      <w:bookmarkStart w:id="5488" w:name="_Caption1179"/>
      <w:bookmarkStart w:id="5489" w:name="_Caption5875"/>
      <w:bookmarkStart w:id="5490" w:name="_Caption1827"/>
      <w:bookmarkStart w:id="5491" w:name="_Caption9399"/>
      <w:bookmarkStart w:id="5492" w:name="_Caption8898"/>
      <w:bookmarkStart w:id="5493" w:name="_Caption9845"/>
      <w:bookmarkStart w:id="5494" w:name="_Caption3667"/>
      <w:bookmarkStart w:id="5495" w:name="_Caption3741"/>
      <w:bookmarkStart w:id="5496" w:name="_Caption4802"/>
      <w:bookmarkStart w:id="5497" w:name="_Caption5917"/>
      <w:bookmarkStart w:id="5498" w:name="_Caption8148"/>
      <w:bookmarkStart w:id="5499" w:name="_Caption6796"/>
      <w:bookmarkStart w:id="5500" w:name="_Caption8687"/>
      <w:bookmarkStart w:id="5501" w:name="_Caption4820"/>
      <w:bookmarkStart w:id="5502" w:name="_Caption9635"/>
      <w:bookmarkStart w:id="5503" w:name="_Caption8946"/>
      <w:bookmarkStart w:id="5504" w:name="_Caption8316"/>
      <w:bookmarkStart w:id="5505" w:name="_Caption8844"/>
      <w:bookmarkStart w:id="5506" w:name="_Caption0932"/>
      <w:bookmarkStart w:id="5507" w:name="_Caption9624"/>
      <w:bookmarkStart w:id="5508" w:name="_Caption1535"/>
      <w:bookmarkStart w:id="5509" w:name="_Caption6315"/>
      <w:bookmarkStart w:id="5510" w:name="_Caption2138"/>
      <w:bookmarkStart w:id="5511" w:name="_Caption7910"/>
      <w:bookmarkStart w:id="5512" w:name="_Caption4063"/>
      <w:bookmarkStart w:id="5513" w:name="_Caption9804"/>
      <w:bookmarkStart w:id="5514" w:name="_Caption4682"/>
      <w:bookmarkStart w:id="5515" w:name="_Caption4240"/>
      <w:bookmarkStart w:id="5516" w:name="_Caption9062"/>
      <w:bookmarkStart w:id="5517" w:name="_Caption4120"/>
      <w:bookmarkStart w:id="5518" w:name="_Caption4391"/>
      <w:bookmarkStart w:id="5519" w:name="_Caption2056"/>
      <w:bookmarkStart w:id="5520" w:name="_Caption1980"/>
      <w:bookmarkStart w:id="5521" w:name="_Caption4153"/>
      <w:bookmarkStart w:id="5522" w:name="_Caption8264"/>
      <w:bookmarkStart w:id="5523" w:name="_Caption0032"/>
      <w:bookmarkStart w:id="5524" w:name="_Caption5303"/>
      <w:bookmarkStart w:id="5525" w:name="_Caption5280"/>
      <w:bookmarkStart w:id="5526" w:name="_Caption9801"/>
      <w:bookmarkStart w:id="5527" w:name="_Caption9803"/>
      <w:bookmarkStart w:id="5528" w:name="_Caption6400"/>
      <w:bookmarkStart w:id="5529" w:name="_Caption9914"/>
      <w:bookmarkStart w:id="5530" w:name="_Caption6863"/>
      <w:bookmarkStart w:id="5531" w:name="_Caption7489"/>
      <w:bookmarkStart w:id="5532" w:name="_Caption4949"/>
      <w:bookmarkStart w:id="5533" w:name="_Toc15902870"/>
      <w:bookmarkStart w:id="5534" w:name="_Toc19275635"/>
      <w:bookmarkStart w:id="5535" w:name="_Toc19276245"/>
      <w:bookmarkStart w:id="5536" w:name="_Toc19280244"/>
      <w:r w:rsidR="00C353B5">
        <w:rPr>
          <w:noProof/>
        </w:rPr>
        <w:t>8</w:t>
      </w:r>
      <w:r w:rsidR="00C353B5" w:rsidRPr="00695C93">
        <w:rPr>
          <w:noProof/>
        </w:rPr>
        <w:t>.</w:t>
      </w:r>
      <w:r w:rsidR="00C353B5">
        <w:rPr>
          <w:noProof/>
        </w:rPr>
        <w:t>11</w:t>
      </w:r>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r w:rsidRPr="00695C93">
        <w:fldChar w:fldCharType="end"/>
      </w:r>
      <w:r w:rsidRPr="00695C93">
        <w:tab/>
      </w:r>
      <w:r>
        <w:t>Distribution of hotels with NABERS rating</w:t>
      </w:r>
      <w:bookmarkEnd w:id="5533"/>
      <w:bookmarkEnd w:id="5534"/>
      <w:bookmarkEnd w:id="5535"/>
      <w:bookmarkEnd w:id="5536"/>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6625E5DC" w14:textId="77777777" w:rsidTr="00ED0E85">
        <w:trPr>
          <w:cantSplit/>
        </w:trPr>
        <w:tc>
          <w:tcPr>
            <w:tcW w:w="7938" w:type="dxa"/>
            <w:shd w:val="clear" w:color="auto" w:fill="E9E8E5" w:themeFill="background2"/>
          </w:tcPr>
          <w:p w14:paraId="66F528AA" w14:textId="77777777" w:rsidR="00ED0E85" w:rsidRDefault="00ED0E85" w:rsidP="00ED0E85">
            <w:pPr>
              <w:pStyle w:val="Chart"/>
              <w:spacing w:after="120"/>
              <w:jc w:val="center"/>
            </w:pPr>
            <w:r w:rsidRPr="00CB1A0C">
              <w:rPr>
                <w:noProof/>
                <w:lang w:eastAsia="en-AU"/>
              </w:rPr>
              <w:drawing>
                <wp:inline distT="0" distB="0" distL="0" distR="0" wp14:anchorId="6E08A163" wp14:editId="5C243857">
                  <wp:extent cx="5040630" cy="270446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040630" cy="2704465"/>
                          </a:xfrm>
                          <a:prstGeom prst="rect">
                            <a:avLst/>
                          </a:prstGeom>
                          <a:noFill/>
                          <a:ln>
                            <a:noFill/>
                          </a:ln>
                        </pic:spPr>
                      </pic:pic>
                    </a:graphicData>
                  </a:graphic>
                </wp:inline>
              </w:drawing>
            </w:r>
          </w:p>
        </w:tc>
      </w:tr>
    </w:tbl>
    <w:p w14:paraId="56F01C89" w14:textId="77777777" w:rsidR="00ED0E85" w:rsidRPr="00A97BEC" w:rsidRDefault="00ED0E85" w:rsidP="00ED0E85">
      <w:pPr>
        <w:pStyle w:val="Note"/>
      </w:pPr>
      <w:r w:rsidRPr="00A97BEC">
        <w:rPr>
          <w:i/>
        </w:rPr>
        <w:t xml:space="preserve">Note: </w:t>
      </w:r>
      <w:r w:rsidRPr="00DE3A70">
        <w:rPr>
          <w:iCs/>
        </w:rPr>
        <w:t>The year of ‘first ratings’ vary for each hotel.</w:t>
      </w:r>
      <w:r>
        <w:rPr>
          <w:i/>
        </w:rPr>
        <w:t xml:space="preserve"> </w:t>
      </w:r>
    </w:p>
    <w:p w14:paraId="54839806" w14:textId="77777777" w:rsidR="00ED0E85" w:rsidRDefault="00ED0E85" w:rsidP="00ED0E85">
      <w:pPr>
        <w:pStyle w:val="Source"/>
      </w:pPr>
      <w:r>
        <w:rPr>
          <w:i/>
        </w:rPr>
        <w:t>Data source</w:t>
      </w:r>
      <w:r w:rsidRPr="00A67576">
        <w:rPr>
          <w:i/>
        </w:rPr>
        <w:t>:</w:t>
      </w:r>
      <w:r>
        <w:t xml:space="preserve"> NABERS dataset. </w:t>
      </w:r>
    </w:p>
    <w:p w14:paraId="576BF95E" w14:textId="28C33C86" w:rsidR="00ED0E85" w:rsidRDefault="00ED0E85" w:rsidP="00ED0E85">
      <w:pPr>
        <w:pStyle w:val="ListBullet"/>
        <w:numPr>
          <w:ilvl w:val="0"/>
          <w:numId w:val="0"/>
        </w:numPr>
      </w:pPr>
      <w:r>
        <w:t xml:space="preserve">The average energy intensity for hotels rated multiple times has improved. A hotel that has rated 4-5 times has reduced its energy per room by ~20 per cent (chart </w:t>
      </w:r>
      <w:r w:rsidR="004550CB">
        <w:rPr>
          <w:noProof/>
        </w:rPr>
        <w:fldChar w:fldCharType="begin"/>
      </w:r>
      <w:r w:rsidR="004550CB">
        <w:rPr>
          <w:noProof/>
        </w:rPr>
        <w:instrText xml:space="preserve"> REF _Caption9636 </w:instrText>
      </w:r>
      <w:r w:rsidR="004550CB">
        <w:rPr>
          <w:noProof/>
        </w:rPr>
        <w:fldChar w:fldCharType="separate"/>
      </w:r>
      <w:r w:rsidR="00AD3561">
        <w:rPr>
          <w:noProof/>
        </w:rPr>
        <w:t>8</w:t>
      </w:r>
      <w:r w:rsidR="00AD3561" w:rsidRPr="0068146B">
        <w:rPr>
          <w:noProof/>
        </w:rPr>
        <w:t>.</w:t>
      </w:r>
      <w:r w:rsidR="00AD3561">
        <w:rPr>
          <w:noProof/>
        </w:rPr>
        <w:t>12</w:t>
      </w:r>
      <w:r w:rsidR="004550CB">
        <w:rPr>
          <w:noProof/>
        </w:rPr>
        <w:fldChar w:fldCharType="end"/>
      </w:r>
      <w:r>
        <w:t>). However, participation also falls over time, with the number of hotels that acquire additional ratings after the first falling, and very few hotels having rated 4-5 times.</w:t>
      </w:r>
    </w:p>
    <w:p w14:paraId="644A6729" w14:textId="0DFB5E56" w:rsidR="00ED0E85" w:rsidRPr="001C28CB" w:rsidRDefault="00ED0E85" w:rsidP="00ED0E85">
      <w:pPr>
        <w:pStyle w:val="Caption"/>
      </w:pPr>
      <w:r w:rsidRPr="0068146B">
        <w:fldChar w:fldCharType="begin"/>
      </w:r>
      <w:r w:rsidRPr="0068146B">
        <w:instrText xml:space="preserve"> IF 1 = 1 "</w:instrText>
      </w:r>
      <w:r w:rsidRPr="0068146B">
        <w:fldChar w:fldCharType="begin"/>
      </w:r>
      <w:r w:rsidRPr="0068146B">
        <w:instrText xml:space="preserve"> IF </w:instrText>
      </w:r>
      <w:r w:rsidRPr="0068146B">
        <w:rPr>
          <w:noProof/>
        </w:rPr>
        <w:fldChar w:fldCharType="begin"/>
      </w:r>
      <w:r w:rsidRPr="0068146B">
        <w:rPr>
          <w:noProof/>
        </w:rPr>
        <w:instrText xml:space="preserve"> STYLEREF "Heading 6" \l \n </w:instrText>
      </w:r>
      <w:r w:rsidRPr="0068146B">
        <w:rPr>
          <w:noProof/>
        </w:rPr>
        <w:fldChar w:fldCharType="separate"/>
      </w:r>
      <w:r w:rsidR="00AD3561">
        <w:rPr>
          <w:noProof/>
        </w:rPr>
        <w:instrText>0</w:instrText>
      </w:r>
      <w:r w:rsidRPr="0068146B">
        <w:rPr>
          <w:noProof/>
        </w:rPr>
        <w:fldChar w:fldCharType="end"/>
      </w:r>
      <w:r w:rsidRPr="0068146B">
        <w:instrText xml:space="preserve"> = 0 "</w:instrText>
      </w:r>
      <w:r w:rsidRPr="0068146B">
        <w:fldChar w:fldCharType="begin"/>
      </w:r>
      <w:r w:rsidRPr="0068146B">
        <w:instrText xml:space="preserve"> IF </w:instrText>
      </w:r>
      <w:r w:rsidRPr="0068146B">
        <w:rPr>
          <w:noProof/>
        </w:rPr>
        <w:fldChar w:fldCharType="begin"/>
      </w:r>
      <w:r w:rsidRPr="0068146B">
        <w:rPr>
          <w:noProof/>
        </w:rPr>
        <w:instrText xml:space="preserve"> STYLEREF "Heading 1" \l \n </w:instrText>
      </w:r>
      <w:r w:rsidRPr="0068146B">
        <w:rPr>
          <w:noProof/>
        </w:rPr>
        <w:fldChar w:fldCharType="separate"/>
      </w:r>
      <w:r w:rsidR="00AD3561">
        <w:rPr>
          <w:noProof/>
        </w:rPr>
        <w:instrText>8</w:instrText>
      </w:r>
      <w:r w:rsidRPr="0068146B">
        <w:rPr>
          <w:noProof/>
        </w:rPr>
        <w:fldChar w:fldCharType="end"/>
      </w:r>
      <w:r w:rsidRPr="0068146B">
        <w:instrText xml:space="preserve"> = 0 "" "</w:instrText>
      </w:r>
      <w:r w:rsidRPr="0068146B">
        <w:rPr>
          <w:noProof/>
        </w:rPr>
        <w:fldChar w:fldCharType="begin"/>
      </w:r>
      <w:r w:rsidRPr="0068146B">
        <w:rPr>
          <w:noProof/>
        </w:rPr>
        <w:instrText xml:space="preserve"> STYLEREF "Heading 1" \l \n </w:instrText>
      </w:r>
      <w:r w:rsidRPr="0068146B">
        <w:rPr>
          <w:noProof/>
        </w:rPr>
        <w:fldChar w:fldCharType="separate"/>
      </w:r>
      <w:r w:rsidR="00AD3561">
        <w:rPr>
          <w:noProof/>
        </w:rPr>
        <w:instrText>8</w:instrText>
      </w:r>
      <w:r w:rsidRPr="0068146B">
        <w:rPr>
          <w:noProof/>
        </w:rPr>
        <w:fldChar w:fldCharType="end"/>
      </w:r>
      <w:r w:rsidRPr="0068146B">
        <w:instrText xml:space="preserve">." </w:instrText>
      </w:r>
      <w:r w:rsidRPr="0068146B">
        <w:fldChar w:fldCharType="separate"/>
      </w:r>
      <w:r w:rsidR="00AD3561">
        <w:rPr>
          <w:noProof/>
        </w:rPr>
        <w:instrText>8</w:instrText>
      </w:r>
      <w:r w:rsidR="00AD3561" w:rsidRPr="0068146B">
        <w:rPr>
          <w:noProof/>
        </w:rPr>
        <w:instrText>.</w:instrText>
      </w:r>
      <w:r w:rsidRPr="0068146B">
        <w:fldChar w:fldCharType="end"/>
      </w:r>
      <w:r w:rsidRPr="0068146B">
        <w:instrText>" "</w:instrText>
      </w:r>
      <w:r w:rsidRPr="0068146B">
        <w:rPr>
          <w:noProof/>
        </w:rPr>
        <w:fldChar w:fldCharType="begin"/>
      </w:r>
      <w:r w:rsidRPr="0068146B">
        <w:rPr>
          <w:noProof/>
        </w:rPr>
        <w:instrText xml:space="preserve"> STYLEREF "Heading 6" \l \n </w:instrText>
      </w:r>
      <w:r w:rsidRPr="0068146B">
        <w:rPr>
          <w:noProof/>
        </w:rPr>
        <w:fldChar w:fldCharType="separate"/>
      </w:r>
      <w:r w:rsidRPr="0068146B">
        <w:rPr>
          <w:noProof/>
        </w:rPr>
        <w:instrText>A</w:instrText>
      </w:r>
      <w:r w:rsidRPr="0068146B">
        <w:rPr>
          <w:noProof/>
        </w:rPr>
        <w:fldChar w:fldCharType="end"/>
      </w:r>
      <w:r w:rsidRPr="0068146B">
        <w:instrText xml:space="preserve">." </w:instrText>
      </w:r>
      <w:r w:rsidRPr="0068146B">
        <w:fldChar w:fldCharType="separate"/>
      </w:r>
      <w:r w:rsidR="00C353B5">
        <w:rPr>
          <w:noProof/>
        </w:rPr>
        <w:instrText>8</w:instrText>
      </w:r>
      <w:r w:rsidR="00C353B5" w:rsidRPr="0068146B">
        <w:rPr>
          <w:noProof/>
        </w:rPr>
        <w:instrText>.</w:instrText>
      </w:r>
      <w:r w:rsidRPr="0068146B">
        <w:fldChar w:fldCharType="end"/>
      </w:r>
      <w:r w:rsidRPr="0068146B">
        <w:fldChar w:fldCharType="begin"/>
      </w:r>
      <w:r w:rsidRPr="0068146B">
        <w:instrText xml:space="preserve"> SEQ Item \* ARABIC \s </w:instrText>
      </w:r>
      <w:r w:rsidRPr="0068146B">
        <w:fldChar w:fldCharType="begin"/>
      </w:r>
      <w:r w:rsidRPr="0068146B">
        <w:instrText xml:space="preserve"> IF </w:instrText>
      </w:r>
      <w:r w:rsidRPr="0068146B">
        <w:rPr>
          <w:noProof/>
        </w:rPr>
        <w:fldChar w:fldCharType="begin"/>
      </w:r>
      <w:r w:rsidRPr="0068146B">
        <w:rPr>
          <w:noProof/>
        </w:rPr>
        <w:instrText xml:space="preserve"> STYLEREF "Heading 6" \l \n </w:instrText>
      </w:r>
      <w:r w:rsidRPr="0068146B">
        <w:rPr>
          <w:noProof/>
        </w:rPr>
        <w:fldChar w:fldCharType="separate"/>
      </w:r>
      <w:r w:rsidR="00AD3561">
        <w:rPr>
          <w:noProof/>
        </w:rPr>
        <w:instrText>0</w:instrText>
      </w:r>
      <w:r w:rsidRPr="0068146B">
        <w:rPr>
          <w:noProof/>
        </w:rPr>
        <w:fldChar w:fldCharType="end"/>
      </w:r>
      <w:r w:rsidRPr="0068146B">
        <w:instrText xml:space="preserve"> = 0 "</w:instrText>
      </w:r>
      <w:r w:rsidRPr="0068146B">
        <w:fldChar w:fldCharType="begin"/>
      </w:r>
      <w:r w:rsidRPr="0068146B">
        <w:instrText xml:space="preserve"> IF </w:instrText>
      </w:r>
      <w:r w:rsidRPr="0068146B">
        <w:rPr>
          <w:noProof/>
        </w:rPr>
        <w:fldChar w:fldCharType="begin"/>
      </w:r>
      <w:r w:rsidRPr="0068146B">
        <w:rPr>
          <w:noProof/>
        </w:rPr>
        <w:instrText xml:space="preserve"> STYLEREF "Heading 1" \l \n </w:instrText>
      </w:r>
      <w:r w:rsidRPr="0068146B">
        <w:rPr>
          <w:noProof/>
        </w:rPr>
        <w:fldChar w:fldCharType="separate"/>
      </w:r>
      <w:r w:rsidR="00AD3561">
        <w:rPr>
          <w:noProof/>
        </w:rPr>
        <w:instrText>8</w:instrText>
      </w:r>
      <w:r w:rsidRPr="0068146B">
        <w:rPr>
          <w:noProof/>
        </w:rPr>
        <w:fldChar w:fldCharType="end"/>
      </w:r>
      <w:r w:rsidRPr="0068146B">
        <w:instrText xml:space="preserve"> = 0 "" "1" </w:instrText>
      </w:r>
      <w:r w:rsidRPr="0068146B">
        <w:fldChar w:fldCharType="separate"/>
      </w:r>
      <w:r w:rsidR="00C353B5" w:rsidRPr="0068146B">
        <w:rPr>
          <w:noProof/>
        </w:rPr>
        <w:instrText>1</w:instrText>
      </w:r>
      <w:r w:rsidRPr="0068146B">
        <w:fldChar w:fldCharType="end"/>
      </w:r>
      <w:r w:rsidRPr="0068146B">
        <w:instrText xml:space="preserve">" "6" </w:instrText>
      </w:r>
      <w:r w:rsidRPr="0068146B">
        <w:fldChar w:fldCharType="separate"/>
      </w:r>
      <w:r w:rsidR="00C353B5" w:rsidRPr="0068146B">
        <w:rPr>
          <w:noProof/>
        </w:rPr>
        <w:instrText>1</w:instrText>
      </w:r>
      <w:r w:rsidRPr="0068146B">
        <w:fldChar w:fldCharType="end"/>
      </w:r>
      <w:r w:rsidRPr="0068146B">
        <w:instrText xml:space="preserve"> </w:instrText>
      </w:r>
      <w:r w:rsidRPr="0068146B">
        <w:fldChar w:fldCharType="separate"/>
      </w:r>
      <w:r w:rsidR="00AD3561">
        <w:rPr>
          <w:noProof/>
        </w:rPr>
        <w:instrText>12</w:instrText>
      </w:r>
      <w:r w:rsidRPr="0068146B">
        <w:fldChar w:fldCharType="end"/>
      </w:r>
      <w:r w:rsidRPr="0068146B">
        <w:instrText xml:space="preserve">" "" </w:instrText>
      </w:r>
      <w:r w:rsidRPr="0068146B">
        <w:fldChar w:fldCharType="separate"/>
      </w:r>
      <w:bookmarkStart w:id="5537" w:name="_Caption6984"/>
      <w:bookmarkStart w:id="5538" w:name="_Caption5745"/>
      <w:bookmarkStart w:id="5539" w:name="_Caption0206"/>
      <w:bookmarkStart w:id="5540" w:name="_Caption0534"/>
      <w:bookmarkStart w:id="5541" w:name="_Caption3284"/>
      <w:bookmarkStart w:id="5542" w:name="_Caption2046"/>
      <w:bookmarkStart w:id="5543" w:name="_Caption6235"/>
      <w:bookmarkStart w:id="5544" w:name="_Caption1816"/>
      <w:bookmarkStart w:id="5545" w:name="_Caption6517"/>
      <w:bookmarkStart w:id="5546" w:name="_Caption9276"/>
      <w:bookmarkStart w:id="5547" w:name="_Caption3795"/>
      <w:bookmarkStart w:id="5548" w:name="_Caption2726"/>
      <w:bookmarkStart w:id="5549" w:name="_Caption5980"/>
      <w:bookmarkStart w:id="5550" w:name="_Caption0966"/>
      <w:bookmarkStart w:id="5551" w:name="_Caption7249"/>
      <w:bookmarkStart w:id="5552" w:name="_Caption6586"/>
      <w:bookmarkStart w:id="5553" w:name="_Caption8280"/>
      <w:bookmarkStart w:id="5554" w:name="_Caption8983"/>
      <w:bookmarkStart w:id="5555" w:name="_Caption1321"/>
      <w:bookmarkStart w:id="5556" w:name="_Caption2677"/>
      <w:bookmarkStart w:id="5557" w:name="_Caption9164"/>
      <w:bookmarkStart w:id="5558" w:name="_Caption6618"/>
      <w:bookmarkStart w:id="5559" w:name="_Caption7546"/>
      <w:bookmarkStart w:id="5560" w:name="_Caption4055"/>
      <w:bookmarkStart w:id="5561" w:name="_Caption6706"/>
      <w:bookmarkStart w:id="5562" w:name="_Caption9790"/>
      <w:bookmarkStart w:id="5563" w:name="_Caption5621"/>
      <w:bookmarkStart w:id="5564" w:name="_Caption9048"/>
      <w:bookmarkStart w:id="5565" w:name="_Caption3752"/>
      <w:bookmarkStart w:id="5566" w:name="_Caption0530"/>
      <w:bookmarkStart w:id="5567" w:name="_Caption8995"/>
      <w:bookmarkStart w:id="5568" w:name="_Caption6206"/>
      <w:bookmarkStart w:id="5569" w:name="_Caption4465"/>
      <w:bookmarkStart w:id="5570" w:name="_Caption0556"/>
      <w:bookmarkStart w:id="5571" w:name="_Caption3636"/>
      <w:bookmarkStart w:id="5572" w:name="_Caption6523"/>
      <w:bookmarkStart w:id="5573" w:name="_Caption2107"/>
      <w:bookmarkStart w:id="5574" w:name="_Caption5339"/>
      <w:bookmarkStart w:id="5575" w:name="_Caption5688"/>
      <w:bookmarkStart w:id="5576" w:name="_Caption2382"/>
      <w:bookmarkStart w:id="5577" w:name="_Caption3850"/>
      <w:bookmarkStart w:id="5578" w:name="_Caption7629"/>
      <w:bookmarkStart w:id="5579" w:name="_Caption5318"/>
      <w:bookmarkStart w:id="5580" w:name="_Caption6778"/>
      <w:bookmarkStart w:id="5581" w:name="_Caption2973"/>
      <w:bookmarkStart w:id="5582" w:name="_Caption7073"/>
      <w:bookmarkStart w:id="5583" w:name="_Caption2452"/>
      <w:bookmarkStart w:id="5584" w:name="_Caption9636"/>
      <w:bookmarkStart w:id="5585" w:name="_Caption1629"/>
      <w:bookmarkStart w:id="5586" w:name="_Caption4882"/>
      <w:bookmarkStart w:id="5587" w:name="_Caption1052"/>
      <w:bookmarkStart w:id="5588" w:name="_Caption0121"/>
      <w:bookmarkStart w:id="5589" w:name="_Caption7148"/>
      <w:bookmarkStart w:id="5590" w:name="_Caption2966"/>
      <w:bookmarkStart w:id="5591" w:name="_Caption9085"/>
      <w:bookmarkStart w:id="5592" w:name="_Caption1631"/>
      <w:bookmarkStart w:id="5593" w:name="_Caption8201"/>
      <w:bookmarkStart w:id="5594" w:name="_Caption3276"/>
      <w:bookmarkStart w:id="5595" w:name="_Caption8739"/>
      <w:bookmarkStart w:id="5596" w:name="_Caption3379"/>
      <w:bookmarkStart w:id="5597" w:name="_Caption0480"/>
      <w:bookmarkStart w:id="5598" w:name="_Caption0422"/>
      <w:bookmarkStart w:id="5599" w:name="_Toc19275636"/>
      <w:bookmarkStart w:id="5600" w:name="_Toc19276246"/>
      <w:bookmarkStart w:id="5601" w:name="_Toc19280245"/>
      <w:r w:rsidR="00C353B5">
        <w:rPr>
          <w:noProof/>
        </w:rPr>
        <w:t>8</w:t>
      </w:r>
      <w:r w:rsidR="00C353B5" w:rsidRPr="0068146B">
        <w:rPr>
          <w:noProof/>
        </w:rPr>
        <w:t>.</w:t>
      </w:r>
      <w:r w:rsidR="00C353B5">
        <w:rPr>
          <w:noProof/>
        </w:rPr>
        <w:t>12</w:t>
      </w:r>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r w:rsidRPr="0068146B">
        <w:fldChar w:fldCharType="end"/>
      </w:r>
      <w:r w:rsidRPr="0068146B">
        <w:tab/>
        <w:t>Average NABERS rating with more ratings</w:t>
      </w:r>
      <w:bookmarkEnd w:id="5599"/>
      <w:bookmarkEnd w:id="5600"/>
      <w:bookmarkEnd w:id="5601"/>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48899F59" w14:textId="77777777" w:rsidTr="00ED0E85">
        <w:trPr>
          <w:cantSplit/>
        </w:trPr>
        <w:tc>
          <w:tcPr>
            <w:tcW w:w="7938" w:type="dxa"/>
            <w:shd w:val="clear" w:color="auto" w:fill="E9E8E5" w:themeFill="background2"/>
          </w:tcPr>
          <w:p w14:paraId="15646BD6" w14:textId="77777777" w:rsidR="00ED0E85" w:rsidRDefault="00ED0E85" w:rsidP="00ED0E85">
            <w:pPr>
              <w:pStyle w:val="Chart"/>
              <w:jc w:val="center"/>
            </w:pPr>
            <w:r w:rsidRPr="0068146B">
              <w:rPr>
                <w:noProof/>
                <w:lang w:eastAsia="en-AU"/>
              </w:rPr>
              <w:drawing>
                <wp:inline distT="0" distB="0" distL="0" distR="0" wp14:anchorId="749258AA" wp14:editId="2D6063A6">
                  <wp:extent cx="4914900" cy="236220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6">
                            <a:extLst>
                              <a:ext uri="{28A0092B-C50C-407E-A947-70E740481C1C}">
                                <a14:useLocalDpi xmlns:a14="http://schemas.microsoft.com/office/drawing/2010/main" val="0"/>
                              </a:ext>
                            </a:extLst>
                          </a:blip>
                          <a:srcRect t="2643" b="3773"/>
                          <a:stretch/>
                        </pic:blipFill>
                        <pic:spPr bwMode="auto">
                          <a:xfrm>
                            <a:off x="0" y="0"/>
                            <a:ext cx="4914900" cy="2362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2B2F26C" w14:textId="77777777" w:rsidR="00ED0E85" w:rsidRDefault="00ED0E85" w:rsidP="00ED0E85">
      <w:pPr>
        <w:pStyle w:val="Source"/>
      </w:pPr>
      <w:r>
        <w:rPr>
          <w:i/>
        </w:rPr>
        <w:t>Data source</w:t>
      </w:r>
      <w:r w:rsidRPr="00A67576">
        <w:rPr>
          <w:i/>
        </w:rPr>
        <w:t>:</w:t>
      </w:r>
      <w:r>
        <w:t xml:space="preserve"> </w:t>
      </w:r>
      <w:r w:rsidRPr="00DD4281">
        <w:t>The CIE, CBD dataset</w:t>
      </w:r>
    </w:p>
    <w:p w14:paraId="060AF1F4" w14:textId="79F599DA" w:rsidR="00ED0E85" w:rsidRDefault="00ED0E85" w:rsidP="00ED0E85">
      <w:pPr>
        <w:pStyle w:val="ListBullet"/>
        <w:numPr>
          <w:ilvl w:val="0"/>
          <w:numId w:val="0"/>
        </w:numPr>
      </w:pPr>
      <w:r>
        <w:t xml:space="preserve">Around 35 per cent of hotels rated multiple times had no change in rating, while those that improved mainly saw increases in their rating by 0.5 stars (chart </w:t>
      </w:r>
      <w:r w:rsidR="004550CB">
        <w:rPr>
          <w:noProof/>
        </w:rPr>
        <w:fldChar w:fldCharType="begin"/>
      </w:r>
      <w:r w:rsidR="004550CB">
        <w:rPr>
          <w:noProof/>
        </w:rPr>
        <w:instrText xml:space="preserve"> REF _Caption1331 </w:instrText>
      </w:r>
      <w:r w:rsidR="004550CB">
        <w:rPr>
          <w:noProof/>
        </w:rPr>
        <w:fldChar w:fldCharType="separate"/>
      </w:r>
      <w:r w:rsidR="00AD3561">
        <w:rPr>
          <w:noProof/>
        </w:rPr>
        <w:t>8</w:t>
      </w:r>
      <w:r w:rsidR="00AD3561" w:rsidRPr="003734F7">
        <w:rPr>
          <w:noProof/>
        </w:rPr>
        <w:t>.</w:t>
      </w:r>
      <w:r w:rsidR="00AD3561">
        <w:rPr>
          <w:noProof/>
        </w:rPr>
        <w:t>13</w:t>
      </w:r>
      <w:r w:rsidR="004550CB">
        <w:rPr>
          <w:noProof/>
        </w:rPr>
        <w:fldChar w:fldCharType="end"/>
      </w:r>
      <w:r>
        <w:t>). Some hotels achieved larger changes in performance.</w:t>
      </w:r>
    </w:p>
    <w:p w14:paraId="6CF0D383" w14:textId="7A357A33" w:rsidR="00ED0E85" w:rsidRPr="00695C93" w:rsidRDefault="00ED0E85" w:rsidP="00ED0E85">
      <w:pPr>
        <w:pStyle w:val="Caption"/>
      </w:pPr>
      <w:r w:rsidRPr="003734F7">
        <w:fldChar w:fldCharType="begin"/>
      </w:r>
      <w:r w:rsidRPr="003734F7">
        <w:instrText xml:space="preserve"> IF 1 = 1 "</w:instrText>
      </w:r>
      <w:r w:rsidRPr="003734F7">
        <w:fldChar w:fldCharType="begin"/>
      </w:r>
      <w:r w:rsidRPr="003734F7">
        <w:instrText xml:space="preserve"> IF </w:instrText>
      </w:r>
      <w:r w:rsidRPr="003734F7">
        <w:rPr>
          <w:noProof/>
        </w:rPr>
        <w:fldChar w:fldCharType="begin"/>
      </w:r>
      <w:r w:rsidRPr="003734F7">
        <w:rPr>
          <w:noProof/>
        </w:rPr>
        <w:instrText xml:space="preserve"> STYLEREF "Heading 6" \l \n </w:instrText>
      </w:r>
      <w:r w:rsidRPr="003734F7">
        <w:rPr>
          <w:noProof/>
        </w:rPr>
        <w:fldChar w:fldCharType="separate"/>
      </w:r>
      <w:r w:rsidR="00AD3561">
        <w:rPr>
          <w:noProof/>
        </w:rPr>
        <w:instrText>0</w:instrText>
      </w:r>
      <w:r w:rsidRPr="003734F7">
        <w:rPr>
          <w:noProof/>
        </w:rPr>
        <w:fldChar w:fldCharType="end"/>
      </w:r>
      <w:r w:rsidRPr="003734F7">
        <w:instrText xml:space="preserve"> = 0 "</w:instrText>
      </w:r>
      <w:r w:rsidRPr="003734F7">
        <w:fldChar w:fldCharType="begin"/>
      </w:r>
      <w:r w:rsidRPr="003734F7">
        <w:instrText xml:space="preserve"> IF </w:instrText>
      </w:r>
      <w:r w:rsidRPr="003734F7">
        <w:rPr>
          <w:noProof/>
        </w:rPr>
        <w:fldChar w:fldCharType="begin"/>
      </w:r>
      <w:r w:rsidRPr="003734F7">
        <w:rPr>
          <w:noProof/>
        </w:rPr>
        <w:instrText xml:space="preserve"> STYLEREF "Heading 1" \l \n </w:instrText>
      </w:r>
      <w:r w:rsidRPr="003734F7">
        <w:rPr>
          <w:noProof/>
        </w:rPr>
        <w:fldChar w:fldCharType="separate"/>
      </w:r>
      <w:r w:rsidR="00AD3561">
        <w:rPr>
          <w:noProof/>
        </w:rPr>
        <w:instrText>8</w:instrText>
      </w:r>
      <w:r w:rsidRPr="003734F7">
        <w:rPr>
          <w:noProof/>
        </w:rPr>
        <w:fldChar w:fldCharType="end"/>
      </w:r>
      <w:r w:rsidRPr="003734F7">
        <w:instrText xml:space="preserve"> = 0 "" "</w:instrText>
      </w:r>
      <w:r w:rsidRPr="003734F7">
        <w:rPr>
          <w:noProof/>
        </w:rPr>
        <w:fldChar w:fldCharType="begin"/>
      </w:r>
      <w:r w:rsidRPr="003734F7">
        <w:rPr>
          <w:noProof/>
        </w:rPr>
        <w:instrText xml:space="preserve"> STYLEREF "Heading 1" \l \n </w:instrText>
      </w:r>
      <w:r w:rsidRPr="003734F7">
        <w:rPr>
          <w:noProof/>
        </w:rPr>
        <w:fldChar w:fldCharType="separate"/>
      </w:r>
      <w:r w:rsidR="00AD3561">
        <w:rPr>
          <w:noProof/>
        </w:rPr>
        <w:instrText>8</w:instrText>
      </w:r>
      <w:r w:rsidRPr="003734F7">
        <w:rPr>
          <w:noProof/>
        </w:rPr>
        <w:fldChar w:fldCharType="end"/>
      </w:r>
      <w:r w:rsidRPr="003734F7">
        <w:instrText xml:space="preserve">." </w:instrText>
      </w:r>
      <w:r w:rsidRPr="003734F7">
        <w:fldChar w:fldCharType="separate"/>
      </w:r>
      <w:r w:rsidR="00AD3561">
        <w:rPr>
          <w:noProof/>
        </w:rPr>
        <w:instrText>8</w:instrText>
      </w:r>
      <w:r w:rsidR="00AD3561" w:rsidRPr="003734F7">
        <w:rPr>
          <w:noProof/>
        </w:rPr>
        <w:instrText>.</w:instrText>
      </w:r>
      <w:r w:rsidRPr="003734F7">
        <w:fldChar w:fldCharType="end"/>
      </w:r>
      <w:r w:rsidRPr="003734F7">
        <w:instrText>" "</w:instrText>
      </w:r>
      <w:r w:rsidRPr="003734F7">
        <w:rPr>
          <w:noProof/>
        </w:rPr>
        <w:fldChar w:fldCharType="begin"/>
      </w:r>
      <w:r w:rsidRPr="003734F7">
        <w:rPr>
          <w:noProof/>
        </w:rPr>
        <w:instrText xml:space="preserve"> STYLEREF "Heading 6" \l \n </w:instrText>
      </w:r>
      <w:r w:rsidRPr="003734F7">
        <w:rPr>
          <w:noProof/>
        </w:rPr>
        <w:fldChar w:fldCharType="separate"/>
      </w:r>
      <w:r w:rsidRPr="003734F7">
        <w:rPr>
          <w:noProof/>
        </w:rPr>
        <w:instrText>A</w:instrText>
      </w:r>
      <w:r w:rsidRPr="003734F7">
        <w:rPr>
          <w:noProof/>
        </w:rPr>
        <w:fldChar w:fldCharType="end"/>
      </w:r>
      <w:r w:rsidRPr="003734F7">
        <w:instrText xml:space="preserve">." </w:instrText>
      </w:r>
      <w:r w:rsidRPr="003734F7">
        <w:fldChar w:fldCharType="separate"/>
      </w:r>
      <w:r w:rsidR="00C353B5">
        <w:rPr>
          <w:noProof/>
        </w:rPr>
        <w:instrText>8</w:instrText>
      </w:r>
      <w:r w:rsidR="00C353B5" w:rsidRPr="003734F7">
        <w:rPr>
          <w:noProof/>
        </w:rPr>
        <w:instrText>.</w:instrText>
      </w:r>
      <w:r w:rsidRPr="003734F7">
        <w:fldChar w:fldCharType="end"/>
      </w:r>
      <w:r w:rsidRPr="003734F7">
        <w:fldChar w:fldCharType="begin"/>
      </w:r>
      <w:r w:rsidRPr="003734F7">
        <w:instrText xml:space="preserve"> SEQ Item \* ARABIC \s </w:instrText>
      </w:r>
      <w:r w:rsidRPr="003734F7">
        <w:fldChar w:fldCharType="begin"/>
      </w:r>
      <w:r w:rsidRPr="003734F7">
        <w:instrText xml:space="preserve"> IF </w:instrText>
      </w:r>
      <w:r w:rsidRPr="003734F7">
        <w:rPr>
          <w:noProof/>
        </w:rPr>
        <w:fldChar w:fldCharType="begin"/>
      </w:r>
      <w:r w:rsidRPr="003734F7">
        <w:rPr>
          <w:noProof/>
        </w:rPr>
        <w:instrText xml:space="preserve"> STYLEREF "Heading 6" \l \n </w:instrText>
      </w:r>
      <w:r w:rsidRPr="003734F7">
        <w:rPr>
          <w:noProof/>
        </w:rPr>
        <w:fldChar w:fldCharType="separate"/>
      </w:r>
      <w:r w:rsidR="00AD3561">
        <w:rPr>
          <w:noProof/>
        </w:rPr>
        <w:instrText>0</w:instrText>
      </w:r>
      <w:r w:rsidRPr="003734F7">
        <w:rPr>
          <w:noProof/>
        </w:rPr>
        <w:fldChar w:fldCharType="end"/>
      </w:r>
      <w:r w:rsidRPr="003734F7">
        <w:instrText xml:space="preserve"> = 0 "</w:instrText>
      </w:r>
      <w:r w:rsidRPr="003734F7">
        <w:fldChar w:fldCharType="begin"/>
      </w:r>
      <w:r w:rsidRPr="003734F7">
        <w:instrText xml:space="preserve"> IF </w:instrText>
      </w:r>
      <w:r w:rsidRPr="003734F7">
        <w:rPr>
          <w:noProof/>
        </w:rPr>
        <w:fldChar w:fldCharType="begin"/>
      </w:r>
      <w:r w:rsidRPr="003734F7">
        <w:rPr>
          <w:noProof/>
        </w:rPr>
        <w:instrText xml:space="preserve"> STYLEREF "Heading 1" \l \n </w:instrText>
      </w:r>
      <w:r w:rsidRPr="003734F7">
        <w:rPr>
          <w:noProof/>
        </w:rPr>
        <w:fldChar w:fldCharType="separate"/>
      </w:r>
      <w:r w:rsidR="00AD3561">
        <w:rPr>
          <w:noProof/>
        </w:rPr>
        <w:instrText>8</w:instrText>
      </w:r>
      <w:r w:rsidRPr="003734F7">
        <w:rPr>
          <w:noProof/>
        </w:rPr>
        <w:fldChar w:fldCharType="end"/>
      </w:r>
      <w:r w:rsidRPr="003734F7">
        <w:instrText xml:space="preserve"> = 0 "" "1" </w:instrText>
      </w:r>
      <w:r w:rsidRPr="003734F7">
        <w:fldChar w:fldCharType="separate"/>
      </w:r>
      <w:r w:rsidR="00C353B5" w:rsidRPr="003734F7">
        <w:rPr>
          <w:noProof/>
        </w:rPr>
        <w:instrText>1</w:instrText>
      </w:r>
      <w:r w:rsidRPr="003734F7">
        <w:fldChar w:fldCharType="end"/>
      </w:r>
      <w:r w:rsidRPr="003734F7">
        <w:instrText xml:space="preserve">" "6" </w:instrText>
      </w:r>
      <w:r w:rsidRPr="003734F7">
        <w:fldChar w:fldCharType="separate"/>
      </w:r>
      <w:r w:rsidR="00C353B5" w:rsidRPr="003734F7">
        <w:rPr>
          <w:noProof/>
        </w:rPr>
        <w:instrText>1</w:instrText>
      </w:r>
      <w:r w:rsidRPr="003734F7">
        <w:fldChar w:fldCharType="end"/>
      </w:r>
      <w:r w:rsidRPr="003734F7">
        <w:instrText xml:space="preserve"> </w:instrText>
      </w:r>
      <w:r w:rsidRPr="003734F7">
        <w:fldChar w:fldCharType="separate"/>
      </w:r>
      <w:r w:rsidR="00AD3561">
        <w:rPr>
          <w:noProof/>
        </w:rPr>
        <w:instrText>13</w:instrText>
      </w:r>
      <w:r w:rsidRPr="003734F7">
        <w:fldChar w:fldCharType="end"/>
      </w:r>
      <w:r w:rsidRPr="003734F7">
        <w:instrText xml:space="preserve">" "" </w:instrText>
      </w:r>
      <w:r w:rsidRPr="003734F7">
        <w:fldChar w:fldCharType="separate"/>
      </w:r>
      <w:bookmarkStart w:id="5602" w:name="_Caption2917"/>
      <w:bookmarkStart w:id="5603" w:name="_Caption3061"/>
      <w:bookmarkStart w:id="5604" w:name="_Caption4158"/>
      <w:bookmarkStart w:id="5605" w:name="_Caption9120"/>
      <w:bookmarkStart w:id="5606" w:name="_Caption7409"/>
      <w:bookmarkStart w:id="5607" w:name="_Caption3541"/>
      <w:bookmarkStart w:id="5608" w:name="_Caption4912"/>
      <w:bookmarkStart w:id="5609" w:name="_Caption2844"/>
      <w:bookmarkStart w:id="5610" w:name="_Caption7398"/>
      <w:bookmarkStart w:id="5611" w:name="_Caption3655"/>
      <w:bookmarkStart w:id="5612" w:name="_Caption6145"/>
      <w:bookmarkStart w:id="5613" w:name="_Caption0457"/>
      <w:bookmarkStart w:id="5614" w:name="_Caption0293"/>
      <w:bookmarkStart w:id="5615" w:name="_Caption8682"/>
      <w:bookmarkStart w:id="5616" w:name="_Caption7529"/>
      <w:bookmarkStart w:id="5617" w:name="_Caption3020"/>
      <w:bookmarkStart w:id="5618" w:name="_Caption0869"/>
      <w:bookmarkStart w:id="5619" w:name="_Caption4818"/>
      <w:bookmarkStart w:id="5620" w:name="_Caption5874"/>
      <w:bookmarkStart w:id="5621" w:name="_Caption6762"/>
      <w:bookmarkStart w:id="5622" w:name="_Caption9271"/>
      <w:bookmarkStart w:id="5623" w:name="_Caption6257"/>
      <w:bookmarkStart w:id="5624" w:name="_Caption7457"/>
      <w:bookmarkStart w:id="5625" w:name="_Caption6298"/>
      <w:bookmarkStart w:id="5626" w:name="_Caption1685"/>
      <w:bookmarkStart w:id="5627" w:name="_Caption1393"/>
      <w:bookmarkStart w:id="5628" w:name="_Caption9145"/>
      <w:bookmarkStart w:id="5629" w:name="_Caption5309"/>
      <w:bookmarkStart w:id="5630" w:name="_Caption1483"/>
      <w:bookmarkStart w:id="5631" w:name="_Caption2519"/>
      <w:bookmarkStart w:id="5632" w:name="_Caption3374"/>
      <w:bookmarkStart w:id="5633" w:name="_Caption5458"/>
      <w:bookmarkStart w:id="5634" w:name="_Caption0580"/>
      <w:bookmarkStart w:id="5635" w:name="_Caption2545"/>
      <w:bookmarkStart w:id="5636" w:name="_Caption1411"/>
      <w:bookmarkStart w:id="5637" w:name="_Caption3241"/>
      <w:bookmarkStart w:id="5638" w:name="_Caption0359"/>
      <w:bookmarkStart w:id="5639" w:name="_Caption4366"/>
      <w:bookmarkStart w:id="5640" w:name="_Caption3277"/>
      <w:bookmarkStart w:id="5641" w:name="_Caption8483"/>
      <w:bookmarkStart w:id="5642" w:name="_Caption6027"/>
      <w:bookmarkStart w:id="5643" w:name="_Caption8161"/>
      <w:bookmarkStart w:id="5644" w:name="_Caption1331"/>
      <w:bookmarkStart w:id="5645" w:name="_Caption8808"/>
      <w:bookmarkStart w:id="5646" w:name="_Caption2933"/>
      <w:bookmarkStart w:id="5647" w:name="_Caption2304"/>
      <w:bookmarkStart w:id="5648" w:name="_Caption4550"/>
      <w:bookmarkStart w:id="5649" w:name="_Caption3008"/>
      <w:bookmarkStart w:id="5650" w:name="_Caption7460"/>
      <w:bookmarkStart w:id="5651" w:name="_Caption5859"/>
      <w:bookmarkStart w:id="5652" w:name="_Caption9546"/>
      <w:bookmarkStart w:id="5653" w:name="_Caption9177"/>
      <w:bookmarkStart w:id="5654" w:name="_Caption4568"/>
      <w:bookmarkStart w:id="5655" w:name="_Caption8017"/>
      <w:bookmarkStart w:id="5656" w:name="_Caption2792"/>
      <w:bookmarkStart w:id="5657" w:name="_Caption3007"/>
      <w:bookmarkStart w:id="5658" w:name="_Caption3755"/>
      <w:bookmarkStart w:id="5659" w:name="_Caption3413"/>
      <w:bookmarkStart w:id="5660" w:name="_Caption3698"/>
      <w:bookmarkStart w:id="5661" w:name="_Caption0881"/>
      <w:bookmarkStart w:id="5662" w:name="_Caption2905"/>
      <w:bookmarkStart w:id="5663" w:name="_Toc19275637"/>
      <w:bookmarkStart w:id="5664" w:name="_Toc19276247"/>
      <w:bookmarkStart w:id="5665" w:name="_Toc19280246"/>
      <w:r w:rsidR="00C353B5">
        <w:rPr>
          <w:noProof/>
        </w:rPr>
        <w:t>8</w:t>
      </w:r>
      <w:r w:rsidR="00C353B5" w:rsidRPr="003734F7">
        <w:rPr>
          <w:noProof/>
        </w:rPr>
        <w:t>.</w:t>
      </w:r>
      <w:r w:rsidR="00C353B5">
        <w:rPr>
          <w:noProof/>
        </w:rPr>
        <w:t>13</w:t>
      </w:r>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r w:rsidRPr="003734F7">
        <w:fldChar w:fldCharType="end"/>
      </w:r>
      <w:r w:rsidRPr="003734F7">
        <w:tab/>
        <w:t>Comparing first NABERS rating to last rating</w:t>
      </w:r>
      <w:bookmarkEnd w:id="5663"/>
      <w:bookmarkEnd w:id="5664"/>
      <w:bookmarkEnd w:id="5665"/>
      <w:r>
        <w:t xml:space="preserve"> </w:t>
      </w:r>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0D7B2015" w14:textId="77777777" w:rsidTr="00ED0E85">
        <w:trPr>
          <w:cantSplit/>
        </w:trPr>
        <w:tc>
          <w:tcPr>
            <w:tcW w:w="7938" w:type="dxa"/>
            <w:shd w:val="clear" w:color="auto" w:fill="E9E8E5" w:themeFill="background2"/>
          </w:tcPr>
          <w:p w14:paraId="6DEF396E" w14:textId="77777777" w:rsidR="00ED0E85" w:rsidRDefault="00ED0E85" w:rsidP="00ED0E85">
            <w:pPr>
              <w:pStyle w:val="Chart"/>
              <w:spacing w:after="120"/>
              <w:jc w:val="center"/>
            </w:pPr>
            <w:r w:rsidRPr="003734F7">
              <w:rPr>
                <w:noProof/>
                <w:lang w:eastAsia="en-AU"/>
              </w:rPr>
              <w:drawing>
                <wp:inline distT="0" distB="0" distL="0" distR="0" wp14:anchorId="65DBB4BD" wp14:editId="38B1A3E8">
                  <wp:extent cx="4800600" cy="2495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7">
                            <a:extLst>
                              <a:ext uri="{28A0092B-C50C-407E-A947-70E740481C1C}">
                                <a14:useLocalDpi xmlns:a14="http://schemas.microsoft.com/office/drawing/2010/main" val="0"/>
                              </a:ext>
                            </a:extLst>
                          </a:blip>
                          <a:srcRect l="1563"/>
                          <a:stretch/>
                        </pic:blipFill>
                        <pic:spPr bwMode="auto">
                          <a:xfrm>
                            <a:off x="0" y="0"/>
                            <a:ext cx="4800600" cy="24955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78A877E" w14:textId="77777777" w:rsidR="00ED0E85" w:rsidRDefault="00ED0E85" w:rsidP="00ED0E85">
      <w:pPr>
        <w:pStyle w:val="Source"/>
      </w:pPr>
      <w:r>
        <w:rPr>
          <w:i/>
        </w:rPr>
        <w:t>Data source</w:t>
      </w:r>
      <w:r w:rsidRPr="00A67576">
        <w:rPr>
          <w:i/>
        </w:rPr>
        <w:t>:</w:t>
      </w:r>
      <w:r>
        <w:t xml:space="preserve"> </w:t>
      </w:r>
      <w:r w:rsidRPr="00DD4281">
        <w:t>The CIE, CBD dataset</w:t>
      </w:r>
    </w:p>
    <w:p w14:paraId="287CB9A7" w14:textId="77777777" w:rsidR="00ED0E85" w:rsidRDefault="00ED0E85" w:rsidP="00ED0E85">
      <w:pPr>
        <w:pStyle w:val="Heading2"/>
        <w:numPr>
          <w:ilvl w:val="1"/>
          <w:numId w:val="5"/>
        </w:numPr>
      </w:pPr>
      <w:bookmarkStart w:id="5666" w:name="_Toc19275534"/>
      <w:bookmarkStart w:id="5667" w:name="_Toc19276144"/>
      <w:bookmarkStart w:id="5668" w:name="_Toc19280143"/>
      <w:bookmarkStart w:id="5669" w:name="_Toc12633683"/>
      <w:r>
        <w:t>Case studies of hotels reducing energy</w:t>
      </w:r>
      <w:bookmarkEnd w:id="5666"/>
      <w:bookmarkEnd w:id="5667"/>
      <w:bookmarkEnd w:id="5668"/>
      <w:r>
        <w:t xml:space="preserve"> </w:t>
      </w:r>
    </w:p>
    <w:p w14:paraId="53EAFD14" w14:textId="77777777" w:rsidR="00ED0E85" w:rsidRDefault="00ED0E85" w:rsidP="00ED0E85">
      <w:pPr>
        <w:pStyle w:val="BodyText"/>
        <w:rPr>
          <w:lang w:eastAsia="en-US" w:bidi="fa-IR"/>
        </w:rPr>
      </w:pPr>
      <w:r>
        <w:rPr>
          <w:lang w:eastAsia="en-US" w:bidi="fa-IR"/>
        </w:rPr>
        <w:t xml:space="preserve">Many of the larger hotel chains have independently implemented sustainability initiatives that reduce energy consumption per room. This section provides a number of case studies. </w:t>
      </w:r>
    </w:p>
    <w:p w14:paraId="78FBD80E" w14:textId="77777777" w:rsidR="00ED0E85" w:rsidRDefault="00ED0E85" w:rsidP="00ED0E85">
      <w:pPr>
        <w:pStyle w:val="Heading3"/>
        <w:numPr>
          <w:ilvl w:val="2"/>
          <w:numId w:val="5"/>
        </w:numPr>
        <w:rPr>
          <w:lang w:eastAsia="en-US" w:bidi="fa-IR"/>
        </w:rPr>
      </w:pPr>
      <w:r>
        <w:rPr>
          <w:lang w:eastAsia="en-US" w:bidi="fa-IR"/>
        </w:rPr>
        <w:t>Accor in Australia</w:t>
      </w:r>
    </w:p>
    <w:p w14:paraId="709C9196" w14:textId="77777777" w:rsidR="00ED0E85" w:rsidRDefault="00ED0E85" w:rsidP="00ED0E85">
      <w:pPr>
        <w:pStyle w:val="BodyText"/>
        <w:rPr>
          <w:lang w:eastAsia="en-US" w:bidi="fa-IR"/>
        </w:rPr>
      </w:pPr>
      <w:r>
        <w:rPr>
          <w:lang w:eastAsia="en-US" w:bidi="fa-IR"/>
        </w:rPr>
        <w:t>Accor is Australia’s largest hotel group accounting for approximately 7.3 per cent of the market.</w:t>
      </w:r>
      <w:r>
        <w:rPr>
          <w:rStyle w:val="FootnoteReference"/>
          <w:lang w:eastAsia="en-US" w:bidi="fa-IR"/>
        </w:rPr>
        <w:footnoteReference w:id="72"/>
      </w:r>
      <w:r>
        <w:rPr>
          <w:lang w:eastAsia="en-US" w:bidi="fa-IR"/>
        </w:rPr>
        <w:t xml:space="preserve"> Accor sets annual reduction targets for each hotel in Australia for water and energy. Hotel performance is monitored using the web based Gaia platform, which tracks a range of the hotel’s metrics including: energy and water consumption; hotel characteristics (for example, number of rooms and facilities); and activity (such as occupancy rates).</w:t>
      </w:r>
      <w:r>
        <w:rPr>
          <w:rStyle w:val="FootnoteReference"/>
          <w:lang w:eastAsia="en-US" w:bidi="fa-IR"/>
        </w:rPr>
        <w:footnoteReference w:id="73"/>
      </w:r>
      <w:r>
        <w:rPr>
          <w:lang w:eastAsia="en-US" w:bidi="fa-IR"/>
        </w:rPr>
        <w:t xml:space="preserve"> This analytics assists hotels track their progress. </w:t>
      </w:r>
    </w:p>
    <w:p w14:paraId="418A151D" w14:textId="77777777" w:rsidR="00ED0E85" w:rsidRDefault="00ED0E85" w:rsidP="00ED0E85">
      <w:pPr>
        <w:pStyle w:val="BodyText"/>
        <w:rPr>
          <w:lang w:eastAsia="en-US" w:bidi="fa-IR"/>
        </w:rPr>
      </w:pPr>
      <w:r>
        <w:rPr>
          <w:lang w:eastAsia="en-US" w:bidi="fa-IR"/>
        </w:rPr>
        <w:t xml:space="preserve">A number of hotels have implemented solar photovoltaic systems such as the Novotel Barossa Valley Resort and Sydney Olympic Park (125 kW and 75 KW, respectively). </w:t>
      </w:r>
    </w:p>
    <w:p w14:paraId="6958C97B" w14:textId="4F49135F" w:rsidR="00ED0E85" w:rsidRDefault="00ED0E85" w:rsidP="00ED0E85">
      <w:pPr>
        <w:pStyle w:val="BodyText"/>
        <w:rPr>
          <w:lang w:eastAsia="en-US" w:bidi="fa-IR"/>
        </w:rPr>
      </w:pPr>
      <w:r>
        <w:rPr>
          <w:lang w:eastAsia="en-US" w:bidi="fa-IR"/>
        </w:rPr>
        <w:t xml:space="preserve">Notably, energy per available room has reduced 11 per cent between 2016 and 2018 (Chart </w:t>
      </w:r>
      <w:r>
        <w:rPr>
          <w:lang w:eastAsia="en-US" w:bidi="fa-IR"/>
        </w:rPr>
        <w:fldChar w:fldCharType="begin"/>
      </w:r>
      <w:r>
        <w:rPr>
          <w:lang w:eastAsia="en-US" w:bidi="fa-IR"/>
        </w:rPr>
        <w:instrText xml:space="preserve"> REF _Caption5469 </w:instrText>
      </w:r>
      <w:r>
        <w:rPr>
          <w:lang w:eastAsia="en-US" w:bidi="fa-IR"/>
        </w:rPr>
        <w:fldChar w:fldCharType="separate"/>
      </w:r>
      <w:r w:rsidR="00AD3561">
        <w:rPr>
          <w:noProof/>
        </w:rPr>
        <w:t>8</w:t>
      </w:r>
      <w:r w:rsidR="00AD3561" w:rsidRPr="00695C93">
        <w:rPr>
          <w:noProof/>
        </w:rPr>
        <w:t>.</w:t>
      </w:r>
      <w:r w:rsidR="00AD3561">
        <w:rPr>
          <w:noProof/>
        </w:rPr>
        <w:t>14</w:t>
      </w:r>
      <w:r>
        <w:rPr>
          <w:lang w:eastAsia="en-US" w:bidi="fa-IR"/>
        </w:rPr>
        <w:fldChar w:fldCharType="end"/>
      </w:r>
      <w:r>
        <w:rPr>
          <w:lang w:eastAsia="en-US" w:bidi="fa-IR"/>
        </w:rPr>
        <w:t xml:space="preserve">). </w:t>
      </w:r>
    </w:p>
    <w:p w14:paraId="0E366C9F" w14:textId="21440389"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w:instrText>
      </w:r>
      <w:r w:rsidRPr="00695C93">
        <w:fldChar w:fldCharType="separate"/>
      </w:r>
      <w:r w:rsidR="00AD3561">
        <w:rPr>
          <w:noProof/>
        </w:rPr>
        <w:instrText>8</w:instrText>
      </w:r>
      <w:r w:rsidR="00AD3561"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rsidRPr="00695C93">
        <w:instrText xml:space="preserve">." </w:instrText>
      </w:r>
      <w:r w:rsidRPr="00695C93">
        <w:fldChar w:fldCharType="separate"/>
      </w:r>
      <w:r w:rsidR="00C353B5">
        <w:rPr>
          <w:noProof/>
        </w:rPr>
        <w:instrText>8</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14</w:instrText>
      </w:r>
      <w:r w:rsidRPr="00695C93">
        <w:fldChar w:fldCharType="end"/>
      </w:r>
      <w:r w:rsidRPr="00695C93">
        <w:instrText xml:space="preserve">" "" </w:instrText>
      </w:r>
      <w:r w:rsidRPr="00695C93">
        <w:fldChar w:fldCharType="separate"/>
      </w:r>
      <w:bookmarkStart w:id="5670" w:name="_Caption8324"/>
      <w:bookmarkStart w:id="5671" w:name="_Caption1716"/>
      <w:bookmarkStart w:id="5672" w:name="_Caption5186"/>
      <w:bookmarkStart w:id="5673" w:name="_Caption4232"/>
      <w:bookmarkStart w:id="5674" w:name="_Caption7744"/>
      <w:bookmarkStart w:id="5675" w:name="_Caption7000"/>
      <w:bookmarkStart w:id="5676" w:name="_Caption8518"/>
      <w:bookmarkStart w:id="5677" w:name="_Caption6501"/>
      <w:bookmarkStart w:id="5678" w:name="_Caption6224"/>
      <w:bookmarkStart w:id="5679" w:name="_Caption2587"/>
      <w:bookmarkStart w:id="5680" w:name="_Caption9949"/>
      <w:bookmarkStart w:id="5681" w:name="_Caption6372"/>
      <w:bookmarkStart w:id="5682" w:name="_Caption1982"/>
      <w:bookmarkStart w:id="5683" w:name="_Caption8189"/>
      <w:bookmarkStart w:id="5684" w:name="_Caption9344"/>
      <w:bookmarkStart w:id="5685" w:name="_Caption1834"/>
      <w:bookmarkStart w:id="5686" w:name="_Caption5756"/>
      <w:bookmarkStart w:id="5687" w:name="_Caption4659"/>
      <w:bookmarkStart w:id="5688" w:name="_Caption2216"/>
      <w:bookmarkStart w:id="5689" w:name="_Caption1742"/>
      <w:bookmarkStart w:id="5690" w:name="_Caption7642"/>
      <w:bookmarkStart w:id="5691" w:name="_Caption3988"/>
      <w:bookmarkStart w:id="5692" w:name="_Caption5855"/>
      <w:bookmarkStart w:id="5693" w:name="_Caption2012"/>
      <w:bookmarkStart w:id="5694" w:name="_Caption9402"/>
      <w:bookmarkStart w:id="5695" w:name="_Caption2033"/>
      <w:bookmarkStart w:id="5696" w:name="_Caption2950"/>
      <w:bookmarkStart w:id="5697" w:name="_Caption6525"/>
      <w:bookmarkStart w:id="5698" w:name="_Caption7620"/>
      <w:bookmarkStart w:id="5699" w:name="_Caption9141"/>
      <w:bookmarkStart w:id="5700" w:name="_Caption7581"/>
      <w:bookmarkStart w:id="5701" w:name="_Caption5403"/>
      <w:bookmarkStart w:id="5702" w:name="_Caption5469"/>
      <w:bookmarkStart w:id="5703" w:name="_Caption8653"/>
      <w:bookmarkStart w:id="5704" w:name="_Caption7579"/>
      <w:bookmarkStart w:id="5705" w:name="_Caption3987"/>
      <w:bookmarkStart w:id="5706" w:name="_Caption6615"/>
      <w:bookmarkStart w:id="5707" w:name="_Caption3489"/>
      <w:bookmarkStart w:id="5708" w:name="_Caption2287"/>
      <w:bookmarkStart w:id="5709" w:name="_Caption5641"/>
      <w:bookmarkStart w:id="5710" w:name="_Caption8649"/>
      <w:bookmarkStart w:id="5711" w:name="_Caption2186"/>
      <w:bookmarkStart w:id="5712" w:name="_Caption8058"/>
      <w:bookmarkStart w:id="5713" w:name="_Caption2440"/>
      <w:bookmarkStart w:id="5714" w:name="_Caption3034"/>
      <w:bookmarkStart w:id="5715" w:name="_Caption7070"/>
      <w:bookmarkStart w:id="5716" w:name="_Caption8783"/>
      <w:bookmarkStart w:id="5717" w:name="_Caption0788"/>
      <w:bookmarkStart w:id="5718" w:name="_Caption9711"/>
      <w:bookmarkStart w:id="5719" w:name="_Caption5209"/>
      <w:bookmarkStart w:id="5720" w:name="_Caption1807"/>
      <w:bookmarkStart w:id="5721" w:name="_Caption6917"/>
      <w:bookmarkStart w:id="5722" w:name="_Caption1243"/>
      <w:bookmarkStart w:id="5723" w:name="_Caption3862"/>
      <w:bookmarkStart w:id="5724" w:name="_Caption8433"/>
      <w:bookmarkStart w:id="5725" w:name="_Caption3138"/>
      <w:bookmarkStart w:id="5726" w:name="_Caption4516"/>
      <w:bookmarkStart w:id="5727" w:name="_Caption0901"/>
      <w:bookmarkStart w:id="5728" w:name="_Toc15902873"/>
      <w:bookmarkStart w:id="5729" w:name="_Toc19275638"/>
      <w:bookmarkStart w:id="5730" w:name="_Toc19276248"/>
      <w:bookmarkStart w:id="5731" w:name="_Toc19280247"/>
      <w:r w:rsidR="00C353B5">
        <w:rPr>
          <w:noProof/>
        </w:rPr>
        <w:t>8</w:t>
      </w:r>
      <w:r w:rsidR="00C353B5" w:rsidRPr="00695C93">
        <w:rPr>
          <w:noProof/>
        </w:rPr>
        <w:t>.</w:t>
      </w:r>
      <w:r w:rsidR="00C353B5">
        <w:rPr>
          <w:noProof/>
        </w:rPr>
        <w:t>14</w:t>
      </w:r>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r w:rsidRPr="00695C93">
        <w:fldChar w:fldCharType="end"/>
      </w:r>
      <w:r w:rsidRPr="00695C93">
        <w:tab/>
      </w:r>
      <w:r>
        <w:t>Accor Australia’s energy per room has continued to decline</w:t>
      </w:r>
      <w:bookmarkEnd w:id="5728"/>
      <w:bookmarkEnd w:id="5729"/>
      <w:bookmarkEnd w:id="5730"/>
      <w:bookmarkEnd w:id="5731"/>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4ED301B6" w14:textId="77777777" w:rsidTr="00ED0E85">
        <w:trPr>
          <w:cantSplit/>
        </w:trPr>
        <w:tc>
          <w:tcPr>
            <w:tcW w:w="7938" w:type="dxa"/>
            <w:shd w:val="clear" w:color="auto" w:fill="E9E8E5" w:themeFill="background2"/>
          </w:tcPr>
          <w:p w14:paraId="58F1C9AE" w14:textId="77777777" w:rsidR="00ED0E85" w:rsidRDefault="00ED0E85" w:rsidP="00ED0E85">
            <w:pPr>
              <w:pStyle w:val="Chart"/>
              <w:jc w:val="center"/>
            </w:pPr>
            <w:r w:rsidRPr="003734F7">
              <w:rPr>
                <w:noProof/>
                <w:lang w:eastAsia="en-AU"/>
              </w:rPr>
              <w:drawing>
                <wp:inline distT="0" distB="0" distL="0" distR="0" wp14:anchorId="11E9CEAE" wp14:editId="51AAA30E">
                  <wp:extent cx="4876800" cy="24955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876800" cy="2495550"/>
                          </a:xfrm>
                          <a:prstGeom prst="rect">
                            <a:avLst/>
                          </a:prstGeom>
                          <a:noFill/>
                          <a:ln>
                            <a:noFill/>
                          </a:ln>
                        </pic:spPr>
                      </pic:pic>
                    </a:graphicData>
                  </a:graphic>
                </wp:inline>
              </w:drawing>
            </w:r>
          </w:p>
        </w:tc>
      </w:tr>
    </w:tbl>
    <w:p w14:paraId="0FF5735E" w14:textId="77777777" w:rsidR="00ED0E85" w:rsidRDefault="00ED0E85" w:rsidP="00ED0E85">
      <w:pPr>
        <w:pStyle w:val="Source"/>
        <w:rPr>
          <w:i/>
        </w:rPr>
      </w:pPr>
      <w:r>
        <w:rPr>
          <w:i/>
        </w:rPr>
        <w:t xml:space="preserve">Note: </w:t>
      </w:r>
      <w:r w:rsidRPr="00272621">
        <w:rPr>
          <w:iCs/>
        </w:rPr>
        <w:t>Data from 2015 includes 122 owned, leased and managed hotels, and for 2016-2018, is for 116 hotels.</w:t>
      </w:r>
      <w:r>
        <w:rPr>
          <w:i/>
        </w:rPr>
        <w:t xml:space="preserve"> </w:t>
      </w:r>
    </w:p>
    <w:p w14:paraId="5657A53A" w14:textId="77777777" w:rsidR="00ED0E85" w:rsidRPr="00E16C5D" w:rsidRDefault="00ED0E85" w:rsidP="00ED0E85">
      <w:pPr>
        <w:pStyle w:val="Source"/>
      </w:pPr>
      <w:r>
        <w:rPr>
          <w:i/>
        </w:rPr>
        <w:t>Data source</w:t>
      </w:r>
      <w:r w:rsidRPr="00A67576">
        <w:rPr>
          <w:i/>
        </w:rPr>
        <w:t>:</w:t>
      </w:r>
      <w:r>
        <w:t xml:space="preserve"> Accor (2018), </w:t>
      </w:r>
      <w:r>
        <w:rPr>
          <w:i/>
          <w:iCs/>
        </w:rPr>
        <w:t xml:space="preserve">Corporate Responsibility Report – Australia 2018, </w:t>
      </w:r>
      <w:r>
        <w:t xml:space="preserve">available at: </w:t>
      </w:r>
      <w:hyperlink r:id="rId109" w:history="1">
        <w:r>
          <w:rPr>
            <w:rStyle w:val="Hyperlink"/>
          </w:rPr>
          <w:t>https://images.jobsataccor.com.au/wp-content/uploads/AccorHotels-Corporate-Responsibility-Report-2018.pdf</w:t>
        </w:r>
      </w:hyperlink>
      <w:r>
        <w:t xml:space="preserve">, p 39; Accor (2016), </w:t>
      </w:r>
      <w:r>
        <w:rPr>
          <w:i/>
          <w:iCs/>
        </w:rPr>
        <w:t xml:space="preserve">2016 Corporate Responsibility Report, </w:t>
      </w:r>
      <w:r>
        <w:t xml:space="preserve">available at: </w:t>
      </w:r>
      <w:hyperlink r:id="rId110" w:history="1">
        <w:r>
          <w:rPr>
            <w:rStyle w:val="Hyperlink"/>
          </w:rPr>
          <w:t>https://images.jobsataccor.com.au/wp-content/uploads/accorhotels-australia-corporate-responsibility-report-2016-lr.pdf</w:t>
        </w:r>
      </w:hyperlink>
      <w:r>
        <w:t>, p 68.</w:t>
      </w:r>
      <w:r>
        <w:rPr>
          <w:i/>
          <w:iCs/>
        </w:rPr>
        <w:t xml:space="preserve"> </w:t>
      </w:r>
    </w:p>
    <w:p w14:paraId="7B6A983B" w14:textId="77777777" w:rsidR="00ED0E85" w:rsidRDefault="00ED0E85" w:rsidP="00ED0E85">
      <w:pPr>
        <w:pStyle w:val="Heading3"/>
        <w:numPr>
          <w:ilvl w:val="2"/>
          <w:numId w:val="5"/>
        </w:numPr>
        <w:rPr>
          <w:lang w:bidi="fa-IR"/>
        </w:rPr>
      </w:pPr>
      <w:r>
        <w:rPr>
          <w:lang w:bidi="fa-IR"/>
        </w:rPr>
        <w:t>Langham Hotels</w:t>
      </w:r>
    </w:p>
    <w:p w14:paraId="435EFA6E" w14:textId="77777777" w:rsidR="00ED0E85" w:rsidRDefault="00ED0E85" w:rsidP="00ED0E85">
      <w:pPr>
        <w:pStyle w:val="BodyText"/>
      </w:pPr>
      <w:r>
        <w:rPr>
          <w:lang w:bidi="fa-IR"/>
        </w:rPr>
        <w:t xml:space="preserve">The Langham brand has 21 properties worldwide. Due to energy efficiency projects, energy intensity (as measured by MJ per guest night) declined 2 per cent in 2017 from the 2016 result.  Furthermore, in 2017, </w:t>
      </w:r>
      <w:r>
        <w:t>carbon equivalent emissions associated with energy used decreased by 4% compared with the previous reporting year.</w:t>
      </w:r>
      <w:r>
        <w:rPr>
          <w:rStyle w:val="FootnoteReference"/>
        </w:rPr>
        <w:footnoteReference w:id="74"/>
      </w:r>
      <w:r>
        <w:t xml:space="preserve"> </w:t>
      </w:r>
    </w:p>
    <w:p w14:paraId="2DBA367D" w14:textId="03D1DAB2"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w:instrText>
      </w:r>
      <w:r w:rsidRPr="00695C93">
        <w:fldChar w:fldCharType="separate"/>
      </w:r>
      <w:r w:rsidR="00AD3561">
        <w:rPr>
          <w:noProof/>
        </w:rPr>
        <w:instrText>8</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8</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15</w:instrText>
      </w:r>
      <w:r w:rsidRPr="00695C93">
        <w:fldChar w:fldCharType="end"/>
      </w:r>
      <w:r w:rsidRPr="00695C93">
        <w:instrText xml:space="preserve">" "" </w:instrText>
      </w:r>
      <w:r w:rsidRPr="00695C93">
        <w:fldChar w:fldCharType="separate"/>
      </w:r>
      <w:bookmarkStart w:id="5732" w:name="_Caption0394"/>
      <w:bookmarkStart w:id="5733" w:name="_Caption6401"/>
      <w:bookmarkStart w:id="5734" w:name="_Caption9352"/>
      <w:bookmarkStart w:id="5735" w:name="_Caption6715"/>
      <w:bookmarkStart w:id="5736" w:name="_Caption3406"/>
      <w:bookmarkStart w:id="5737" w:name="_Caption4797"/>
      <w:bookmarkStart w:id="5738" w:name="_Caption1399"/>
      <w:bookmarkStart w:id="5739" w:name="_Caption7036"/>
      <w:bookmarkStart w:id="5740" w:name="_Caption6356"/>
      <w:bookmarkStart w:id="5741" w:name="_Caption6020"/>
      <w:bookmarkStart w:id="5742" w:name="_Caption0484"/>
      <w:bookmarkStart w:id="5743" w:name="_Caption3315"/>
      <w:bookmarkStart w:id="5744" w:name="_Caption3798"/>
      <w:bookmarkStart w:id="5745" w:name="_Caption0539"/>
      <w:bookmarkStart w:id="5746" w:name="_Caption1026"/>
      <w:bookmarkStart w:id="5747" w:name="_Caption3996"/>
      <w:bookmarkStart w:id="5748" w:name="_Caption5782"/>
      <w:bookmarkStart w:id="5749" w:name="_Caption7609"/>
      <w:bookmarkStart w:id="5750" w:name="_Caption8238"/>
      <w:bookmarkStart w:id="5751" w:name="_Caption6803"/>
      <w:bookmarkStart w:id="5752" w:name="_Caption6921"/>
      <w:bookmarkStart w:id="5753" w:name="_Caption2559"/>
      <w:bookmarkStart w:id="5754" w:name="_Caption0661"/>
      <w:bookmarkStart w:id="5755" w:name="_Caption4108"/>
      <w:bookmarkStart w:id="5756" w:name="_Caption8908"/>
      <w:bookmarkStart w:id="5757" w:name="_Caption5477"/>
      <w:bookmarkStart w:id="5758" w:name="_Caption7156"/>
      <w:bookmarkStart w:id="5759" w:name="_Caption0846"/>
      <w:bookmarkStart w:id="5760" w:name="_Caption5189"/>
      <w:bookmarkStart w:id="5761" w:name="_Caption6191"/>
      <w:bookmarkStart w:id="5762" w:name="_Caption8130"/>
      <w:bookmarkStart w:id="5763" w:name="_Caption4713"/>
      <w:bookmarkStart w:id="5764" w:name="_Caption2525"/>
      <w:bookmarkStart w:id="5765" w:name="_Caption5122"/>
      <w:bookmarkStart w:id="5766" w:name="_Caption0248"/>
      <w:bookmarkStart w:id="5767" w:name="_Caption1595"/>
      <w:bookmarkStart w:id="5768" w:name="_Caption7640"/>
      <w:bookmarkStart w:id="5769" w:name="_Caption9911"/>
      <w:bookmarkStart w:id="5770" w:name="_Caption1302"/>
      <w:bookmarkStart w:id="5771" w:name="_Caption8502"/>
      <w:bookmarkStart w:id="5772" w:name="_Caption4429"/>
      <w:bookmarkStart w:id="5773" w:name="_Caption6109"/>
      <w:bookmarkStart w:id="5774" w:name="_Caption6498"/>
      <w:bookmarkStart w:id="5775" w:name="_Caption2326"/>
      <w:bookmarkStart w:id="5776" w:name="_Caption6830"/>
      <w:bookmarkStart w:id="5777" w:name="_Caption4698"/>
      <w:bookmarkStart w:id="5778" w:name="_Caption4367"/>
      <w:bookmarkStart w:id="5779" w:name="_Caption9119"/>
      <w:bookmarkStart w:id="5780" w:name="_Caption0550"/>
      <w:bookmarkStart w:id="5781" w:name="_Caption3715"/>
      <w:bookmarkStart w:id="5782" w:name="_Caption7904"/>
      <w:bookmarkStart w:id="5783" w:name="_Caption7159"/>
      <w:bookmarkStart w:id="5784" w:name="_Caption6198"/>
      <w:bookmarkStart w:id="5785" w:name="_Caption1999"/>
      <w:bookmarkStart w:id="5786" w:name="_Caption4033"/>
      <w:bookmarkStart w:id="5787" w:name="_Caption9923"/>
      <w:bookmarkStart w:id="5788" w:name="_Caption4706"/>
      <w:bookmarkStart w:id="5789" w:name="_Toc15902874"/>
      <w:bookmarkStart w:id="5790" w:name="_Toc19275639"/>
      <w:bookmarkStart w:id="5791" w:name="_Toc19276249"/>
      <w:bookmarkStart w:id="5792" w:name="_Toc19280248"/>
      <w:r w:rsidR="00C353B5">
        <w:rPr>
          <w:noProof/>
        </w:rPr>
        <w:t>8</w:t>
      </w:r>
      <w:r w:rsidR="00C353B5" w:rsidRPr="00695C93">
        <w:rPr>
          <w:noProof/>
        </w:rPr>
        <w:t>.</w:t>
      </w:r>
      <w:r w:rsidR="00C353B5">
        <w:rPr>
          <w:noProof/>
        </w:rPr>
        <w:t>15</w:t>
      </w:r>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r w:rsidRPr="00695C93">
        <w:fldChar w:fldCharType="end"/>
      </w:r>
      <w:r w:rsidRPr="00695C93">
        <w:tab/>
      </w:r>
      <w:r>
        <w:t>Comparing energy and carbon intensity, Langham Hotels, 2013-2017</w:t>
      </w:r>
      <w:bookmarkEnd w:id="5789"/>
      <w:bookmarkEnd w:id="5790"/>
      <w:bookmarkEnd w:id="5791"/>
      <w:bookmarkEnd w:id="5792"/>
    </w:p>
    <w:tbl>
      <w:tblPr>
        <w:tblW w:w="7993" w:type="dxa"/>
        <w:tblLayout w:type="fixed"/>
        <w:tblLook w:val="0000" w:firstRow="0" w:lastRow="0" w:firstColumn="0" w:lastColumn="0" w:noHBand="0" w:noVBand="0"/>
      </w:tblPr>
      <w:tblGrid>
        <w:gridCol w:w="1701"/>
        <w:gridCol w:w="1843"/>
        <w:gridCol w:w="851"/>
        <w:gridCol w:w="850"/>
        <w:gridCol w:w="851"/>
        <w:gridCol w:w="992"/>
        <w:gridCol w:w="905"/>
      </w:tblGrid>
      <w:tr w:rsidR="00ED0E85" w14:paraId="121A9499" w14:textId="77777777" w:rsidTr="001540E1">
        <w:trPr>
          <w:trHeight w:val="378"/>
        </w:trPr>
        <w:tc>
          <w:tcPr>
            <w:tcW w:w="1701" w:type="dxa"/>
            <w:tcBorders>
              <w:bottom w:val="single" w:sz="8" w:space="0" w:color="FFFFFF" w:themeColor="background1"/>
            </w:tcBorders>
            <w:shd w:val="clear" w:color="auto" w:fill="6F6652"/>
            <w:tcMar>
              <w:left w:w="57" w:type="dxa"/>
              <w:right w:w="57" w:type="dxa"/>
            </w:tcMar>
          </w:tcPr>
          <w:p w14:paraId="5BC91BCC" w14:textId="77777777" w:rsidR="00ED0E85" w:rsidRDefault="00ED0E85" w:rsidP="00ED0E85">
            <w:pPr>
              <w:pStyle w:val="TableDataColumnHeading"/>
              <w:jc w:val="left"/>
            </w:pPr>
          </w:p>
        </w:tc>
        <w:tc>
          <w:tcPr>
            <w:tcW w:w="1843" w:type="dxa"/>
            <w:tcBorders>
              <w:bottom w:val="single" w:sz="8" w:space="0" w:color="FFFFFF" w:themeColor="background1"/>
            </w:tcBorders>
            <w:shd w:val="clear" w:color="auto" w:fill="6F6652"/>
          </w:tcPr>
          <w:p w14:paraId="4D3C3866" w14:textId="77777777" w:rsidR="00ED0E85" w:rsidRDefault="00ED0E85" w:rsidP="001540E1">
            <w:pPr>
              <w:pStyle w:val="TableDataColumnHeading"/>
            </w:pPr>
          </w:p>
        </w:tc>
        <w:tc>
          <w:tcPr>
            <w:tcW w:w="851" w:type="dxa"/>
            <w:tcBorders>
              <w:bottom w:val="single" w:sz="8" w:space="0" w:color="FFFFFF" w:themeColor="background1"/>
            </w:tcBorders>
            <w:shd w:val="clear" w:color="auto" w:fill="6F6652"/>
            <w:tcMar>
              <w:left w:w="57" w:type="dxa"/>
              <w:right w:w="57" w:type="dxa"/>
            </w:tcMar>
          </w:tcPr>
          <w:p w14:paraId="1A4C9259" w14:textId="77777777" w:rsidR="00ED0E85" w:rsidRDefault="00ED0E85" w:rsidP="00ED0E85">
            <w:pPr>
              <w:pStyle w:val="TableDataColumnHeading"/>
            </w:pPr>
            <w:r>
              <w:t>2013</w:t>
            </w:r>
          </w:p>
        </w:tc>
        <w:tc>
          <w:tcPr>
            <w:tcW w:w="850" w:type="dxa"/>
            <w:tcBorders>
              <w:bottom w:val="single" w:sz="8" w:space="0" w:color="FFFFFF" w:themeColor="background1"/>
            </w:tcBorders>
            <w:shd w:val="clear" w:color="auto" w:fill="6F6652"/>
            <w:tcMar>
              <w:left w:w="57" w:type="dxa"/>
              <w:right w:w="57" w:type="dxa"/>
            </w:tcMar>
          </w:tcPr>
          <w:p w14:paraId="06972C63" w14:textId="77777777" w:rsidR="00ED0E85" w:rsidRDefault="00ED0E85" w:rsidP="00ED0E85">
            <w:pPr>
              <w:pStyle w:val="TableDataColumnHeading"/>
            </w:pPr>
            <w:r>
              <w:t>2014</w:t>
            </w:r>
          </w:p>
        </w:tc>
        <w:tc>
          <w:tcPr>
            <w:tcW w:w="851" w:type="dxa"/>
            <w:tcBorders>
              <w:bottom w:val="single" w:sz="8" w:space="0" w:color="FFFFFF" w:themeColor="background1"/>
            </w:tcBorders>
            <w:shd w:val="clear" w:color="auto" w:fill="6F6652"/>
            <w:tcMar>
              <w:left w:w="57" w:type="dxa"/>
              <w:right w:w="57" w:type="dxa"/>
            </w:tcMar>
          </w:tcPr>
          <w:p w14:paraId="708E9373" w14:textId="77777777" w:rsidR="00ED0E85" w:rsidRDefault="00ED0E85" w:rsidP="00ED0E85">
            <w:pPr>
              <w:pStyle w:val="TableDataColumnHeading"/>
            </w:pPr>
            <w:r>
              <w:t>2015</w:t>
            </w:r>
          </w:p>
        </w:tc>
        <w:tc>
          <w:tcPr>
            <w:tcW w:w="992" w:type="dxa"/>
            <w:tcBorders>
              <w:bottom w:val="single" w:sz="8" w:space="0" w:color="FFFFFF" w:themeColor="background1"/>
            </w:tcBorders>
            <w:shd w:val="clear" w:color="auto" w:fill="6F6652"/>
            <w:tcMar>
              <w:left w:w="57" w:type="dxa"/>
              <w:right w:w="57" w:type="dxa"/>
            </w:tcMar>
          </w:tcPr>
          <w:p w14:paraId="28BB998A" w14:textId="77777777" w:rsidR="00ED0E85" w:rsidRDefault="00ED0E85" w:rsidP="00ED0E85">
            <w:pPr>
              <w:pStyle w:val="TableDataColumnHeading"/>
            </w:pPr>
            <w:r>
              <w:t>2016</w:t>
            </w:r>
          </w:p>
        </w:tc>
        <w:tc>
          <w:tcPr>
            <w:tcW w:w="905" w:type="dxa"/>
            <w:tcBorders>
              <w:bottom w:val="single" w:sz="8" w:space="0" w:color="FFFFFF" w:themeColor="background1"/>
            </w:tcBorders>
            <w:shd w:val="clear" w:color="auto" w:fill="6F6652"/>
            <w:tcMar>
              <w:left w:w="57" w:type="dxa"/>
              <w:right w:w="57" w:type="dxa"/>
            </w:tcMar>
          </w:tcPr>
          <w:p w14:paraId="3FFE193A" w14:textId="77777777" w:rsidR="00ED0E85" w:rsidRDefault="00ED0E85" w:rsidP="00ED0E85">
            <w:pPr>
              <w:pStyle w:val="TableDataColumnHeading"/>
            </w:pPr>
            <w:r>
              <w:t>2017</w:t>
            </w:r>
          </w:p>
        </w:tc>
      </w:tr>
      <w:tr w:rsidR="00ED0E85" w14:paraId="2631CC61" w14:textId="77777777" w:rsidTr="001540E1">
        <w:trPr>
          <w:trHeight w:val="294"/>
        </w:trPr>
        <w:tc>
          <w:tcPr>
            <w:tcW w:w="170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C372D9" w14:textId="77777777" w:rsidR="00ED0E85" w:rsidRDefault="00ED0E85" w:rsidP="00ED0E85">
            <w:pPr>
              <w:pStyle w:val="TableDataEntries"/>
              <w:jc w:val="left"/>
            </w:pPr>
            <w:r>
              <w:t>Energy intensity</w:t>
            </w:r>
          </w:p>
        </w:tc>
        <w:tc>
          <w:tcPr>
            <w:tcW w:w="1843" w:type="dxa"/>
            <w:tcBorders>
              <w:top w:val="single" w:sz="8" w:space="0" w:color="FFFFFF" w:themeColor="background1"/>
              <w:bottom w:val="single" w:sz="8" w:space="0" w:color="FFFFFF" w:themeColor="background1"/>
            </w:tcBorders>
            <w:shd w:val="clear" w:color="auto" w:fill="E9E8E5" w:themeFill="background2"/>
          </w:tcPr>
          <w:p w14:paraId="0519AA54" w14:textId="77777777" w:rsidR="00ED0E85" w:rsidRPr="00D84794" w:rsidRDefault="00ED0E85" w:rsidP="001540E1">
            <w:pPr>
              <w:pStyle w:val="TableDataEntries"/>
              <w:rPr>
                <w:szCs w:val="16"/>
              </w:rPr>
            </w:pPr>
            <w:r w:rsidRPr="00D84794">
              <w:rPr>
                <w:szCs w:val="16"/>
              </w:rPr>
              <w:t>MJ per guest night</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4A81489" w14:textId="77777777" w:rsidR="00ED0E85" w:rsidRPr="00971A74" w:rsidRDefault="00ED0E85" w:rsidP="00ED0E85">
            <w:pPr>
              <w:pStyle w:val="TableDataEntries"/>
            </w:pPr>
            <w:r w:rsidRPr="00971A74">
              <w:t>221.5</w:t>
            </w:r>
          </w:p>
        </w:tc>
        <w:tc>
          <w:tcPr>
            <w:tcW w:w="850"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F289233" w14:textId="77777777" w:rsidR="00ED0E85" w:rsidRPr="00971A74" w:rsidRDefault="00ED0E85" w:rsidP="00ED0E85">
            <w:pPr>
              <w:pStyle w:val="TableDataEntries"/>
            </w:pPr>
            <w:r w:rsidRPr="00971A74">
              <w:t>194</w:t>
            </w:r>
          </w:p>
        </w:tc>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27DA4D7" w14:textId="77777777" w:rsidR="00ED0E85" w:rsidRPr="00971A74" w:rsidRDefault="00ED0E85" w:rsidP="00ED0E85">
            <w:pPr>
              <w:pStyle w:val="TableDataEntries"/>
            </w:pPr>
            <w:r w:rsidRPr="00971A74">
              <w:t>207.18</w:t>
            </w:r>
          </w:p>
        </w:tc>
        <w:tc>
          <w:tcPr>
            <w:tcW w:w="99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9299EC1" w14:textId="77777777" w:rsidR="00ED0E85" w:rsidRPr="00971A74" w:rsidRDefault="00ED0E85" w:rsidP="00ED0E85">
            <w:pPr>
              <w:pStyle w:val="TableDataEntries"/>
            </w:pPr>
            <w:r w:rsidRPr="00971A74">
              <w:t>201.63</w:t>
            </w:r>
          </w:p>
        </w:tc>
        <w:tc>
          <w:tcPr>
            <w:tcW w:w="90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BC1301" w14:textId="77777777" w:rsidR="00ED0E85" w:rsidRPr="00971A74" w:rsidRDefault="00ED0E85" w:rsidP="00ED0E85">
            <w:pPr>
              <w:pStyle w:val="TableDataEntries"/>
            </w:pPr>
            <w:r w:rsidRPr="00971A74">
              <w:t>195.55</w:t>
            </w:r>
          </w:p>
        </w:tc>
      </w:tr>
      <w:tr w:rsidR="00ED0E85" w14:paraId="2882F935" w14:textId="77777777" w:rsidTr="001540E1">
        <w:trPr>
          <w:trHeight w:val="294"/>
        </w:trPr>
        <w:tc>
          <w:tcPr>
            <w:tcW w:w="1701" w:type="dxa"/>
            <w:tcBorders>
              <w:top w:val="single" w:sz="8" w:space="0" w:color="FFFFFF" w:themeColor="background1"/>
              <w:bottom w:val="single" w:sz="6" w:space="0" w:color="6F6652"/>
            </w:tcBorders>
            <w:shd w:val="clear" w:color="auto" w:fill="E9E8E5" w:themeFill="background2"/>
            <w:tcMar>
              <w:left w:w="57" w:type="dxa"/>
              <w:right w:w="57" w:type="dxa"/>
            </w:tcMar>
          </w:tcPr>
          <w:p w14:paraId="5F7A75DC" w14:textId="77777777" w:rsidR="00ED0E85" w:rsidRDefault="00ED0E85" w:rsidP="00ED0E85">
            <w:pPr>
              <w:pStyle w:val="TableDataEntries"/>
              <w:jc w:val="left"/>
            </w:pPr>
            <w:r>
              <w:t xml:space="preserve">Carbon intensity </w:t>
            </w:r>
          </w:p>
        </w:tc>
        <w:tc>
          <w:tcPr>
            <w:tcW w:w="1843" w:type="dxa"/>
            <w:tcBorders>
              <w:top w:val="single" w:sz="8" w:space="0" w:color="FFFFFF" w:themeColor="background1"/>
              <w:bottom w:val="single" w:sz="6" w:space="0" w:color="6F6652"/>
            </w:tcBorders>
            <w:shd w:val="clear" w:color="auto" w:fill="E9E8E5" w:themeFill="background2"/>
          </w:tcPr>
          <w:p w14:paraId="780863D7" w14:textId="77777777" w:rsidR="00ED0E85" w:rsidRPr="00D84794" w:rsidRDefault="00ED0E85" w:rsidP="001540E1">
            <w:pPr>
              <w:pStyle w:val="TableDataEntries"/>
              <w:rPr>
                <w:szCs w:val="16"/>
              </w:rPr>
            </w:pPr>
            <w:r w:rsidRPr="00D84794">
              <w:rPr>
                <w:szCs w:val="16"/>
              </w:rPr>
              <w:t>Kg per guest night</w:t>
            </w:r>
          </w:p>
        </w:tc>
        <w:tc>
          <w:tcPr>
            <w:tcW w:w="851"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74EB3706" w14:textId="77777777" w:rsidR="00ED0E85" w:rsidRPr="00971A74" w:rsidRDefault="00ED0E85" w:rsidP="00ED0E85">
            <w:pPr>
              <w:pStyle w:val="TableDataEntries"/>
            </w:pPr>
            <w:r w:rsidRPr="00971A74">
              <w:t>29.75</w:t>
            </w:r>
          </w:p>
        </w:tc>
        <w:tc>
          <w:tcPr>
            <w:tcW w:w="850"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7EAACE32" w14:textId="77777777" w:rsidR="00ED0E85" w:rsidRPr="00971A74" w:rsidRDefault="00ED0E85" w:rsidP="00ED0E85">
            <w:pPr>
              <w:pStyle w:val="TableDataEntries"/>
            </w:pPr>
            <w:r w:rsidRPr="00971A74">
              <w:t>27.57</w:t>
            </w:r>
          </w:p>
        </w:tc>
        <w:tc>
          <w:tcPr>
            <w:tcW w:w="851"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79B55F74" w14:textId="77777777" w:rsidR="00ED0E85" w:rsidRPr="00971A74" w:rsidRDefault="00ED0E85" w:rsidP="00ED0E85">
            <w:pPr>
              <w:pStyle w:val="TableDataEntries"/>
            </w:pPr>
            <w:r w:rsidRPr="00971A74">
              <w:t>29.61</w:t>
            </w:r>
          </w:p>
        </w:tc>
        <w:tc>
          <w:tcPr>
            <w:tcW w:w="992"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3E1BD8C1" w14:textId="77777777" w:rsidR="00ED0E85" w:rsidRPr="00971A74" w:rsidRDefault="00ED0E85" w:rsidP="00ED0E85">
            <w:pPr>
              <w:pStyle w:val="TableDataEntries"/>
            </w:pPr>
            <w:r w:rsidRPr="00971A74">
              <w:t>28.36</w:t>
            </w:r>
          </w:p>
        </w:tc>
        <w:tc>
          <w:tcPr>
            <w:tcW w:w="905" w:type="dxa"/>
            <w:tcBorders>
              <w:top w:val="single" w:sz="8" w:space="0" w:color="FFFFFF" w:themeColor="background1"/>
              <w:bottom w:val="single" w:sz="6" w:space="0" w:color="6F6652"/>
            </w:tcBorders>
            <w:shd w:val="clear" w:color="auto" w:fill="E9E8E5" w:themeFill="background2"/>
            <w:tcMar>
              <w:left w:w="57" w:type="dxa"/>
              <w:right w:w="57" w:type="dxa"/>
            </w:tcMar>
            <w:vAlign w:val="bottom"/>
          </w:tcPr>
          <w:p w14:paraId="4D574871" w14:textId="77777777" w:rsidR="00ED0E85" w:rsidRPr="00971A74" w:rsidRDefault="00ED0E85" w:rsidP="00ED0E85">
            <w:pPr>
              <w:pStyle w:val="TableDataEntries"/>
            </w:pPr>
            <w:r w:rsidRPr="00971A74">
              <w:t>26.62</w:t>
            </w:r>
          </w:p>
        </w:tc>
      </w:tr>
    </w:tbl>
    <w:p w14:paraId="439F3E25" w14:textId="77777777" w:rsidR="00ED0E85" w:rsidRDefault="00ED0E85" w:rsidP="00ED0E85">
      <w:pPr>
        <w:pStyle w:val="Source"/>
      </w:pPr>
      <w:r>
        <w:rPr>
          <w:i/>
        </w:rPr>
        <w:t>Source</w:t>
      </w:r>
      <w:r w:rsidRPr="00E4232C">
        <w:rPr>
          <w:i/>
        </w:rPr>
        <w:t>:</w:t>
      </w:r>
      <w:r>
        <w:t xml:space="preserve"> Langham Hospitality Group (2017), </w:t>
      </w:r>
      <w:r w:rsidRPr="00CE6689">
        <w:rPr>
          <w:i/>
          <w:iCs/>
        </w:rPr>
        <w:t>Sustainability Report,</w:t>
      </w:r>
      <w:r>
        <w:t xml:space="preserve"> available at: </w:t>
      </w:r>
      <w:hyperlink r:id="rId111" w:history="1">
        <w:r>
          <w:rPr>
            <w:rStyle w:val="Hyperlink"/>
          </w:rPr>
          <w:t>http://www.langhamhospitalitygroup.com/cdn-600efdb1/globalassets/lhg/about-us/corporate-social-responsibility/lhg-csr-report-2017-en1.pdf</w:t>
        </w:r>
      </w:hyperlink>
      <w:r>
        <w:t xml:space="preserve">, pp 13-14.  </w:t>
      </w:r>
    </w:p>
    <w:p w14:paraId="4F1FEDC1" w14:textId="77777777" w:rsidR="00ED0E85" w:rsidRDefault="00ED0E85" w:rsidP="00ED0E85">
      <w:pPr>
        <w:pStyle w:val="Heading3"/>
        <w:numPr>
          <w:ilvl w:val="2"/>
          <w:numId w:val="5"/>
        </w:numPr>
      </w:pPr>
      <w:r>
        <w:t>Hilton Hotels</w:t>
      </w:r>
    </w:p>
    <w:p w14:paraId="16F0D690" w14:textId="77777777" w:rsidR="00ED0E85" w:rsidRDefault="00ED0E85" w:rsidP="00ED0E85">
      <w:pPr>
        <w:pStyle w:val="BodyText"/>
      </w:pPr>
      <w:r>
        <w:t>Hilton Hotels set an ambitious target to reduce direct and indirect carbon intensity by 61 per cent by 2030 (using 2008 emissions as the baseline). Since 2008, they have achieved a reduction of 34 per cent by doing the following:</w:t>
      </w:r>
      <w:r>
        <w:rPr>
          <w:rStyle w:val="FootnoteReference"/>
        </w:rPr>
        <w:footnoteReference w:id="75"/>
      </w:r>
      <w:r>
        <w:t xml:space="preserve"> </w:t>
      </w:r>
    </w:p>
    <w:p w14:paraId="306416CC" w14:textId="77777777" w:rsidR="00ED0E85" w:rsidRDefault="00ED0E85" w:rsidP="00ED0E85">
      <w:pPr>
        <w:pStyle w:val="ListBullet"/>
      </w:pPr>
      <w:r>
        <w:t xml:space="preserve">Setting science-based carbon reduction target that align with the Paris Climate Agreement </w:t>
      </w:r>
    </w:p>
    <w:p w14:paraId="0ACB6AB4" w14:textId="77777777" w:rsidR="00ED0E85" w:rsidRDefault="00ED0E85" w:rsidP="00ED0E85">
      <w:pPr>
        <w:pStyle w:val="ListBullet"/>
      </w:pPr>
      <w:r>
        <w:t xml:space="preserve">Use of alternate energy sources (such as the photovoltaic solar array currently being installed at the Grand Wailea – A Waldorf Astoria Resort) </w:t>
      </w:r>
    </w:p>
    <w:p w14:paraId="38C91FA8" w14:textId="77777777" w:rsidR="00ED0E85" w:rsidRDefault="00ED0E85" w:rsidP="00ED0E85">
      <w:pPr>
        <w:pStyle w:val="ListBullet"/>
      </w:pPr>
      <w:r>
        <w:t>Hilton’s LightStay initiative – a platform that has enabled the company to track environmental, operational and social impacts and reduce energy use by 14.5 per cent, carbon output by 20.9 per cent, waste output by 27.6 per cent and water use by 14.1 per cent in six years.</w:t>
      </w:r>
      <w:r>
        <w:rPr>
          <w:rStyle w:val="FootnoteReference"/>
        </w:rPr>
        <w:footnoteReference w:id="76"/>
      </w:r>
      <w:r>
        <w:t xml:space="preserve"> </w:t>
      </w:r>
    </w:p>
    <w:p w14:paraId="16D04694" w14:textId="77777777" w:rsidR="00ED0E85" w:rsidRDefault="00ED0E85" w:rsidP="00ED0E85">
      <w:pPr>
        <w:pStyle w:val="Heading3"/>
        <w:numPr>
          <w:ilvl w:val="2"/>
          <w:numId w:val="5"/>
        </w:numPr>
      </w:pPr>
      <w:r>
        <w:t>Marriott International</w:t>
      </w:r>
    </w:p>
    <w:p w14:paraId="4F304760" w14:textId="77777777" w:rsidR="00ED0E85" w:rsidRDefault="00ED0E85" w:rsidP="00ED0E85">
      <w:pPr>
        <w:pStyle w:val="BodyText"/>
      </w:pPr>
      <w:r>
        <w:t>Marriott International has set out to achieve a minimum of 30 per cent renewable electricity use as well as committing to review opportunities to set science based targets. In 2017, several properties installed new, on-site solar photovoltaic systems which are expected to contribute nearly 2000 metric tons in avoided emissions.</w:t>
      </w:r>
      <w:r>
        <w:rPr>
          <w:rStyle w:val="FootnoteReference"/>
        </w:rPr>
        <w:footnoteReference w:id="77"/>
      </w:r>
      <w:r>
        <w:t xml:space="preserve"> Furthermore, a number of programs were executed globally:</w:t>
      </w:r>
      <w:r>
        <w:rPr>
          <w:rStyle w:val="FootnoteReference"/>
        </w:rPr>
        <w:footnoteReference w:id="78"/>
      </w:r>
      <w:r>
        <w:t xml:space="preserve"> </w:t>
      </w:r>
    </w:p>
    <w:p w14:paraId="0A2EFCC7" w14:textId="77777777" w:rsidR="00ED0E85" w:rsidRDefault="00ED0E85" w:rsidP="00ED0E85">
      <w:pPr>
        <w:pStyle w:val="ListBullet"/>
      </w:pPr>
      <w:r>
        <w:t>Selection of projects that focus on energy efficiency such as lighting upgrades, installation of variable frequency drive pumps, fans and air handling units, and chiller upgrades</w:t>
      </w:r>
    </w:p>
    <w:p w14:paraId="47A41C09" w14:textId="77777777" w:rsidR="00ED0E85" w:rsidRDefault="00ED0E85" w:rsidP="00ED0E85">
      <w:pPr>
        <w:pStyle w:val="ListBullet"/>
      </w:pPr>
      <w:r>
        <w:t xml:space="preserve">Third party studies of complex facilities to identify the efficiency opportunities including those related to heating, ventilation and air conditioning, chiller and boiler systems </w:t>
      </w:r>
    </w:p>
    <w:p w14:paraId="7DD45284" w14:textId="77777777" w:rsidR="00ED0E85" w:rsidRDefault="00ED0E85" w:rsidP="00ED0E85">
      <w:pPr>
        <w:pStyle w:val="ListBullet"/>
      </w:pPr>
      <w:r>
        <w:t xml:space="preserve">Building automation systems such as smart, integrated occupancy thermostat systems that interlock with entry doors and the property management systems to deliver agile temperature setback efficiency. </w:t>
      </w:r>
    </w:p>
    <w:p w14:paraId="556E9C92" w14:textId="0F83F37E"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w:instrText>
      </w:r>
      <w:r w:rsidRPr="00695C93">
        <w:fldChar w:fldCharType="separate"/>
      </w:r>
      <w:r w:rsidR="00AD3561">
        <w:rPr>
          <w:noProof/>
        </w:rPr>
        <w:instrText>8</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8</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16</w:instrText>
      </w:r>
      <w:r w:rsidRPr="00695C93">
        <w:fldChar w:fldCharType="end"/>
      </w:r>
      <w:r w:rsidRPr="00695C93">
        <w:instrText xml:space="preserve">" "" </w:instrText>
      </w:r>
      <w:r w:rsidRPr="00695C93">
        <w:fldChar w:fldCharType="separate"/>
      </w:r>
      <w:bookmarkStart w:id="5793" w:name="_Caption0847"/>
      <w:bookmarkStart w:id="5794" w:name="_Caption1133"/>
      <w:bookmarkStart w:id="5795" w:name="_Caption0001"/>
      <w:bookmarkStart w:id="5796" w:name="_Caption6995"/>
      <w:bookmarkStart w:id="5797" w:name="_Caption9731"/>
      <w:bookmarkStart w:id="5798" w:name="_Caption4684"/>
      <w:bookmarkStart w:id="5799" w:name="_Caption0305"/>
      <w:bookmarkStart w:id="5800" w:name="_Caption0345"/>
      <w:bookmarkStart w:id="5801" w:name="_Caption1616"/>
      <w:bookmarkStart w:id="5802" w:name="_Caption7769"/>
      <w:bookmarkStart w:id="5803" w:name="_Caption7839"/>
      <w:bookmarkStart w:id="5804" w:name="_Caption0284"/>
      <w:bookmarkStart w:id="5805" w:name="_Caption5666"/>
      <w:bookmarkStart w:id="5806" w:name="_Caption0587"/>
      <w:bookmarkStart w:id="5807" w:name="_Caption6687"/>
      <w:bookmarkStart w:id="5808" w:name="_Caption2821"/>
      <w:bookmarkStart w:id="5809" w:name="_Caption1016"/>
      <w:bookmarkStart w:id="5810" w:name="_Caption5661"/>
      <w:bookmarkStart w:id="5811" w:name="_Caption4500"/>
      <w:bookmarkStart w:id="5812" w:name="_Caption5849"/>
      <w:bookmarkStart w:id="5813" w:name="_Caption3867"/>
      <w:bookmarkStart w:id="5814" w:name="_Caption8878"/>
      <w:bookmarkStart w:id="5815" w:name="_Caption3586"/>
      <w:bookmarkStart w:id="5816" w:name="_Caption8660"/>
      <w:bookmarkStart w:id="5817" w:name="_Caption8356"/>
      <w:bookmarkStart w:id="5818" w:name="_Caption5769"/>
      <w:bookmarkStart w:id="5819" w:name="_Caption2408"/>
      <w:bookmarkStart w:id="5820" w:name="_Caption8541"/>
      <w:bookmarkStart w:id="5821" w:name="_Caption0037"/>
      <w:bookmarkStart w:id="5822" w:name="_Caption3827"/>
      <w:bookmarkStart w:id="5823" w:name="_Caption2310"/>
      <w:bookmarkStart w:id="5824" w:name="_Caption9837"/>
      <w:bookmarkStart w:id="5825" w:name="_Caption3506"/>
      <w:bookmarkStart w:id="5826" w:name="_Caption9895"/>
      <w:bookmarkStart w:id="5827" w:name="_Caption1727"/>
      <w:bookmarkStart w:id="5828" w:name="_Caption1663"/>
      <w:bookmarkStart w:id="5829" w:name="_Caption8943"/>
      <w:bookmarkStart w:id="5830" w:name="_Caption7264"/>
      <w:bookmarkStart w:id="5831" w:name="_Caption6970"/>
      <w:bookmarkStart w:id="5832" w:name="_Caption7405"/>
      <w:bookmarkStart w:id="5833" w:name="_Caption4809"/>
      <w:bookmarkStart w:id="5834" w:name="_Caption6089"/>
      <w:bookmarkStart w:id="5835" w:name="_Caption6577"/>
      <w:bookmarkStart w:id="5836" w:name="_Caption4554"/>
      <w:bookmarkStart w:id="5837" w:name="_Caption1149"/>
      <w:bookmarkStart w:id="5838" w:name="_Caption9975"/>
      <w:bookmarkStart w:id="5839" w:name="_Caption8614"/>
      <w:bookmarkStart w:id="5840" w:name="_Caption7890"/>
      <w:bookmarkStart w:id="5841" w:name="_Caption7083"/>
      <w:bookmarkStart w:id="5842" w:name="_Caption5332"/>
      <w:bookmarkStart w:id="5843" w:name="_Caption5177"/>
      <w:bookmarkStart w:id="5844" w:name="_Caption3167"/>
      <w:bookmarkStart w:id="5845" w:name="_Caption6958"/>
      <w:bookmarkStart w:id="5846" w:name="_Caption1100"/>
      <w:bookmarkStart w:id="5847" w:name="_Toc15902875"/>
      <w:bookmarkStart w:id="5848" w:name="_Toc19275640"/>
      <w:bookmarkStart w:id="5849" w:name="_Toc19276250"/>
      <w:bookmarkStart w:id="5850" w:name="_Toc19280249"/>
      <w:r w:rsidR="00C353B5">
        <w:rPr>
          <w:noProof/>
        </w:rPr>
        <w:t>8</w:t>
      </w:r>
      <w:r w:rsidR="00C353B5" w:rsidRPr="00695C93">
        <w:rPr>
          <w:noProof/>
        </w:rPr>
        <w:t>.</w:t>
      </w:r>
      <w:r w:rsidR="00C353B5">
        <w:rPr>
          <w:noProof/>
        </w:rPr>
        <w:t>16</w:t>
      </w:r>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r w:rsidRPr="00695C93">
        <w:fldChar w:fldCharType="end"/>
      </w:r>
      <w:r w:rsidRPr="00695C93">
        <w:tab/>
      </w:r>
      <w:r>
        <w:t>Reductions in energy and carbon intensity at Marriott International</w:t>
      </w:r>
      <w:bookmarkEnd w:id="5847"/>
      <w:bookmarkEnd w:id="5848"/>
      <w:bookmarkEnd w:id="5849"/>
      <w:bookmarkEnd w:id="5850"/>
    </w:p>
    <w:tbl>
      <w:tblPr>
        <w:tblW w:w="0" w:type="auto"/>
        <w:tblLayout w:type="fixed"/>
        <w:tblLook w:val="0000" w:firstRow="0" w:lastRow="0" w:firstColumn="0" w:lastColumn="0" w:noHBand="0" w:noVBand="0"/>
      </w:tblPr>
      <w:tblGrid>
        <w:gridCol w:w="1912"/>
        <w:gridCol w:w="1913"/>
        <w:gridCol w:w="1913"/>
        <w:gridCol w:w="1913"/>
      </w:tblGrid>
      <w:tr w:rsidR="00ED0E85" w14:paraId="0406A6C6" w14:textId="77777777" w:rsidTr="001540E1">
        <w:trPr>
          <w:trHeight w:val="358"/>
          <w:tblHeader/>
        </w:trPr>
        <w:tc>
          <w:tcPr>
            <w:tcW w:w="1912" w:type="dxa"/>
            <w:shd w:val="clear" w:color="auto" w:fill="6F6652"/>
            <w:tcMar>
              <w:left w:w="57" w:type="dxa"/>
              <w:right w:w="57" w:type="dxa"/>
            </w:tcMar>
          </w:tcPr>
          <w:p w14:paraId="0F796861" w14:textId="77777777" w:rsidR="00ED0E85" w:rsidRDefault="00ED0E85" w:rsidP="00ED0E85">
            <w:pPr>
              <w:pStyle w:val="TableDataColumnHeading"/>
              <w:jc w:val="left"/>
            </w:pPr>
          </w:p>
        </w:tc>
        <w:tc>
          <w:tcPr>
            <w:tcW w:w="1913" w:type="dxa"/>
            <w:shd w:val="clear" w:color="auto" w:fill="6F6652"/>
            <w:tcMar>
              <w:left w:w="57" w:type="dxa"/>
              <w:right w:w="57" w:type="dxa"/>
            </w:tcMar>
          </w:tcPr>
          <w:p w14:paraId="3FA614D3" w14:textId="77777777" w:rsidR="00ED0E85" w:rsidRDefault="00ED0E85" w:rsidP="00ED0E85">
            <w:pPr>
              <w:pStyle w:val="TableDataColumnHeading"/>
            </w:pPr>
            <w:r>
              <w:t>2016</w:t>
            </w:r>
          </w:p>
        </w:tc>
        <w:tc>
          <w:tcPr>
            <w:tcW w:w="1913" w:type="dxa"/>
            <w:shd w:val="clear" w:color="auto" w:fill="6F6652"/>
            <w:tcMar>
              <w:left w:w="57" w:type="dxa"/>
              <w:right w:w="57" w:type="dxa"/>
            </w:tcMar>
          </w:tcPr>
          <w:p w14:paraId="6179B658" w14:textId="77777777" w:rsidR="00ED0E85" w:rsidRDefault="00ED0E85" w:rsidP="00ED0E85">
            <w:pPr>
              <w:pStyle w:val="TableDataColumnHeading"/>
            </w:pPr>
            <w:r>
              <w:t>2017</w:t>
            </w:r>
          </w:p>
        </w:tc>
        <w:tc>
          <w:tcPr>
            <w:tcW w:w="1913" w:type="dxa"/>
            <w:shd w:val="clear" w:color="auto" w:fill="6F6652"/>
          </w:tcPr>
          <w:p w14:paraId="15554A0E" w14:textId="77777777" w:rsidR="00ED0E85" w:rsidRDefault="00ED0E85" w:rsidP="00ED0E85">
            <w:pPr>
              <w:pStyle w:val="TableDataColumnHeading"/>
            </w:pPr>
            <w:r>
              <w:t>Difference</w:t>
            </w:r>
          </w:p>
        </w:tc>
      </w:tr>
      <w:tr w:rsidR="00ED0E85" w14:paraId="2EC8E74F" w14:textId="77777777" w:rsidTr="001540E1">
        <w:trPr>
          <w:trHeight w:val="358"/>
          <w:tblHeader/>
        </w:trPr>
        <w:tc>
          <w:tcPr>
            <w:tcW w:w="7651" w:type="dxa"/>
            <w:gridSpan w:val="4"/>
            <w:tcBorders>
              <w:bottom w:val="single" w:sz="8" w:space="0" w:color="FFFFFF" w:themeColor="background1"/>
            </w:tcBorders>
            <w:shd w:val="clear" w:color="auto" w:fill="auto"/>
            <w:tcMar>
              <w:left w:w="57" w:type="dxa"/>
              <w:right w:w="57" w:type="dxa"/>
            </w:tcMar>
          </w:tcPr>
          <w:p w14:paraId="0E38A970" w14:textId="77777777" w:rsidR="00ED0E85" w:rsidRDefault="00ED0E85" w:rsidP="00ED0E85">
            <w:pPr>
              <w:pStyle w:val="TableUnit"/>
            </w:pPr>
            <w:r>
              <w:t>Per cent</w:t>
            </w:r>
          </w:p>
        </w:tc>
      </w:tr>
      <w:tr w:rsidR="00ED0E85" w14:paraId="02AD43E4" w14:textId="77777777" w:rsidTr="00ED0E85">
        <w:trPr>
          <w:trHeight w:val="358"/>
        </w:trPr>
        <w:tc>
          <w:tcPr>
            <w:tcW w:w="7651" w:type="dxa"/>
            <w:gridSpan w:val="4"/>
            <w:tcBorders>
              <w:bottom w:val="single" w:sz="8" w:space="0" w:color="FFFFFF" w:themeColor="background1"/>
            </w:tcBorders>
            <w:shd w:val="clear" w:color="auto" w:fill="E4E0DA" w:themeFill="text2" w:themeFillTint="33"/>
            <w:tcMar>
              <w:left w:w="57" w:type="dxa"/>
              <w:right w:w="57" w:type="dxa"/>
            </w:tcMar>
          </w:tcPr>
          <w:p w14:paraId="6C5E8F53" w14:textId="77777777" w:rsidR="00ED0E85" w:rsidRDefault="00ED0E85" w:rsidP="00ED0E85">
            <w:pPr>
              <w:pStyle w:val="TableHeading1"/>
            </w:pPr>
            <w:r>
              <w:t>Energy Intensity (kWh per m</w:t>
            </w:r>
            <w:r w:rsidRPr="00033FD4">
              <w:rPr>
                <w:vertAlign w:val="superscript"/>
              </w:rPr>
              <w:t>2</w:t>
            </w:r>
            <w:r>
              <w:t xml:space="preserve"> of air-conditioned space)</w:t>
            </w:r>
          </w:p>
        </w:tc>
      </w:tr>
      <w:tr w:rsidR="00ED0E85" w14:paraId="4CFDD359" w14:textId="77777777" w:rsidTr="00ED0E85">
        <w:trPr>
          <w:trHeight w:val="278"/>
        </w:trPr>
        <w:tc>
          <w:tcPr>
            <w:tcW w:w="191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12221F" w14:textId="77777777" w:rsidR="00ED0E85" w:rsidRDefault="00ED0E85" w:rsidP="00ED0E85">
            <w:pPr>
              <w:pStyle w:val="TableDataEntries"/>
              <w:jc w:val="left"/>
            </w:pPr>
            <w:r>
              <w:t>Americas</w:t>
            </w:r>
          </w:p>
        </w:tc>
        <w:tc>
          <w:tcPr>
            <w:tcW w:w="19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B3E41D" w14:textId="77777777" w:rsidR="00ED0E85" w:rsidRDefault="00ED0E85" w:rsidP="00ED0E85">
            <w:pPr>
              <w:pStyle w:val="TableDataEntries"/>
            </w:pPr>
            <w:r>
              <w:t>351.9</w:t>
            </w:r>
          </w:p>
        </w:tc>
        <w:tc>
          <w:tcPr>
            <w:tcW w:w="19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43301D" w14:textId="77777777" w:rsidR="00ED0E85" w:rsidRDefault="00ED0E85" w:rsidP="00ED0E85">
            <w:pPr>
              <w:pStyle w:val="TableDataEntries"/>
            </w:pPr>
            <w:r>
              <w:t>347.7</w:t>
            </w:r>
          </w:p>
        </w:tc>
        <w:tc>
          <w:tcPr>
            <w:tcW w:w="1913" w:type="dxa"/>
            <w:tcBorders>
              <w:top w:val="single" w:sz="8" w:space="0" w:color="FFFFFF" w:themeColor="background1"/>
              <w:bottom w:val="single" w:sz="8" w:space="0" w:color="FFFFFF" w:themeColor="background1"/>
            </w:tcBorders>
            <w:shd w:val="clear" w:color="auto" w:fill="C2DADB" w:themeFill="accent6" w:themeFillTint="99"/>
          </w:tcPr>
          <w:p w14:paraId="5A997A83" w14:textId="77777777" w:rsidR="00ED0E85" w:rsidRPr="003734F7" w:rsidRDefault="00ED0E85" w:rsidP="00ED0E85">
            <w:pPr>
              <w:pStyle w:val="TableDataEntries"/>
              <w:rPr>
                <w:rFonts w:ascii="Franklin Gothic Demi" w:hAnsi="Franklin Gothic Demi"/>
              </w:rPr>
            </w:pPr>
            <w:r w:rsidRPr="003734F7">
              <w:rPr>
                <w:rFonts w:ascii="Franklin Gothic Demi" w:hAnsi="Franklin Gothic Demi"/>
              </w:rPr>
              <w:t>-1.2</w:t>
            </w:r>
          </w:p>
        </w:tc>
      </w:tr>
      <w:tr w:rsidR="00ED0E85" w14:paraId="6D829172" w14:textId="77777777" w:rsidTr="00ED0E85">
        <w:trPr>
          <w:trHeight w:val="278"/>
        </w:trPr>
        <w:tc>
          <w:tcPr>
            <w:tcW w:w="191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A1DC6B" w14:textId="77777777" w:rsidR="00ED0E85" w:rsidRDefault="00ED0E85" w:rsidP="00ED0E85">
            <w:pPr>
              <w:pStyle w:val="TableDataEntries"/>
              <w:jc w:val="left"/>
            </w:pPr>
            <w:r>
              <w:t>Asia Pacific</w:t>
            </w:r>
          </w:p>
        </w:tc>
        <w:tc>
          <w:tcPr>
            <w:tcW w:w="19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91BB9B" w14:textId="77777777" w:rsidR="00ED0E85" w:rsidRDefault="00ED0E85" w:rsidP="00ED0E85">
            <w:pPr>
              <w:pStyle w:val="TableDataEntries"/>
            </w:pPr>
            <w:r>
              <w:t>408.8</w:t>
            </w:r>
          </w:p>
        </w:tc>
        <w:tc>
          <w:tcPr>
            <w:tcW w:w="19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D6EEC5" w14:textId="77777777" w:rsidR="00ED0E85" w:rsidRDefault="00ED0E85" w:rsidP="00ED0E85">
            <w:pPr>
              <w:pStyle w:val="TableDataEntries"/>
            </w:pPr>
            <w:r>
              <w:t>389.2</w:t>
            </w:r>
          </w:p>
        </w:tc>
        <w:tc>
          <w:tcPr>
            <w:tcW w:w="1913" w:type="dxa"/>
            <w:tcBorders>
              <w:top w:val="single" w:sz="8" w:space="0" w:color="FFFFFF" w:themeColor="background1"/>
              <w:bottom w:val="single" w:sz="8" w:space="0" w:color="FFFFFF" w:themeColor="background1"/>
            </w:tcBorders>
            <w:shd w:val="clear" w:color="auto" w:fill="C2DADB" w:themeFill="accent6" w:themeFillTint="99"/>
          </w:tcPr>
          <w:p w14:paraId="5992BDA7" w14:textId="77777777" w:rsidR="00ED0E85" w:rsidRPr="003734F7" w:rsidRDefault="00ED0E85" w:rsidP="00ED0E85">
            <w:pPr>
              <w:pStyle w:val="TableDataEntries"/>
              <w:rPr>
                <w:rFonts w:ascii="Franklin Gothic Demi" w:hAnsi="Franklin Gothic Demi"/>
              </w:rPr>
            </w:pPr>
            <w:r w:rsidRPr="003734F7">
              <w:rPr>
                <w:rFonts w:ascii="Franklin Gothic Demi" w:hAnsi="Franklin Gothic Demi"/>
              </w:rPr>
              <w:t>-4.8</w:t>
            </w:r>
          </w:p>
        </w:tc>
      </w:tr>
      <w:tr w:rsidR="00ED0E85" w14:paraId="0EEA2E2F" w14:textId="77777777" w:rsidTr="00ED0E85">
        <w:trPr>
          <w:trHeight w:val="278"/>
        </w:trPr>
        <w:tc>
          <w:tcPr>
            <w:tcW w:w="191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12C431" w14:textId="77777777" w:rsidR="00ED0E85" w:rsidRDefault="00ED0E85" w:rsidP="00ED0E85">
            <w:pPr>
              <w:pStyle w:val="TableDataEntries"/>
              <w:jc w:val="left"/>
            </w:pPr>
            <w:r>
              <w:t>Europe</w:t>
            </w:r>
          </w:p>
        </w:tc>
        <w:tc>
          <w:tcPr>
            <w:tcW w:w="19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FD565A" w14:textId="77777777" w:rsidR="00ED0E85" w:rsidRDefault="00ED0E85" w:rsidP="00ED0E85">
            <w:pPr>
              <w:pStyle w:val="TableDataEntries"/>
            </w:pPr>
            <w:r>
              <w:t>428.3</w:t>
            </w:r>
          </w:p>
        </w:tc>
        <w:tc>
          <w:tcPr>
            <w:tcW w:w="19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E6B0A2" w14:textId="77777777" w:rsidR="00ED0E85" w:rsidRDefault="00ED0E85" w:rsidP="00ED0E85">
            <w:pPr>
              <w:pStyle w:val="TableDataEntries"/>
            </w:pPr>
            <w:r>
              <w:t>394.8</w:t>
            </w:r>
          </w:p>
        </w:tc>
        <w:tc>
          <w:tcPr>
            <w:tcW w:w="1913" w:type="dxa"/>
            <w:tcBorders>
              <w:top w:val="single" w:sz="8" w:space="0" w:color="FFFFFF" w:themeColor="background1"/>
              <w:bottom w:val="single" w:sz="8" w:space="0" w:color="FFFFFF" w:themeColor="background1"/>
            </w:tcBorders>
            <w:shd w:val="clear" w:color="auto" w:fill="C2DADB" w:themeFill="accent6" w:themeFillTint="99"/>
          </w:tcPr>
          <w:p w14:paraId="6D130D17" w14:textId="77777777" w:rsidR="00ED0E85" w:rsidRPr="003734F7" w:rsidRDefault="00ED0E85" w:rsidP="00ED0E85">
            <w:pPr>
              <w:pStyle w:val="TableDataEntries"/>
              <w:rPr>
                <w:rFonts w:ascii="Franklin Gothic Demi" w:hAnsi="Franklin Gothic Demi"/>
              </w:rPr>
            </w:pPr>
            <w:r w:rsidRPr="003734F7">
              <w:rPr>
                <w:rFonts w:ascii="Franklin Gothic Demi" w:hAnsi="Franklin Gothic Demi"/>
              </w:rPr>
              <w:t>-7.8</w:t>
            </w:r>
          </w:p>
        </w:tc>
      </w:tr>
      <w:tr w:rsidR="00ED0E85" w14:paraId="019220DC" w14:textId="77777777" w:rsidTr="00ED0E85">
        <w:trPr>
          <w:trHeight w:val="278"/>
        </w:trPr>
        <w:tc>
          <w:tcPr>
            <w:tcW w:w="191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FA7A3F" w14:textId="77777777" w:rsidR="00ED0E85" w:rsidRDefault="00ED0E85" w:rsidP="00ED0E85">
            <w:pPr>
              <w:pStyle w:val="TableDataEntries"/>
              <w:jc w:val="left"/>
            </w:pPr>
            <w:r>
              <w:t>Middle East and Africa</w:t>
            </w:r>
          </w:p>
        </w:tc>
        <w:tc>
          <w:tcPr>
            <w:tcW w:w="19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308D11" w14:textId="77777777" w:rsidR="00ED0E85" w:rsidRDefault="00ED0E85" w:rsidP="00ED0E85">
            <w:pPr>
              <w:pStyle w:val="TableDataEntries"/>
            </w:pPr>
            <w:r>
              <w:t>437.1</w:t>
            </w:r>
          </w:p>
        </w:tc>
        <w:tc>
          <w:tcPr>
            <w:tcW w:w="19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A09845" w14:textId="77777777" w:rsidR="00ED0E85" w:rsidRDefault="00ED0E85" w:rsidP="00ED0E85">
            <w:pPr>
              <w:pStyle w:val="TableDataEntries"/>
            </w:pPr>
            <w:r>
              <w:t>347.0</w:t>
            </w:r>
          </w:p>
        </w:tc>
        <w:tc>
          <w:tcPr>
            <w:tcW w:w="1913" w:type="dxa"/>
            <w:tcBorders>
              <w:top w:val="single" w:sz="8" w:space="0" w:color="FFFFFF" w:themeColor="background1"/>
              <w:bottom w:val="single" w:sz="8" w:space="0" w:color="FFFFFF" w:themeColor="background1"/>
            </w:tcBorders>
            <w:shd w:val="clear" w:color="auto" w:fill="C2DADB" w:themeFill="accent6" w:themeFillTint="99"/>
          </w:tcPr>
          <w:p w14:paraId="14FE79C4" w14:textId="77777777" w:rsidR="00ED0E85" w:rsidRPr="003734F7" w:rsidRDefault="00ED0E85" w:rsidP="00ED0E85">
            <w:pPr>
              <w:pStyle w:val="TableDataEntries"/>
              <w:rPr>
                <w:rFonts w:ascii="Franklin Gothic Demi" w:hAnsi="Franklin Gothic Demi"/>
              </w:rPr>
            </w:pPr>
            <w:r w:rsidRPr="003734F7">
              <w:rPr>
                <w:rFonts w:ascii="Franklin Gothic Demi" w:hAnsi="Franklin Gothic Demi"/>
              </w:rPr>
              <w:t>-20.6</w:t>
            </w:r>
          </w:p>
        </w:tc>
      </w:tr>
      <w:tr w:rsidR="00ED0E85" w14:paraId="3E6505C1" w14:textId="77777777" w:rsidTr="00ED0E85">
        <w:trPr>
          <w:trHeight w:val="278"/>
        </w:trPr>
        <w:tc>
          <w:tcPr>
            <w:tcW w:w="7651" w:type="dxa"/>
            <w:gridSpan w:val="4"/>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E03446E" w14:textId="77777777" w:rsidR="00ED0E85" w:rsidRDefault="00ED0E85" w:rsidP="00ED0E85">
            <w:pPr>
              <w:pStyle w:val="TableHeading1"/>
            </w:pPr>
            <w:r>
              <w:t>Carbon intensity (kg per m</w:t>
            </w:r>
            <w:r w:rsidRPr="00033FD4">
              <w:rPr>
                <w:vertAlign w:val="superscript"/>
              </w:rPr>
              <w:t>2</w:t>
            </w:r>
            <w:r>
              <w:t>)</w:t>
            </w:r>
          </w:p>
        </w:tc>
      </w:tr>
      <w:tr w:rsidR="00ED0E85" w14:paraId="3B000E2B" w14:textId="77777777" w:rsidTr="00ED0E85">
        <w:trPr>
          <w:trHeight w:val="278"/>
        </w:trPr>
        <w:tc>
          <w:tcPr>
            <w:tcW w:w="191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9AA198" w14:textId="77777777" w:rsidR="00ED0E85" w:rsidRDefault="00ED0E85" w:rsidP="00ED0E85">
            <w:pPr>
              <w:pStyle w:val="TableDataEntries"/>
              <w:jc w:val="left"/>
            </w:pPr>
            <w:r>
              <w:t>Americas</w:t>
            </w:r>
          </w:p>
        </w:tc>
        <w:tc>
          <w:tcPr>
            <w:tcW w:w="19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360DF2" w14:textId="77777777" w:rsidR="00ED0E85" w:rsidRDefault="00ED0E85" w:rsidP="00ED0E85">
            <w:pPr>
              <w:pStyle w:val="TableDataEntries"/>
            </w:pPr>
            <w:r>
              <w:t>101.9</w:t>
            </w:r>
          </w:p>
        </w:tc>
        <w:tc>
          <w:tcPr>
            <w:tcW w:w="19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C1F2ED" w14:textId="77777777" w:rsidR="00ED0E85" w:rsidRDefault="00ED0E85" w:rsidP="00ED0E85">
            <w:pPr>
              <w:pStyle w:val="TableDataEntries"/>
            </w:pPr>
            <w:r>
              <w:t>100.7</w:t>
            </w:r>
          </w:p>
        </w:tc>
        <w:tc>
          <w:tcPr>
            <w:tcW w:w="1913" w:type="dxa"/>
            <w:tcBorders>
              <w:top w:val="single" w:sz="8" w:space="0" w:color="FFFFFF" w:themeColor="background1"/>
              <w:bottom w:val="single" w:sz="8" w:space="0" w:color="FFFFFF" w:themeColor="background1"/>
            </w:tcBorders>
            <w:shd w:val="clear" w:color="auto" w:fill="C2DADB" w:themeFill="accent6" w:themeFillTint="99"/>
          </w:tcPr>
          <w:p w14:paraId="22914B3C" w14:textId="77777777" w:rsidR="00ED0E85" w:rsidRPr="003734F7" w:rsidRDefault="00ED0E85" w:rsidP="00ED0E85">
            <w:pPr>
              <w:pStyle w:val="TableDataEntries"/>
              <w:rPr>
                <w:rFonts w:ascii="Franklin Gothic Demi" w:hAnsi="Franklin Gothic Demi"/>
              </w:rPr>
            </w:pPr>
            <w:r w:rsidRPr="003734F7">
              <w:rPr>
                <w:rFonts w:ascii="Franklin Gothic Demi" w:hAnsi="Franklin Gothic Demi"/>
              </w:rPr>
              <w:t>-1.1</w:t>
            </w:r>
          </w:p>
        </w:tc>
      </w:tr>
      <w:tr w:rsidR="00ED0E85" w14:paraId="5DB7157A" w14:textId="77777777" w:rsidTr="00ED0E85">
        <w:trPr>
          <w:trHeight w:val="278"/>
        </w:trPr>
        <w:tc>
          <w:tcPr>
            <w:tcW w:w="191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2C6B81" w14:textId="77777777" w:rsidR="00ED0E85" w:rsidRDefault="00ED0E85" w:rsidP="00ED0E85">
            <w:pPr>
              <w:pStyle w:val="TableDataEntries"/>
              <w:jc w:val="left"/>
            </w:pPr>
            <w:r>
              <w:t>Asia Pacific</w:t>
            </w:r>
          </w:p>
        </w:tc>
        <w:tc>
          <w:tcPr>
            <w:tcW w:w="19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24EC36" w14:textId="77777777" w:rsidR="00ED0E85" w:rsidRDefault="00ED0E85" w:rsidP="00ED0E85">
            <w:pPr>
              <w:pStyle w:val="TableDataEntries"/>
            </w:pPr>
            <w:r>
              <w:t>181.9</w:t>
            </w:r>
          </w:p>
        </w:tc>
        <w:tc>
          <w:tcPr>
            <w:tcW w:w="19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869DDE" w14:textId="77777777" w:rsidR="00ED0E85" w:rsidRDefault="00ED0E85" w:rsidP="00ED0E85">
            <w:pPr>
              <w:pStyle w:val="TableDataEntries"/>
            </w:pPr>
            <w:r>
              <w:t>166.2</w:t>
            </w:r>
          </w:p>
        </w:tc>
        <w:tc>
          <w:tcPr>
            <w:tcW w:w="1913" w:type="dxa"/>
            <w:tcBorders>
              <w:top w:val="single" w:sz="8" w:space="0" w:color="FFFFFF" w:themeColor="background1"/>
              <w:bottom w:val="single" w:sz="8" w:space="0" w:color="FFFFFF" w:themeColor="background1"/>
            </w:tcBorders>
            <w:shd w:val="clear" w:color="auto" w:fill="C2DADB" w:themeFill="accent6" w:themeFillTint="99"/>
          </w:tcPr>
          <w:p w14:paraId="55634E13" w14:textId="77777777" w:rsidR="00ED0E85" w:rsidRPr="003734F7" w:rsidRDefault="00ED0E85" w:rsidP="00ED0E85">
            <w:pPr>
              <w:pStyle w:val="TableDataEntries"/>
              <w:rPr>
                <w:rFonts w:ascii="Franklin Gothic Demi" w:hAnsi="Franklin Gothic Demi"/>
              </w:rPr>
            </w:pPr>
            <w:r w:rsidRPr="003734F7">
              <w:rPr>
                <w:rFonts w:ascii="Franklin Gothic Demi" w:hAnsi="Franklin Gothic Demi"/>
              </w:rPr>
              <w:t>-8.6</w:t>
            </w:r>
          </w:p>
        </w:tc>
      </w:tr>
      <w:tr w:rsidR="00ED0E85" w14:paraId="4D471A00" w14:textId="77777777" w:rsidTr="00ED0E85">
        <w:trPr>
          <w:trHeight w:val="278"/>
        </w:trPr>
        <w:tc>
          <w:tcPr>
            <w:tcW w:w="191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BFDCB6" w14:textId="77777777" w:rsidR="00ED0E85" w:rsidRDefault="00ED0E85" w:rsidP="00ED0E85">
            <w:pPr>
              <w:pStyle w:val="TableDataEntries"/>
              <w:jc w:val="left"/>
            </w:pPr>
            <w:r>
              <w:t>Europe</w:t>
            </w:r>
          </w:p>
        </w:tc>
        <w:tc>
          <w:tcPr>
            <w:tcW w:w="19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830178" w14:textId="77777777" w:rsidR="00ED0E85" w:rsidRDefault="00ED0E85" w:rsidP="00ED0E85">
            <w:pPr>
              <w:pStyle w:val="TableDataEntries"/>
            </w:pPr>
            <w:r>
              <w:t>120.3</w:t>
            </w:r>
          </w:p>
        </w:tc>
        <w:tc>
          <w:tcPr>
            <w:tcW w:w="191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DC19C7" w14:textId="77777777" w:rsidR="00ED0E85" w:rsidRDefault="00ED0E85" w:rsidP="00ED0E85">
            <w:pPr>
              <w:pStyle w:val="TableDataEntries"/>
            </w:pPr>
            <w:r>
              <w:t>98.5</w:t>
            </w:r>
          </w:p>
        </w:tc>
        <w:tc>
          <w:tcPr>
            <w:tcW w:w="1913" w:type="dxa"/>
            <w:tcBorders>
              <w:top w:val="single" w:sz="8" w:space="0" w:color="FFFFFF" w:themeColor="background1"/>
              <w:bottom w:val="single" w:sz="8" w:space="0" w:color="FFFFFF" w:themeColor="background1"/>
            </w:tcBorders>
            <w:shd w:val="clear" w:color="auto" w:fill="C2DADB" w:themeFill="accent6" w:themeFillTint="99"/>
          </w:tcPr>
          <w:p w14:paraId="74D5E88B" w14:textId="77777777" w:rsidR="00ED0E85" w:rsidRPr="003734F7" w:rsidRDefault="00ED0E85" w:rsidP="00ED0E85">
            <w:pPr>
              <w:pStyle w:val="TableDataEntries"/>
              <w:rPr>
                <w:rFonts w:ascii="Franklin Gothic Demi" w:hAnsi="Franklin Gothic Demi"/>
              </w:rPr>
            </w:pPr>
            <w:r w:rsidRPr="003734F7">
              <w:rPr>
                <w:rFonts w:ascii="Franklin Gothic Demi" w:hAnsi="Franklin Gothic Demi"/>
              </w:rPr>
              <w:t>-18.1</w:t>
            </w:r>
          </w:p>
        </w:tc>
      </w:tr>
      <w:tr w:rsidR="00ED0E85" w14:paraId="6E2E6974" w14:textId="77777777" w:rsidTr="00ED0E85">
        <w:trPr>
          <w:trHeight w:val="278"/>
        </w:trPr>
        <w:tc>
          <w:tcPr>
            <w:tcW w:w="1912" w:type="dxa"/>
            <w:tcBorders>
              <w:top w:val="single" w:sz="8" w:space="0" w:color="FFFFFF" w:themeColor="background1"/>
              <w:bottom w:val="single" w:sz="6" w:space="0" w:color="6F6652"/>
            </w:tcBorders>
            <w:shd w:val="clear" w:color="auto" w:fill="E9E8E5" w:themeFill="background2"/>
            <w:tcMar>
              <w:left w:w="57" w:type="dxa"/>
              <w:right w:w="57" w:type="dxa"/>
            </w:tcMar>
          </w:tcPr>
          <w:p w14:paraId="3BBD556E" w14:textId="77777777" w:rsidR="00ED0E85" w:rsidRDefault="00ED0E85" w:rsidP="00ED0E85">
            <w:pPr>
              <w:pStyle w:val="TableDataEntries"/>
              <w:jc w:val="left"/>
            </w:pPr>
            <w:r>
              <w:t>Middle East and Africa</w:t>
            </w:r>
          </w:p>
        </w:tc>
        <w:tc>
          <w:tcPr>
            <w:tcW w:w="1913" w:type="dxa"/>
            <w:tcBorders>
              <w:top w:val="single" w:sz="8" w:space="0" w:color="FFFFFF" w:themeColor="background1"/>
              <w:bottom w:val="single" w:sz="6" w:space="0" w:color="6F6652"/>
            </w:tcBorders>
            <w:shd w:val="clear" w:color="auto" w:fill="E9E8E5" w:themeFill="background2"/>
            <w:tcMar>
              <w:left w:w="57" w:type="dxa"/>
              <w:right w:w="57" w:type="dxa"/>
            </w:tcMar>
          </w:tcPr>
          <w:p w14:paraId="69833839" w14:textId="77777777" w:rsidR="00ED0E85" w:rsidRDefault="00ED0E85" w:rsidP="00ED0E85">
            <w:pPr>
              <w:pStyle w:val="TableDataEntries"/>
            </w:pPr>
            <w:r>
              <w:t>218.6</w:t>
            </w:r>
          </w:p>
        </w:tc>
        <w:tc>
          <w:tcPr>
            <w:tcW w:w="1913" w:type="dxa"/>
            <w:tcBorders>
              <w:top w:val="single" w:sz="8" w:space="0" w:color="FFFFFF" w:themeColor="background1"/>
              <w:bottom w:val="single" w:sz="6" w:space="0" w:color="6F6652"/>
            </w:tcBorders>
            <w:shd w:val="clear" w:color="auto" w:fill="E9E8E5" w:themeFill="background2"/>
            <w:tcMar>
              <w:left w:w="57" w:type="dxa"/>
              <w:right w:w="57" w:type="dxa"/>
            </w:tcMar>
          </w:tcPr>
          <w:p w14:paraId="6A10C5AF" w14:textId="77777777" w:rsidR="00ED0E85" w:rsidRDefault="00ED0E85" w:rsidP="00ED0E85">
            <w:pPr>
              <w:pStyle w:val="TableDataEntries"/>
            </w:pPr>
            <w:r>
              <w:t>147.0</w:t>
            </w:r>
          </w:p>
        </w:tc>
        <w:tc>
          <w:tcPr>
            <w:tcW w:w="1913" w:type="dxa"/>
            <w:tcBorders>
              <w:top w:val="single" w:sz="8" w:space="0" w:color="FFFFFF" w:themeColor="background1"/>
              <w:bottom w:val="single" w:sz="6" w:space="0" w:color="6F6652"/>
            </w:tcBorders>
            <w:shd w:val="clear" w:color="auto" w:fill="C2DADB" w:themeFill="accent6" w:themeFillTint="99"/>
          </w:tcPr>
          <w:p w14:paraId="207CC8C1" w14:textId="77777777" w:rsidR="00ED0E85" w:rsidRPr="003734F7" w:rsidRDefault="00ED0E85" w:rsidP="00ED0E85">
            <w:pPr>
              <w:pStyle w:val="TableDataEntries"/>
              <w:rPr>
                <w:rFonts w:ascii="Franklin Gothic Demi" w:hAnsi="Franklin Gothic Demi"/>
              </w:rPr>
            </w:pPr>
            <w:r w:rsidRPr="003734F7">
              <w:rPr>
                <w:rFonts w:ascii="Franklin Gothic Demi" w:hAnsi="Franklin Gothic Demi"/>
              </w:rPr>
              <w:t>-32.8</w:t>
            </w:r>
          </w:p>
        </w:tc>
      </w:tr>
    </w:tbl>
    <w:p w14:paraId="05908313" w14:textId="77777777" w:rsidR="00ED0E85" w:rsidRPr="00033FD4" w:rsidRDefault="00ED0E85" w:rsidP="00ED0E85">
      <w:pPr>
        <w:pStyle w:val="Source"/>
      </w:pPr>
      <w:r>
        <w:rPr>
          <w:i/>
        </w:rPr>
        <w:t>Source</w:t>
      </w:r>
      <w:r w:rsidRPr="00E4232C">
        <w:rPr>
          <w:i/>
        </w:rPr>
        <w:t>:</w:t>
      </w:r>
      <w:r>
        <w:t xml:space="preserve"> Marriott International (2018), </w:t>
      </w:r>
      <w:r>
        <w:rPr>
          <w:i/>
          <w:iCs/>
        </w:rPr>
        <w:t xml:space="preserve">2018 Serve 360 Report Sustainability and Social Impact at Marriott International, </w:t>
      </w:r>
      <w:r>
        <w:t xml:space="preserve">available at: </w:t>
      </w:r>
      <w:hyperlink r:id="rId112" w:history="1">
        <w:r>
          <w:rPr>
            <w:rStyle w:val="Hyperlink"/>
          </w:rPr>
          <w:t>http://serve360.marriott.com/wp-content/uploads/2018/10/2018_Serve_360_Report.pdf</w:t>
        </w:r>
      </w:hyperlink>
      <w:r>
        <w:t xml:space="preserve">, p 30. </w:t>
      </w:r>
    </w:p>
    <w:p w14:paraId="1401342A" w14:textId="77777777" w:rsidR="00ED0E85" w:rsidRDefault="00ED0E85" w:rsidP="00ED0E85">
      <w:pPr>
        <w:pStyle w:val="Heading3"/>
        <w:numPr>
          <w:ilvl w:val="2"/>
          <w:numId w:val="5"/>
        </w:numPr>
      </w:pPr>
      <w:r>
        <w:t>Other initiatives</w:t>
      </w:r>
    </w:p>
    <w:p w14:paraId="0D3AF4F2" w14:textId="77777777" w:rsidR="00ED0E85" w:rsidRPr="002A4FE6" w:rsidRDefault="00ED0E85" w:rsidP="00ED0E85">
      <w:pPr>
        <w:pStyle w:val="BodyText"/>
      </w:pPr>
      <w:r>
        <w:t xml:space="preserve">As an alternative to mandated information disclosure, there are a number of initiatives established by policy makers/industry bodies or interest groups that also drive change. </w:t>
      </w:r>
    </w:p>
    <w:p w14:paraId="29D3988B" w14:textId="77777777" w:rsidR="00ED0E85" w:rsidRDefault="00ED0E85" w:rsidP="00ED0E85">
      <w:pPr>
        <w:pStyle w:val="BodyText"/>
      </w:pPr>
      <w:r w:rsidRPr="00306071">
        <w:rPr>
          <w:b/>
          <w:bCs/>
        </w:rPr>
        <w:t>The Better Building Challenge</w:t>
      </w:r>
      <w:r>
        <w:t>, driven by the US Department of Energy aims to make commercial, public, industrial and residential building 20 per cent more energy efficient over the next decade.</w:t>
      </w:r>
      <w:r>
        <w:rPr>
          <w:rStyle w:val="FootnoteReference"/>
        </w:rPr>
        <w:footnoteReference w:id="79"/>
      </w:r>
      <w:r>
        <w:t xml:space="preserve"> This is done through four key strategies - market leadership (demonstrating what’s possible, and setting goals), providing better information, workforce development and innovation and emerging technologies. The initiative is built on voluntary partnerships with the private and public sector rather than regulation. A number of hotels (including the Las Vegas Sands; Loews Hotels &amp; Co; MGM Resorts International and Hilton) have had energy savings as a result of this Challenge.</w:t>
      </w:r>
      <w:r>
        <w:rPr>
          <w:rStyle w:val="FootnoteReference"/>
        </w:rPr>
        <w:footnoteReference w:id="80"/>
      </w:r>
      <w:r>
        <w:t xml:space="preserve"> </w:t>
      </w:r>
    </w:p>
    <w:p w14:paraId="358FE1EA" w14:textId="77777777" w:rsidR="00ED0E85" w:rsidRDefault="00ED0E85" w:rsidP="00ED0E85">
      <w:pPr>
        <w:pStyle w:val="BodyText"/>
      </w:pPr>
      <w:r w:rsidRPr="00306071">
        <w:rPr>
          <w:b/>
          <w:bCs/>
        </w:rPr>
        <w:t>Energy Star certification</w:t>
      </w:r>
      <w:r>
        <w:t xml:space="preserve"> for products and buildings is a US Government backed symbol for energy efficiency that allows customers and businesses to make informed decisions. Hotels require a score of at least 75 (out of 100) to achieve an energy star certification, where energy scores are provided to each building based on a number of variables including rooms, workers, refrigeration, weather etc.</w:t>
      </w:r>
      <w:r>
        <w:rPr>
          <w:rStyle w:val="FootnoteReference"/>
        </w:rPr>
        <w:footnoteReference w:id="81"/>
      </w:r>
      <w:r>
        <w:t xml:space="preserve"> </w:t>
      </w:r>
    </w:p>
    <w:p w14:paraId="6BDAAA8B" w14:textId="77777777" w:rsidR="00ED0E85" w:rsidRPr="00306071" w:rsidRDefault="00ED0E85" w:rsidP="00ED0E85">
      <w:pPr>
        <w:pStyle w:val="BodyText"/>
        <w:rPr>
          <w:b/>
          <w:bCs/>
        </w:rPr>
      </w:pPr>
      <w:r w:rsidRPr="00306071">
        <w:rPr>
          <w:b/>
          <w:bCs/>
        </w:rPr>
        <w:t>Science based targets initiative</w:t>
      </w:r>
      <w:r>
        <w:rPr>
          <w:b/>
          <w:bCs/>
        </w:rPr>
        <w:t xml:space="preserve"> </w:t>
      </w:r>
      <w:r>
        <w:t>is a collaboration between the CDP</w:t>
      </w:r>
      <w:r>
        <w:rPr>
          <w:rStyle w:val="FootnoteReference"/>
        </w:rPr>
        <w:footnoteReference w:id="82"/>
      </w:r>
      <w:r>
        <w:t>, the United Nations Global Compact, World Resources Institute, and the World Wide Fund for Nature and one of the We Mean Business Coalition commitments. The initiative demonstrates the broader benefits to industry about setting science based targets, defines and promotes bets practice and offers resources, workshops and guidance to reduce barriers to adopting and independently assesses and approves companies’ targets.</w:t>
      </w:r>
      <w:r>
        <w:rPr>
          <w:rStyle w:val="FootnoteReference"/>
        </w:rPr>
        <w:footnoteReference w:id="83"/>
      </w:r>
      <w:r>
        <w:t xml:space="preserve">  </w:t>
      </w:r>
      <w:r w:rsidRPr="00306071">
        <w:rPr>
          <w:b/>
          <w:bCs/>
        </w:rPr>
        <w:t xml:space="preserve"> </w:t>
      </w:r>
    </w:p>
    <w:p w14:paraId="3ECD7CD9" w14:textId="77777777" w:rsidR="00ED0E85" w:rsidRDefault="00ED0E85" w:rsidP="00ED0E85">
      <w:pPr>
        <w:pStyle w:val="Heading2"/>
        <w:numPr>
          <w:ilvl w:val="1"/>
          <w:numId w:val="5"/>
        </w:numPr>
      </w:pPr>
      <w:bookmarkStart w:id="5851" w:name="_Toc19275535"/>
      <w:bookmarkStart w:id="5852" w:name="_Toc19276145"/>
      <w:bookmarkStart w:id="5853" w:name="_Toc19280144"/>
      <w:r>
        <w:t>Evidence of market and behavioural failures</w:t>
      </w:r>
      <w:bookmarkEnd w:id="5669"/>
      <w:bookmarkEnd w:id="5851"/>
      <w:bookmarkEnd w:id="5852"/>
      <w:bookmarkEnd w:id="5853"/>
    </w:p>
    <w:p w14:paraId="6C3B6F77" w14:textId="77777777" w:rsidR="00ED0E85" w:rsidRDefault="00ED0E85" w:rsidP="00ED0E85">
      <w:pPr>
        <w:pStyle w:val="Heading3"/>
        <w:numPr>
          <w:ilvl w:val="2"/>
          <w:numId w:val="5"/>
        </w:numPr>
      </w:pPr>
      <w:r>
        <w:t>Bounded rationality of hotel operators</w:t>
      </w:r>
    </w:p>
    <w:p w14:paraId="3F3011E1" w14:textId="77777777" w:rsidR="00ED0E85" w:rsidRDefault="00ED0E85" w:rsidP="00ED0E85">
      <w:pPr>
        <w:pStyle w:val="BodyText"/>
      </w:pPr>
      <w:r>
        <w:t>There is mixed evidence of behavioural failures in energy efficiency of hotels, and this evidence is largely anecdotal.</w:t>
      </w:r>
    </w:p>
    <w:p w14:paraId="322AC313" w14:textId="77777777" w:rsidR="00ED0E85" w:rsidRDefault="00ED0E85" w:rsidP="00ED0E85">
      <w:pPr>
        <w:pStyle w:val="ListBullet"/>
      </w:pPr>
      <w:r>
        <w:t>Consultations with technical advisers have suggested that the energy performance of a hotel is not something that is given substantial focus by hotel managers/owners.</w:t>
      </w:r>
    </w:p>
    <w:p w14:paraId="2D8A7DAE" w14:textId="77777777" w:rsidR="00ED0E85" w:rsidRDefault="00ED0E85" w:rsidP="00ED0E85">
      <w:pPr>
        <w:pStyle w:val="ListBullet2"/>
      </w:pPr>
      <w:r>
        <w:t>consultations indicated that hotel management arrangements are often based on a share of revenue, which leads to a stronger focus on revenue/marketing rather than cost reduction</w:t>
      </w:r>
    </w:p>
    <w:p w14:paraId="35044485" w14:textId="77777777" w:rsidR="00ED0E85" w:rsidRDefault="00ED0E85" w:rsidP="00ED0E85">
      <w:pPr>
        <w:pStyle w:val="ListBullet"/>
      </w:pPr>
      <w:r>
        <w:t>Consultations with hotel engineers, individually and as a group arranged through the Australian Institute of Hotel Engineers (AIHE), indicated that they face targets to reduce energy use and energy cost</w:t>
      </w:r>
    </w:p>
    <w:p w14:paraId="7FC560A7" w14:textId="77777777" w:rsidR="00ED0E85" w:rsidRDefault="00ED0E85" w:rsidP="00ED0E85">
      <w:pPr>
        <w:pStyle w:val="ListBullet2"/>
      </w:pPr>
      <w:r>
        <w:t xml:space="preserve">some hotel engineers knew how their hotels compared to others, and some focused on trends in their own hotel or hotels over time </w:t>
      </w:r>
    </w:p>
    <w:p w14:paraId="5219EBAA" w14:textId="77777777" w:rsidR="00ED0E85" w:rsidRDefault="00ED0E85" w:rsidP="00ED0E85">
      <w:pPr>
        <w:pStyle w:val="ListBullet"/>
      </w:pPr>
      <w:r>
        <w:t>Evidence from hotel advisers indicated that, unlike in other sectors, new hotels were often not better in their energy efficiency than existing hotels</w:t>
      </w:r>
    </w:p>
    <w:p w14:paraId="4772C27B" w14:textId="77777777" w:rsidR="00ED0E85" w:rsidRDefault="00ED0E85" w:rsidP="00ED0E85">
      <w:pPr>
        <w:pStyle w:val="ListBullet"/>
      </w:pPr>
      <w:r>
        <w:t xml:space="preserve">The facilities management aspects of hotels are substantially less professional than those of offices, and are not improving over time. Energy advisers consider that the management of </w:t>
      </w:r>
      <w:r w:rsidRPr="00723C7C">
        <w:t>assets and systems</w:t>
      </w:r>
      <w:r>
        <w:t xml:space="preserve"> is poor,</w:t>
      </w:r>
      <w:r w:rsidRPr="00723C7C">
        <w:t xml:space="preserve"> particularly the HVAC and electrical systems.</w:t>
      </w:r>
      <w:r>
        <w:t xml:space="preserve"> It was suggested that there has been a significant skills deterioration within the sector in regards to technical management over the last 20 years</w:t>
      </w:r>
    </w:p>
    <w:p w14:paraId="189BCDD7" w14:textId="77777777" w:rsidR="00ED0E85" w:rsidRDefault="00ED0E85" w:rsidP="00ED0E85">
      <w:pPr>
        <w:pStyle w:val="ListBullet2"/>
      </w:pPr>
      <w:r>
        <w:t>this may partly reflect efficiencies from aggregating functions for multiple hotels.</w:t>
      </w:r>
    </w:p>
    <w:p w14:paraId="2C346CD3" w14:textId="77777777" w:rsidR="00ED0E85" w:rsidRDefault="00ED0E85" w:rsidP="00ED0E85">
      <w:pPr>
        <w:pStyle w:val="BodyText"/>
      </w:pPr>
      <w:r>
        <w:t>Based on this, hotels are likely to be driven to better manage their energy use if this was measured and made prominent.</w:t>
      </w:r>
    </w:p>
    <w:p w14:paraId="723FAB92" w14:textId="77777777" w:rsidR="00ED0E85" w:rsidRDefault="00ED0E85" w:rsidP="00ED0E85">
      <w:pPr>
        <w:pStyle w:val="Heading3"/>
        <w:numPr>
          <w:ilvl w:val="2"/>
          <w:numId w:val="5"/>
        </w:numPr>
      </w:pPr>
      <w:r>
        <w:t>Demand from customers</w:t>
      </w:r>
    </w:p>
    <w:p w14:paraId="0FA606D7" w14:textId="77777777" w:rsidR="00ED0E85" w:rsidRDefault="00ED0E85" w:rsidP="00ED0E85">
      <w:pPr>
        <w:pStyle w:val="BodyText"/>
        <w:rPr>
          <w:lang w:bidi="fa-IR"/>
        </w:rPr>
      </w:pPr>
      <w:r>
        <w:rPr>
          <w:lang w:bidi="fa-IR"/>
        </w:rPr>
        <w:t xml:space="preserve">Given the competition in the hotel industry, including the presence of Airbnb, hotels are increasingly looking for ways to increase their brand and appeal to customers. If being ‘green’ or ‘sustainable’ were key drivers for consumer decision making, this would be a powerful influence on a hotel owner or operator’s willingness to implement change. </w:t>
      </w:r>
    </w:p>
    <w:p w14:paraId="6F6110E3" w14:textId="77777777" w:rsidR="00ED0E85" w:rsidRDefault="00ED0E85" w:rsidP="00ED0E85">
      <w:pPr>
        <w:pStyle w:val="BodyText"/>
        <w:rPr>
          <w:lang w:bidi="fa-IR"/>
        </w:rPr>
      </w:pPr>
      <w:r>
        <w:rPr>
          <w:lang w:bidi="fa-IR"/>
        </w:rPr>
        <w:t xml:space="preserve">According to PWC’s </w:t>
      </w:r>
      <w:r>
        <w:rPr>
          <w:i/>
          <w:iCs/>
          <w:lang w:bidi="fa-IR"/>
        </w:rPr>
        <w:t xml:space="preserve">What’s Driving Customer Loyalty for Today’s Hotel Brands </w:t>
      </w:r>
      <w:r>
        <w:rPr>
          <w:lang w:bidi="fa-IR"/>
        </w:rPr>
        <w:t>survey, sustainability is not a key attribute that customers are looking for in a hotel. Rather, these are:</w:t>
      </w:r>
      <w:r>
        <w:rPr>
          <w:rStyle w:val="FootnoteReference"/>
          <w:lang w:bidi="fa-IR"/>
        </w:rPr>
        <w:footnoteReference w:id="84"/>
      </w:r>
      <w:r>
        <w:rPr>
          <w:lang w:bidi="fa-IR"/>
        </w:rPr>
        <w:t xml:space="preserve"> </w:t>
      </w:r>
    </w:p>
    <w:p w14:paraId="79D1C9CD" w14:textId="77777777" w:rsidR="00ED0E85" w:rsidRDefault="00ED0E85" w:rsidP="00ED0E85">
      <w:pPr>
        <w:pStyle w:val="ListBullet"/>
        <w:rPr>
          <w:lang w:bidi="fa-IR"/>
        </w:rPr>
      </w:pPr>
      <w:r>
        <w:rPr>
          <w:lang w:bidi="fa-IR"/>
        </w:rPr>
        <w:t xml:space="preserve">Room Quality </w:t>
      </w:r>
    </w:p>
    <w:p w14:paraId="0037A8B3" w14:textId="77777777" w:rsidR="00ED0E85" w:rsidRDefault="00ED0E85" w:rsidP="00ED0E85">
      <w:pPr>
        <w:pStyle w:val="ListBullet"/>
        <w:rPr>
          <w:lang w:bidi="fa-IR"/>
        </w:rPr>
      </w:pPr>
      <w:r>
        <w:rPr>
          <w:lang w:bidi="fa-IR"/>
        </w:rPr>
        <w:t>Accessibility (convenience, ease of finding and number of locations)</w:t>
      </w:r>
    </w:p>
    <w:p w14:paraId="724F8BCE" w14:textId="77777777" w:rsidR="00ED0E85" w:rsidRDefault="00ED0E85" w:rsidP="00ED0E85">
      <w:pPr>
        <w:pStyle w:val="ListBullet"/>
        <w:rPr>
          <w:lang w:bidi="fa-IR"/>
        </w:rPr>
      </w:pPr>
      <w:r>
        <w:rPr>
          <w:lang w:bidi="fa-IR"/>
        </w:rPr>
        <w:t xml:space="preserve">Promotions (rates, upgrades, points for loyalty programs, free nights) and </w:t>
      </w:r>
    </w:p>
    <w:p w14:paraId="70B34131" w14:textId="77777777" w:rsidR="00ED0E85" w:rsidRDefault="00ED0E85" w:rsidP="00ED0E85">
      <w:pPr>
        <w:pStyle w:val="ListBullet"/>
        <w:rPr>
          <w:lang w:bidi="fa-IR"/>
        </w:rPr>
      </w:pPr>
      <w:r>
        <w:rPr>
          <w:lang w:bidi="fa-IR"/>
        </w:rPr>
        <w:t>Service.</w:t>
      </w:r>
    </w:p>
    <w:p w14:paraId="27D8D77C" w14:textId="77777777" w:rsidR="00ED0E85" w:rsidRDefault="00ED0E85" w:rsidP="00ED0E85">
      <w:pPr>
        <w:pStyle w:val="ListBullet"/>
        <w:numPr>
          <w:ilvl w:val="0"/>
          <w:numId w:val="0"/>
        </w:numPr>
        <w:rPr>
          <w:lang w:bidi="fa-IR"/>
        </w:rPr>
      </w:pPr>
      <w:r>
        <w:rPr>
          <w:lang w:bidi="fa-IR"/>
        </w:rPr>
        <w:t xml:space="preserve">However, there is some growing evidence (globally) that sustainability is starting to become more important to guests: </w:t>
      </w:r>
    </w:p>
    <w:p w14:paraId="44CF6C11" w14:textId="77777777" w:rsidR="00ED0E85" w:rsidRDefault="00ED0E85" w:rsidP="00ED0E85">
      <w:pPr>
        <w:pStyle w:val="ListBullet"/>
        <w:rPr>
          <w:lang w:bidi="fa-IR"/>
        </w:rPr>
      </w:pPr>
      <w:r>
        <w:rPr>
          <w:lang w:bidi="fa-IR"/>
        </w:rPr>
        <w:t>A recent survey of 72 000 Hilton Hotel customers (globally), found that 33 per cent of respondents prefer hotels with environmental and social programs. For guests aged less than 25, this increases to 55 per cent.</w:t>
      </w:r>
      <w:r>
        <w:rPr>
          <w:rStyle w:val="FootnoteReference"/>
          <w:lang w:bidi="fa-IR"/>
        </w:rPr>
        <w:footnoteReference w:id="85"/>
      </w:r>
      <w:r>
        <w:rPr>
          <w:lang w:bidi="fa-IR"/>
        </w:rPr>
        <w:t xml:space="preserve"> </w:t>
      </w:r>
    </w:p>
    <w:p w14:paraId="64718E9B" w14:textId="77777777" w:rsidR="00ED0E85" w:rsidRDefault="00ED0E85" w:rsidP="00ED0E85">
      <w:pPr>
        <w:pStyle w:val="ListBullet"/>
        <w:rPr>
          <w:lang w:bidi="fa-IR"/>
        </w:rPr>
      </w:pPr>
      <w:r>
        <w:rPr>
          <w:lang w:bidi="fa-IR"/>
        </w:rPr>
        <w:t>Booking.com’s 2017 Sustainable Travel Report found that 65 per cent of global travellers expressed an intention to stay in an ‘eco-friendly’ or ‘green accommodation’ at least once compared to 34 per cent who stayed in one or more last year. Furthermore, 68 per cent confirm that they are more likely to consider choosing an accommodation knowing that it was eco-friendly.</w:t>
      </w:r>
      <w:r>
        <w:rPr>
          <w:rStyle w:val="FootnoteReference"/>
          <w:lang w:bidi="fa-IR"/>
        </w:rPr>
        <w:footnoteReference w:id="86"/>
      </w:r>
      <w:r>
        <w:rPr>
          <w:lang w:bidi="fa-IR"/>
        </w:rPr>
        <w:t xml:space="preserve"> </w:t>
      </w:r>
    </w:p>
    <w:p w14:paraId="7378C69E" w14:textId="77777777" w:rsidR="00ED0E85" w:rsidRDefault="00ED0E85" w:rsidP="00ED0E85">
      <w:pPr>
        <w:pStyle w:val="ListBullet"/>
        <w:rPr>
          <w:lang w:bidi="fa-IR"/>
        </w:rPr>
      </w:pPr>
      <w:r>
        <w:rPr>
          <w:lang w:bidi="fa-IR"/>
        </w:rPr>
        <w:t>Accor, through the research arm of Planet 21, found that sustainability initiatives deliver positive paybacks by reducing costs (energy, waste) and increasing revenues (enhanced reputation and guest satisfaction).</w:t>
      </w:r>
      <w:r>
        <w:rPr>
          <w:rStyle w:val="FootnoteReference"/>
          <w:lang w:bidi="fa-IR"/>
        </w:rPr>
        <w:footnoteReference w:id="87"/>
      </w:r>
      <w:r>
        <w:rPr>
          <w:lang w:bidi="fa-IR"/>
        </w:rPr>
        <w:t xml:space="preserve"> Furthermore, (Accor’s) trends show that business to business clients increasingly consider environmental performance an important driver. This was demonstrated in changing attitudes between their 2012 survey and another survey conducted in December 2014-January 2015. The 2012 survey found that approximately 50 per cent of respondents rated their level of concern for Environmental Performance (reduction of energy consumption, water consumption, water pollution, waste quality, etc.) as very important or important, which increased to 58 per cent in the most recent survey.</w:t>
      </w:r>
      <w:r>
        <w:rPr>
          <w:rStyle w:val="FootnoteReference"/>
          <w:lang w:bidi="fa-IR"/>
        </w:rPr>
        <w:footnoteReference w:id="88"/>
      </w:r>
    </w:p>
    <w:p w14:paraId="7B689454" w14:textId="77777777" w:rsidR="00ED0E85" w:rsidRDefault="00ED0E85" w:rsidP="00ED0E85">
      <w:pPr>
        <w:pStyle w:val="ListBullet"/>
        <w:numPr>
          <w:ilvl w:val="0"/>
          <w:numId w:val="0"/>
        </w:numPr>
        <w:rPr>
          <w:lang w:bidi="fa-IR"/>
        </w:rPr>
      </w:pPr>
      <w:r>
        <w:rPr>
          <w:lang w:bidi="fa-IR"/>
        </w:rPr>
        <w:t xml:space="preserve">There is some evidence the “green” hotels are becoming a selling point for some hotels, with a number of venues across Australia identifying with the term ‘ecotourism’. There does not, however, appear to be any evidence of customers choosing to go elsewhere because the hotel that they are looking at does not have identify with any environmental standards. Evidence in the Australian market of how consumer demand is influenced by a hotel’s sustainability practices is somewhat limited, and most literature relates to tourism blogs and press releases that promote their sustainability improvements. Regardless, understanding how consumers feel about environmental sustainability, and the impact that these feelings have on their choices is an area that could be further explored. As consumer behaviour evolves in this area, hotels and other commercial organisations will need to respond. </w:t>
      </w:r>
    </w:p>
    <w:p w14:paraId="760F614F" w14:textId="77777777" w:rsidR="00ED0E85" w:rsidRDefault="00ED0E85" w:rsidP="00ED0E85">
      <w:pPr>
        <w:pStyle w:val="BodyText"/>
      </w:pPr>
      <w:r w:rsidRPr="00082878">
        <w:t xml:space="preserve">There is also expected to be demand for government and corporates for energy efficient hotels, similar to offices. In consultations several large corporates noted that they were trying to choose hotels based on sustainability but could not do so easily because of inconsistent metrics. They indicated that they would preference hotels with higher NABERS energy ratings if this was possible. Some government stakeholders have also indicated an interest in preferencing hotels with higher NABERS energy ratings, but an inability to do this at the moment. </w:t>
      </w:r>
    </w:p>
    <w:p w14:paraId="47150B36" w14:textId="77777777" w:rsidR="00ED0E85" w:rsidRDefault="00ED0E85" w:rsidP="00ED0E85">
      <w:pPr>
        <w:pStyle w:val="Heading2"/>
        <w:numPr>
          <w:ilvl w:val="1"/>
          <w:numId w:val="5"/>
        </w:numPr>
      </w:pPr>
      <w:bookmarkStart w:id="5854" w:name="_Toc12633684"/>
      <w:bookmarkStart w:id="5855" w:name="_Toc19275536"/>
      <w:bookmarkStart w:id="5856" w:name="_Toc19276146"/>
      <w:bookmarkStart w:id="5857" w:name="_Toc19280145"/>
      <w:r>
        <w:t>Would mandatory disclosure drive behavioural change?</w:t>
      </w:r>
      <w:bookmarkEnd w:id="5854"/>
      <w:bookmarkEnd w:id="5855"/>
      <w:bookmarkEnd w:id="5856"/>
      <w:bookmarkEnd w:id="5857"/>
    </w:p>
    <w:p w14:paraId="0D5BE5AC" w14:textId="77777777" w:rsidR="00ED0E85" w:rsidRDefault="00ED0E85" w:rsidP="00ED0E85">
      <w:pPr>
        <w:pStyle w:val="BodyText"/>
      </w:pPr>
      <w:r>
        <w:t>Mandatory disclosure of energy performance is expected to drive behavioural change in hotels for two reasons:</w:t>
      </w:r>
    </w:p>
    <w:p w14:paraId="19869CCD" w14:textId="77777777" w:rsidR="00ED0E85" w:rsidRDefault="00ED0E85" w:rsidP="001F5383">
      <w:pPr>
        <w:pStyle w:val="ListNumber"/>
        <w:numPr>
          <w:ilvl w:val="0"/>
          <w:numId w:val="16"/>
        </w:numPr>
      </w:pPr>
      <w:r>
        <w:t>There would be sufficient interest from customers through corporate and government procurement that hotels would feel compelled to increase their energy performance if there was a mandatory disclosure scheme in place</w:t>
      </w:r>
    </w:p>
    <w:p w14:paraId="5C3A297B" w14:textId="77777777" w:rsidR="00ED0E85" w:rsidRDefault="00ED0E85" w:rsidP="001F5383">
      <w:pPr>
        <w:pStyle w:val="ListNumber"/>
        <w:numPr>
          <w:ilvl w:val="0"/>
          <w:numId w:val="16"/>
        </w:numPr>
      </w:pPr>
      <w:r>
        <w:t>There is some evidence that hotels are less advanced in considering energy use than other sectors, and comparative performance information would identify gaps in performance for some hotels. However, hard evidence for or against this is difficult to obtain.</w:t>
      </w:r>
    </w:p>
    <w:p w14:paraId="3E5638B0" w14:textId="77777777" w:rsidR="00ED0E85" w:rsidRDefault="00ED0E85" w:rsidP="00ED0E85">
      <w:pPr>
        <w:pStyle w:val="BodyText"/>
      </w:pPr>
      <w:r>
        <w:t>In our view, the first of these is the most critical for a mandatory disclosure scheme to improve energy efficiency. The extent to which hotels are less advanced in considering energy, the higher the private benefits available to hotels will be — otherwise there may be a net cost imposed on hotels from having to obtain energy ratings.</w:t>
      </w:r>
    </w:p>
    <w:p w14:paraId="0CC98C16" w14:textId="77777777" w:rsidR="00ED0E85" w:rsidRDefault="00ED0E85" w:rsidP="00ED0E85">
      <w:pPr>
        <w:pStyle w:val="Heading2"/>
        <w:numPr>
          <w:ilvl w:val="1"/>
          <w:numId w:val="5"/>
        </w:numPr>
      </w:pPr>
      <w:bookmarkStart w:id="5858" w:name="_Toc12633685"/>
      <w:bookmarkStart w:id="5859" w:name="_Toc19275537"/>
      <w:bookmarkStart w:id="5860" w:name="_Toc19276147"/>
      <w:bookmarkStart w:id="5861" w:name="_Toc19280146"/>
      <w:r>
        <w:t>Options for mandatory disclosure</w:t>
      </w:r>
      <w:bookmarkEnd w:id="5858"/>
      <w:bookmarkEnd w:id="5859"/>
      <w:bookmarkEnd w:id="5860"/>
      <w:bookmarkEnd w:id="5861"/>
    </w:p>
    <w:p w14:paraId="2B0FDACC" w14:textId="77777777" w:rsidR="00ED0E85" w:rsidRDefault="00ED0E85" w:rsidP="00ED0E85">
      <w:pPr>
        <w:pStyle w:val="Heading3"/>
        <w:numPr>
          <w:ilvl w:val="2"/>
          <w:numId w:val="5"/>
        </w:numPr>
      </w:pPr>
      <w:r>
        <w:t>Disclosure tools</w:t>
      </w:r>
    </w:p>
    <w:p w14:paraId="1A497D6F" w14:textId="77777777" w:rsidR="00ED0E85" w:rsidRDefault="00ED0E85" w:rsidP="00ED0E85">
      <w:pPr>
        <w:pStyle w:val="BodyText"/>
        <w:rPr>
          <w:lang w:eastAsia="en-US"/>
        </w:rPr>
      </w:pPr>
      <w:r>
        <w:rPr>
          <w:lang w:eastAsia="en-US"/>
        </w:rPr>
        <w:t>As set out above, there are many different energy and sustainability tools available in the hotel industry.</w:t>
      </w:r>
    </w:p>
    <w:p w14:paraId="105DBD14" w14:textId="77777777" w:rsidR="00ED0E85" w:rsidRDefault="00ED0E85" w:rsidP="00ED0E85">
      <w:pPr>
        <w:pStyle w:val="BodyText"/>
        <w:rPr>
          <w:lang w:eastAsia="en-US"/>
        </w:rPr>
      </w:pPr>
      <w:r>
        <w:rPr>
          <w:lang w:eastAsia="en-US"/>
        </w:rPr>
        <w:t xml:space="preserve">It would not be desirable to mandate the use of a tool where the prices are determined by private companies, a non-Australian government and are not regulated. This essentially means that mandatory disclosure could only be used for a government tool (NABERS) or could cover multiple tools. </w:t>
      </w:r>
    </w:p>
    <w:p w14:paraId="772B731E" w14:textId="77777777" w:rsidR="00ED0E85" w:rsidRDefault="00ED0E85" w:rsidP="00ED0E85">
      <w:pPr>
        <w:pStyle w:val="ListBullet"/>
        <w:rPr>
          <w:lang w:eastAsia="en-US"/>
        </w:rPr>
      </w:pPr>
      <w:r>
        <w:rPr>
          <w:lang w:eastAsia="en-US"/>
        </w:rPr>
        <w:t xml:space="preserve">Covering multiple tools that allow for disclosure of energy performance has the advantage of encouraging competition. </w:t>
      </w:r>
    </w:p>
    <w:p w14:paraId="58EC3158" w14:textId="77777777" w:rsidR="00ED0E85" w:rsidRDefault="00ED0E85" w:rsidP="00ED0E85">
      <w:pPr>
        <w:pStyle w:val="ListBullet"/>
        <w:rPr>
          <w:lang w:eastAsia="en-US"/>
        </w:rPr>
      </w:pPr>
      <w:r>
        <w:rPr>
          <w:lang w:eastAsia="en-US"/>
        </w:rPr>
        <w:t xml:space="preserve">However, with multiple tools consumers would not be able to compare across hotels. This would be a very significant reduction in benefit of a mandatory disclosure scheme. </w:t>
      </w:r>
    </w:p>
    <w:p w14:paraId="782DE916" w14:textId="77777777" w:rsidR="00ED0E85" w:rsidRDefault="00ED0E85" w:rsidP="00ED0E85">
      <w:pPr>
        <w:pStyle w:val="BodyText"/>
        <w:rPr>
          <w:lang w:eastAsia="en-US"/>
        </w:rPr>
      </w:pPr>
      <w:r>
        <w:rPr>
          <w:lang w:eastAsia="en-US"/>
        </w:rPr>
        <w:t>Furthermore, other tools tend not to restrict themselves to energy disclosure, but cover a broader set of environmental indicators. This would then be pushing outside of the scope of our review, which is focused on energy disclosure.</w:t>
      </w:r>
    </w:p>
    <w:p w14:paraId="1453F552" w14:textId="77777777" w:rsidR="00ED0E85" w:rsidRDefault="00ED0E85" w:rsidP="00ED0E85">
      <w:pPr>
        <w:pStyle w:val="BodyText"/>
        <w:rPr>
          <w:lang w:eastAsia="en-US"/>
        </w:rPr>
      </w:pPr>
      <w:r>
        <w:rPr>
          <w:lang w:eastAsia="en-US"/>
        </w:rPr>
        <w:t>We also consider NABERS to be preferable to checklist type measures because it is focused on actual recorded energy use.</w:t>
      </w:r>
    </w:p>
    <w:p w14:paraId="73F6F5DF" w14:textId="77777777" w:rsidR="00ED0E85" w:rsidRDefault="00ED0E85" w:rsidP="00ED0E85">
      <w:pPr>
        <w:pStyle w:val="BodyText"/>
        <w:rPr>
          <w:lang w:eastAsia="en-US"/>
        </w:rPr>
      </w:pPr>
      <w:r>
        <w:rPr>
          <w:lang w:eastAsia="en-US"/>
        </w:rPr>
        <w:t>For these reasons, the only option that can reasonably be considered for mandatory disclosure is using a NABERS energy rating.</w:t>
      </w:r>
    </w:p>
    <w:p w14:paraId="644356DC" w14:textId="77777777" w:rsidR="00ED0E85" w:rsidRDefault="00ED0E85" w:rsidP="00ED0E85">
      <w:pPr>
        <w:pStyle w:val="BodyText"/>
        <w:rPr>
          <w:lang w:eastAsia="en-US"/>
        </w:rPr>
      </w:pPr>
      <w:r>
        <w:rPr>
          <w:lang w:eastAsia="en-US"/>
        </w:rPr>
        <w:t>Currently, there is little industry support for NABERS energy, and a view that it does not provide good benchmarks that account for factors outside of a hotel’s control. These may be misperceptions or real issues. In either case there is a need to re-look at the benchmarking tool. The current tool could not be mandated without substantial engagement with industry.</w:t>
      </w:r>
    </w:p>
    <w:p w14:paraId="066810AA" w14:textId="77777777" w:rsidR="00ED0E85" w:rsidRDefault="00ED0E85" w:rsidP="00ED0E85">
      <w:pPr>
        <w:pStyle w:val="Heading2"/>
        <w:numPr>
          <w:ilvl w:val="1"/>
          <w:numId w:val="5"/>
        </w:numPr>
      </w:pPr>
      <w:bookmarkStart w:id="5862" w:name="_Toc19275538"/>
      <w:bookmarkStart w:id="5863" w:name="_Toc19276148"/>
      <w:bookmarkStart w:id="5864" w:name="_Toc19280147"/>
      <w:r>
        <w:t>Costs and benefits of mandatory disclosure</w:t>
      </w:r>
      <w:bookmarkEnd w:id="5862"/>
      <w:bookmarkEnd w:id="5863"/>
      <w:bookmarkEnd w:id="5864"/>
    </w:p>
    <w:p w14:paraId="6153FBF5" w14:textId="77777777" w:rsidR="00ED0E85" w:rsidRDefault="00ED0E85" w:rsidP="00ED0E85">
      <w:pPr>
        <w:pStyle w:val="Heading3"/>
        <w:numPr>
          <w:ilvl w:val="2"/>
          <w:numId w:val="5"/>
        </w:numPr>
      </w:pPr>
      <w:r>
        <w:t>Reference scheme</w:t>
      </w:r>
    </w:p>
    <w:p w14:paraId="6DF5DAAA" w14:textId="77777777" w:rsidR="00ED0E85" w:rsidRDefault="00ED0E85" w:rsidP="00ED0E85">
      <w:pPr>
        <w:pStyle w:val="BodyText"/>
      </w:pPr>
      <w:r>
        <w:t>To examine the costs and benefits of mandatory disclosure of energy performance for hotels we have designed a reference scheme and evaluated the costs and benefits of this scheme. The reference scheme involves:</w:t>
      </w:r>
    </w:p>
    <w:p w14:paraId="0BD2A4D8" w14:textId="77777777" w:rsidR="00ED0E85" w:rsidRDefault="00ED0E85" w:rsidP="00ED0E85">
      <w:pPr>
        <w:pStyle w:val="ListBullet"/>
      </w:pPr>
      <w:r>
        <w:t>a mandatory disclosure scheme focused on NABERS energy</w:t>
      </w:r>
    </w:p>
    <w:p w14:paraId="2B0ABA54" w14:textId="77777777" w:rsidR="00ED0E85" w:rsidRDefault="00ED0E85" w:rsidP="00ED0E85">
      <w:pPr>
        <w:pStyle w:val="ListBullet"/>
      </w:pPr>
      <w:r>
        <w:t>this would begin ramping up in 2021 to be fully taken up and disclosed by 2023</w:t>
      </w:r>
    </w:p>
    <w:p w14:paraId="559AE369" w14:textId="77777777" w:rsidR="00ED0E85" w:rsidRDefault="00ED0E85" w:rsidP="00ED0E85">
      <w:pPr>
        <w:pStyle w:val="ListBullet"/>
      </w:pPr>
      <w:r>
        <w:t>disclosure would involve disclosure in a hotel foyer and on a hotel website</w:t>
      </w:r>
    </w:p>
    <w:p w14:paraId="32130425" w14:textId="77777777" w:rsidR="00ED0E85" w:rsidRDefault="00ED0E85" w:rsidP="00ED0E85">
      <w:pPr>
        <w:pStyle w:val="ListBullet"/>
      </w:pPr>
      <w:r>
        <w:t xml:space="preserve">disclosure would apply to hotels with more than 100 rooms. Hotels would be defined as per ABS definition, as </w:t>
      </w:r>
      <w:r w:rsidRPr="00D9246F">
        <w:t>Establishments with 100 or more rooms which operate a public bar and which provide accommodation on a room/unit/apartment/suite basis</w:t>
      </w:r>
      <w:r>
        <w:t>.</w:t>
      </w:r>
      <w:r w:rsidRPr="00D9246F">
        <w:t> </w:t>
      </w:r>
      <w:r>
        <w:t>This would not cover pubs, motels, guest houses, private hotels or resorts. Advice would be required as to how to define a resort versus a hotel</w:t>
      </w:r>
    </w:p>
    <w:p w14:paraId="1E92C07B" w14:textId="77777777" w:rsidR="00ED0E85" w:rsidRPr="00A91CAD" w:rsidRDefault="00ED0E85" w:rsidP="00ED0E85">
      <w:pPr>
        <w:pStyle w:val="ListBullet"/>
      </w:pPr>
      <w:r>
        <w:t>a NABERS energy rating would be required every two years.</w:t>
      </w:r>
    </w:p>
    <w:p w14:paraId="7EEEFBA2" w14:textId="77777777" w:rsidR="00ED0E85" w:rsidRDefault="00ED0E85" w:rsidP="00ED0E85">
      <w:pPr>
        <w:pStyle w:val="BodyText"/>
      </w:pPr>
      <w:r>
        <w:t>This scheme would cover approximately 640 hotels and 86 000 rooms.</w:t>
      </w:r>
    </w:p>
    <w:p w14:paraId="31386499" w14:textId="77777777" w:rsidR="00ED0E85" w:rsidRDefault="00ED0E85" w:rsidP="00ED0E85">
      <w:pPr>
        <w:pStyle w:val="Heading3"/>
        <w:numPr>
          <w:ilvl w:val="2"/>
          <w:numId w:val="5"/>
        </w:numPr>
      </w:pPr>
      <w:r>
        <w:t>Costs benefit analysis results</w:t>
      </w:r>
    </w:p>
    <w:p w14:paraId="5B78070A" w14:textId="7EAA1456" w:rsidR="00ED0E85" w:rsidRDefault="00ED0E85" w:rsidP="00ED0E85">
      <w:pPr>
        <w:pStyle w:val="BodyText"/>
      </w:pPr>
      <w:r>
        <w:t>The results of the cost benefit analysis are shown in table </w:t>
      </w:r>
      <w:r w:rsidR="004550CB">
        <w:rPr>
          <w:noProof/>
        </w:rPr>
        <w:fldChar w:fldCharType="begin"/>
      </w:r>
      <w:r w:rsidR="004550CB">
        <w:rPr>
          <w:noProof/>
        </w:rPr>
        <w:instrText xml:space="preserve"> REF _Caption3676 </w:instrText>
      </w:r>
      <w:r w:rsidR="004550CB">
        <w:rPr>
          <w:noProof/>
        </w:rPr>
        <w:fldChar w:fldCharType="separate"/>
      </w:r>
      <w:r w:rsidR="00AD3561">
        <w:rPr>
          <w:noProof/>
        </w:rPr>
        <w:t>8</w:t>
      </w:r>
      <w:r w:rsidR="00AD3561" w:rsidRPr="00695C93">
        <w:rPr>
          <w:noProof/>
        </w:rPr>
        <w:t>.</w:t>
      </w:r>
      <w:r w:rsidR="00AD3561">
        <w:rPr>
          <w:noProof/>
        </w:rPr>
        <w:t>17</w:t>
      </w:r>
      <w:r w:rsidR="004550CB">
        <w:rPr>
          <w:noProof/>
        </w:rPr>
        <w:fldChar w:fldCharType="end"/>
      </w:r>
      <w:r>
        <w:t xml:space="preserve">. </w:t>
      </w:r>
    </w:p>
    <w:p w14:paraId="26B2F316" w14:textId="77777777" w:rsidR="00ED0E85" w:rsidRDefault="00ED0E85" w:rsidP="00ED0E85">
      <w:pPr>
        <w:pStyle w:val="ListBullet"/>
      </w:pPr>
      <w:r>
        <w:t>We estimate an overall net benefit of $26 million, which covers a period of 20 years from today.</w:t>
      </w:r>
    </w:p>
    <w:p w14:paraId="3A244E69" w14:textId="77777777" w:rsidR="00ED0E85" w:rsidRDefault="00ED0E85" w:rsidP="00ED0E85">
      <w:pPr>
        <w:pStyle w:val="ListBullet"/>
      </w:pPr>
      <w:r>
        <w:t>There is a small private net benefit of $6.2 million. This reflects the avoided electricity and gas savings being larger than the compliance and upgrade costs.</w:t>
      </w:r>
    </w:p>
    <w:p w14:paraId="1DE0ED8F" w14:textId="77777777" w:rsidR="00ED0E85" w:rsidRDefault="00ED0E85" w:rsidP="00ED0E85">
      <w:pPr>
        <w:pStyle w:val="ListBullet2"/>
      </w:pPr>
      <w:r>
        <w:t>we have compared the private payback periods from the analysis to those suggested in consultations. For a 3 star NABERS energy rated hotel, the payback period is ~4 years now for actions and gradually increases to 6 years as less costly actions are undertaken first. This is similar to the payback hurdle rates suggested in industry consultations</w:t>
      </w:r>
    </w:p>
    <w:p w14:paraId="59065180" w14:textId="77777777" w:rsidR="00ED0E85" w:rsidRDefault="00ED0E85" w:rsidP="00ED0E85">
      <w:pPr>
        <w:pStyle w:val="ListBullet2"/>
      </w:pPr>
      <w:r>
        <w:t>we also expect that some hotels will face much higher paybacks than others, based on consultations.</w:t>
      </w:r>
    </w:p>
    <w:p w14:paraId="6271916F" w14:textId="77777777" w:rsidR="00ED0E85" w:rsidRDefault="00ED0E85" w:rsidP="00ED0E85">
      <w:pPr>
        <w:pStyle w:val="ListBullet"/>
      </w:pPr>
      <w:r>
        <w:t>There are GHG emissions reduction benefits of $21 million in present value terms.</w:t>
      </w:r>
    </w:p>
    <w:p w14:paraId="39E54BC8" w14:textId="3F5202DA"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w:instrText>
      </w:r>
      <w:r w:rsidRPr="00695C93">
        <w:fldChar w:fldCharType="separate"/>
      </w:r>
      <w:r w:rsidR="00AD3561">
        <w:rPr>
          <w:noProof/>
        </w:rPr>
        <w:instrText>8</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w:instrText>
      </w:r>
      <w:r w:rsidR="00C353B5">
        <w:instrText xml:space="preserv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8</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17</w:instrText>
      </w:r>
      <w:r w:rsidRPr="00695C93">
        <w:fldChar w:fldCharType="end"/>
      </w:r>
      <w:r w:rsidRPr="00695C93">
        <w:instrText xml:space="preserve">" "" </w:instrText>
      </w:r>
      <w:r w:rsidRPr="00695C93">
        <w:fldChar w:fldCharType="separate"/>
      </w:r>
      <w:bookmarkStart w:id="5865" w:name="_Caption2156"/>
      <w:bookmarkStart w:id="5866" w:name="_Caption7891"/>
      <w:bookmarkStart w:id="5867" w:name="_Caption5235"/>
      <w:bookmarkStart w:id="5868" w:name="_Caption5990"/>
      <w:bookmarkStart w:id="5869" w:name="_Caption5635"/>
      <w:bookmarkStart w:id="5870" w:name="_Caption3085"/>
      <w:bookmarkStart w:id="5871" w:name="_Caption5150"/>
      <w:bookmarkStart w:id="5872" w:name="_Caption7516"/>
      <w:bookmarkStart w:id="5873" w:name="_Caption8331"/>
      <w:bookmarkStart w:id="5874" w:name="_Caption4273"/>
      <w:bookmarkStart w:id="5875" w:name="_Caption6815"/>
      <w:bookmarkStart w:id="5876" w:name="_Caption5896"/>
      <w:bookmarkStart w:id="5877" w:name="_Caption4944"/>
      <w:bookmarkStart w:id="5878" w:name="_Caption7622"/>
      <w:bookmarkStart w:id="5879" w:name="_Caption0327"/>
      <w:bookmarkStart w:id="5880" w:name="_Caption5148"/>
      <w:bookmarkStart w:id="5881" w:name="_Caption4528"/>
      <w:bookmarkStart w:id="5882" w:name="_Caption1697"/>
      <w:bookmarkStart w:id="5883" w:name="_Caption1027"/>
      <w:bookmarkStart w:id="5884" w:name="_Caption4674"/>
      <w:bookmarkStart w:id="5885" w:name="_Caption5428"/>
      <w:bookmarkStart w:id="5886" w:name="_Caption5394"/>
      <w:bookmarkStart w:id="5887" w:name="_Caption9041"/>
      <w:bookmarkStart w:id="5888" w:name="_Caption8282"/>
      <w:bookmarkStart w:id="5889" w:name="_Caption1307"/>
      <w:bookmarkStart w:id="5890" w:name="_Caption8303"/>
      <w:bookmarkStart w:id="5891" w:name="_Caption5750"/>
      <w:bookmarkStart w:id="5892" w:name="_Caption3676"/>
      <w:bookmarkStart w:id="5893" w:name="_Caption4410"/>
      <w:bookmarkStart w:id="5894" w:name="_Caption8710"/>
      <w:bookmarkStart w:id="5895" w:name="_Caption1683"/>
      <w:bookmarkStart w:id="5896" w:name="_Caption3970"/>
      <w:bookmarkStart w:id="5897" w:name="_Caption3335"/>
      <w:bookmarkStart w:id="5898" w:name="_Caption5447"/>
      <w:bookmarkStart w:id="5899" w:name="_Caption5014"/>
      <w:bookmarkStart w:id="5900" w:name="_Caption5411"/>
      <w:bookmarkStart w:id="5901" w:name="_Caption1329"/>
      <w:bookmarkStart w:id="5902" w:name="_Caption9303"/>
      <w:bookmarkStart w:id="5903" w:name="_Caption6680"/>
      <w:bookmarkStart w:id="5904" w:name="_Caption4978"/>
      <w:bookmarkStart w:id="5905" w:name="_Caption5351"/>
      <w:bookmarkStart w:id="5906" w:name="_Caption7831"/>
      <w:bookmarkStart w:id="5907" w:name="_Caption1566"/>
      <w:bookmarkStart w:id="5908" w:name="_Caption0054"/>
      <w:bookmarkStart w:id="5909" w:name="_Caption2123"/>
      <w:bookmarkStart w:id="5910" w:name="_Caption6721"/>
      <w:bookmarkStart w:id="5911" w:name="_Caption1787"/>
      <w:bookmarkStart w:id="5912" w:name="_Caption3239"/>
      <w:bookmarkStart w:id="5913" w:name="_Toc19275641"/>
      <w:bookmarkStart w:id="5914" w:name="_Toc19276251"/>
      <w:bookmarkStart w:id="5915" w:name="_Toc19280250"/>
      <w:r w:rsidR="00C353B5">
        <w:rPr>
          <w:noProof/>
        </w:rPr>
        <w:t>8</w:t>
      </w:r>
      <w:r w:rsidR="00C353B5" w:rsidRPr="00695C93">
        <w:rPr>
          <w:noProof/>
        </w:rPr>
        <w:t>.</w:t>
      </w:r>
      <w:r w:rsidR="00C353B5">
        <w:rPr>
          <w:noProof/>
        </w:rPr>
        <w:t>17</w:t>
      </w:r>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r w:rsidRPr="00695C93">
        <w:fldChar w:fldCharType="end"/>
      </w:r>
      <w:r w:rsidRPr="00695C93">
        <w:tab/>
      </w:r>
      <w:r>
        <w:t>Cost benefit analysis results for hotels</w:t>
      </w:r>
      <w:bookmarkEnd w:id="5913"/>
      <w:bookmarkEnd w:id="5914"/>
      <w:bookmarkEnd w:id="5915"/>
    </w:p>
    <w:tbl>
      <w:tblPr>
        <w:tblW w:w="7937" w:type="dxa"/>
        <w:tblLook w:val="04A0" w:firstRow="1" w:lastRow="0" w:firstColumn="1" w:lastColumn="0" w:noHBand="0" w:noVBand="1"/>
      </w:tblPr>
      <w:tblGrid>
        <w:gridCol w:w="5578"/>
        <w:gridCol w:w="2359"/>
      </w:tblGrid>
      <w:tr w:rsidR="00ED0E85" w:rsidRPr="00D9246F" w14:paraId="59269719" w14:textId="77777777" w:rsidTr="00ED0E85">
        <w:trPr>
          <w:trHeight w:val="250"/>
        </w:trPr>
        <w:tc>
          <w:tcPr>
            <w:tcW w:w="5578" w:type="dxa"/>
            <w:shd w:val="clear" w:color="auto" w:fill="6F6652"/>
            <w:noWrap/>
            <w:tcMar>
              <w:left w:w="57" w:type="dxa"/>
              <w:right w:w="57" w:type="dxa"/>
            </w:tcMar>
            <w:hideMark/>
          </w:tcPr>
          <w:p w14:paraId="2C99062F" w14:textId="77777777" w:rsidR="00ED0E85" w:rsidRPr="00D9246F" w:rsidRDefault="00ED0E85" w:rsidP="00ED0E85">
            <w:pPr>
              <w:pStyle w:val="TableDataColumnHeading"/>
              <w:jc w:val="left"/>
            </w:pPr>
          </w:p>
        </w:tc>
        <w:tc>
          <w:tcPr>
            <w:tcW w:w="2359" w:type="dxa"/>
            <w:shd w:val="clear" w:color="auto" w:fill="6F6652"/>
            <w:tcMar>
              <w:left w:w="57" w:type="dxa"/>
              <w:right w:w="57" w:type="dxa"/>
            </w:tcMar>
            <w:hideMark/>
          </w:tcPr>
          <w:p w14:paraId="058EFA57" w14:textId="77777777" w:rsidR="00ED0E85" w:rsidRPr="00D9246F" w:rsidRDefault="00ED0E85" w:rsidP="00ED0E85">
            <w:pPr>
              <w:pStyle w:val="TableDataColumnHeading"/>
              <w:rPr>
                <w:rFonts w:ascii="Franklin Gothic Book" w:hAnsi="Franklin Gothic Book"/>
                <w:b/>
                <w:bCs/>
                <w:sz w:val="18"/>
              </w:rPr>
            </w:pPr>
            <w:r w:rsidRPr="00D9246F">
              <w:rPr>
                <w:rFonts w:ascii="Franklin Gothic Book" w:hAnsi="Franklin Gothic Book"/>
                <w:b/>
                <w:bCs/>
                <w:sz w:val="18"/>
              </w:rPr>
              <w:t>Australia</w:t>
            </w:r>
          </w:p>
        </w:tc>
      </w:tr>
      <w:tr w:rsidR="00ED0E85" w:rsidRPr="00D9246F" w14:paraId="7EEAF4B4" w14:textId="77777777" w:rsidTr="00ED0E85">
        <w:trPr>
          <w:trHeight w:val="250"/>
        </w:trPr>
        <w:tc>
          <w:tcPr>
            <w:tcW w:w="5578" w:type="dxa"/>
            <w:tcBorders>
              <w:bottom w:val="single" w:sz="8" w:space="0" w:color="FFFFFF" w:themeColor="background1"/>
            </w:tcBorders>
            <w:shd w:val="clear" w:color="auto" w:fill="auto"/>
            <w:tcMar>
              <w:left w:w="57" w:type="dxa"/>
              <w:right w:w="57" w:type="dxa"/>
            </w:tcMar>
            <w:hideMark/>
          </w:tcPr>
          <w:p w14:paraId="387F7C77" w14:textId="77777777" w:rsidR="00ED0E85" w:rsidRPr="00D9246F" w:rsidRDefault="00ED0E85" w:rsidP="00ED0E85">
            <w:pPr>
              <w:pStyle w:val="TableUnit"/>
              <w:jc w:val="left"/>
            </w:pPr>
          </w:p>
        </w:tc>
        <w:tc>
          <w:tcPr>
            <w:tcW w:w="2359" w:type="dxa"/>
            <w:tcBorders>
              <w:bottom w:val="single" w:sz="8" w:space="0" w:color="FFFFFF" w:themeColor="background1"/>
            </w:tcBorders>
            <w:shd w:val="clear" w:color="auto" w:fill="auto"/>
            <w:noWrap/>
            <w:tcMar>
              <w:left w:w="57" w:type="dxa"/>
              <w:right w:w="57" w:type="dxa"/>
            </w:tcMar>
            <w:hideMark/>
          </w:tcPr>
          <w:p w14:paraId="0DD6A7AB" w14:textId="77777777" w:rsidR="00ED0E85" w:rsidRPr="00D9246F" w:rsidRDefault="00ED0E85" w:rsidP="00ED0E85">
            <w:pPr>
              <w:pStyle w:val="TableUnit"/>
            </w:pPr>
            <w:r w:rsidRPr="00D9246F">
              <w:t>$ million</w:t>
            </w:r>
            <w:r>
              <w:t>, present value</w:t>
            </w:r>
          </w:p>
        </w:tc>
      </w:tr>
      <w:tr w:rsidR="00ED0E85" w:rsidRPr="00D9246F" w14:paraId="38732191" w14:textId="77777777" w:rsidTr="00ED0E85">
        <w:trPr>
          <w:trHeight w:val="250"/>
        </w:trPr>
        <w:tc>
          <w:tcPr>
            <w:tcW w:w="557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6BA9654" w14:textId="77777777" w:rsidR="00ED0E85" w:rsidRPr="00D9246F" w:rsidRDefault="00ED0E85" w:rsidP="00ED0E85">
            <w:pPr>
              <w:pStyle w:val="TableHeading1"/>
            </w:pPr>
            <w:r w:rsidRPr="00D9246F">
              <w:t>Private benefits/costs</w:t>
            </w:r>
          </w:p>
        </w:tc>
        <w:tc>
          <w:tcPr>
            <w:tcW w:w="235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0F25CE97" w14:textId="77777777" w:rsidR="00ED0E85" w:rsidRPr="00D9246F" w:rsidRDefault="00ED0E85" w:rsidP="00ED0E85">
            <w:pPr>
              <w:pStyle w:val="TableHeading1"/>
            </w:pPr>
          </w:p>
        </w:tc>
      </w:tr>
      <w:tr w:rsidR="00ED0E85" w:rsidRPr="00D9246F" w14:paraId="47ADCF89" w14:textId="77777777" w:rsidTr="00ED0E85">
        <w:trPr>
          <w:trHeight w:val="250"/>
        </w:trPr>
        <w:tc>
          <w:tcPr>
            <w:tcW w:w="55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DB7FAF" w14:textId="77777777" w:rsidR="00ED0E85" w:rsidRPr="00D9246F" w:rsidRDefault="00ED0E85" w:rsidP="00ED0E85">
            <w:pPr>
              <w:pStyle w:val="TableDataEntries"/>
              <w:jc w:val="left"/>
            </w:pPr>
            <w:r>
              <w:t xml:space="preserve">   </w:t>
            </w:r>
            <w:r w:rsidRPr="00D9246F">
              <w:t>Electricity savings</w:t>
            </w:r>
          </w:p>
        </w:tc>
        <w:tc>
          <w:tcPr>
            <w:tcW w:w="23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6BE2569" w14:textId="77777777" w:rsidR="00ED0E85" w:rsidRPr="008577EA" w:rsidRDefault="00ED0E85" w:rsidP="00ED0E85">
            <w:pPr>
              <w:pStyle w:val="TableDataEntries"/>
            </w:pPr>
            <w:r w:rsidRPr="008577EA">
              <w:t xml:space="preserve"> 25.1</w:t>
            </w:r>
          </w:p>
        </w:tc>
      </w:tr>
      <w:tr w:rsidR="00ED0E85" w:rsidRPr="00D9246F" w14:paraId="3B24688D" w14:textId="77777777" w:rsidTr="00ED0E85">
        <w:trPr>
          <w:trHeight w:val="250"/>
        </w:trPr>
        <w:tc>
          <w:tcPr>
            <w:tcW w:w="55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FFA2EB" w14:textId="77777777" w:rsidR="00ED0E85" w:rsidRPr="00D9246F" w:rsidRDefault="00ED0E85" w:rsidP="00ED0E85">
            <w:pPr>
              <w:pStyle w:val="TableDataEntries"/>
              <w:jc w:val="left"/>
            </w:pPr>
            <w:r>
              <w:t xml:space="preserve">   </w:t>
            </w:r>
            <w:r w:rsidRPr="00D9246F">
              <w:t>Gas savings</w:t>
            </w:r>
          </w:p>
        </w:tc>
        <w:tc>
          <w:tcPr>
            <w:tcW w:w="23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719FDA4" w14:textId="77777777" w:rsidR="00ED0E85" w:rsidRPr="008577EA" w:rsidRDefault="00ED0E85" w:rsidP="00ED0E85">
            <w:pPr>
              <w:pStyle w:val="TableDataEntries"/>
            </w:pPr>
            <w:r w:rsidRPr="008577EA">
              <w:t xml:space="preserve"> 11.5</w:t>
            </w:r>
          </w:p>
        </w:tc>
      </w:tr>
      <w:tr w:rsidR="00ED0E85" w:rsidRPr="00D9246F" w14:paraId="2C01BEA7" w14:textId="77777777" w:rsidTr="00ED0E85">
        <w:trPr>
          <w:trHeight w:val="250"/>
        </w:trPr>
        <w:tc>
          <w:tcPr>
            <w:tcW w:w="55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CBB951" w14:textId="77777777" w:rsidR="00ED0E85" w:rsidRPr="00D9246F" w:rsidRDefault="00ED0E85" w:rsidP="00ED0E85">
            <w:pPr>
              <w:pStyle w:val="TableDataEntries"/>
              <w:jc w:val="left"/>
            </w:pPr>
            <w:r>
              <w:t xml:space="preserve">   </w:t>
            </w:r>
            <w:r w:rsidRPr="00D9246F">
              <w:t>Upgrade costs</w:t>
            </w:r>
          </w:p>
        </w:tc>
        <w:tc>
          <w:tcPr>
            <w:tcW w:w="23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8915F4B" w14:textId="77777777" w:rsidR="00ED0E85" w:rsidRPr="008577EA" w:rsidRDefault="00ED0E85" w:rsidP="00ED0E85">
            <w:pPr>
              <w:pStyle w:val="TableDataEntries"/>
            </w:pPr>
            <w:r w:rsidRPr="008577EA">
              <w:t>- 16.1</w:t>
            </w:r>
          </w:p>
        </w:tc>
      </w:tr>
      <w:tr w:rsidR="00ED0E85" w:rsidRPr="00D9246F" w14:paraId="443150FB" w14:textId="77777777" w:rsidTr="00ED0E85">
        <w:trPr>
          <w:trHeight w:val="250"/>
        </w:trPr>
        <w:tc>
          <w:tcPr>
            <w:tcW w:w="55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FBD08D" w14:textId="77777777" w:rsidR="00ED0E85" w:rsidRPr="00D9246F" w:rsidRDefault="00ED0E85" w:rsidP="00ED0E85">
            <w:pPr>
              <w:pStyle w:val="TableDataEntries"/>
              <w:jc w:val="left"/>
            </w:pPr>
            <w:r>
              <w:t xml:space="preserve">   </w:t>
            </w:r>
            <w:r w:rsidRPr="00D9246F">
              <w:t>Compliance costs</w:t>
            </w:r>
          </w:p>
        </w:tc>
        <w:tc>
          <w:tcPr>
            <w:tcW w:w="23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C7CA0CB" w14:textId="77777777" w:rsidR="00ED0E85" w:rsidRPr="008577EA" w:rsidRDefault="00ED0E85" w:rsidP="00ED0E85">
            <w:pPr>
              <w:pStyle w:val="TableDataEntries"/>
            </w:pPr>
            <w:r w:rsidRPr="008577EA">
              <w:t>- 14.2</w:t>
            </w:r>
          </w:p>
        </w:tc>
      </w:tr>
      <w:tr w:rsidR="00ED0E85" w:rsidRPr="00E15BBE" w14:paraId="7A293FC4" w14:textId="77777777" w:rsidTr="00ED0E85">
        <w:trPr>
          <w:trHeight w:val="250"/>
        </w:trPr>
        <w:tc>
          <w:tcPr>
            <w:tcW w:w="5578"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32FC80BB" w14:textId="77777777" w:rsidR="00ED0E85" w:rsidRPr="00E15BBE" w:rsidRDefault="00ED0E85" w:rsidP="00ED0E85">
            <w:pPr>
              <w:pStyle w:val="TableDataEntries"/>
              <w:jc w:val="left"/>
              <w:rPr>
                <w:rFonts w:ascii="Franklin Gothic Demi" w:hAnsi="Franklin Gothic Demi"/>
              </w:rPr>
            </w:pPr>
            <w:r w:rsidRPr="00E15BBE">
              <w:rPr>
                <w:rFonts w:ascii="Franklin Gothic Demi" w:hAnsi="Franklin Gothic Demi"/>
              </w:rPr>
              <w:t>Net private benefits/costs</w:t>
            </w:r>
          </w:p>
        </w:tc>
        <w:tc>
          <w:tcPr>
            <w:tcW w:w="2359"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1BE34DB8" w14:textId="77777777" w:rsidR="00ED0E85" w:rsidRPr="00E15BBE" w:rsidRDefault="00ED0E85" w:rsidP="00ED0E85">
            <w:pPr>
              <w:pStyle w:val="TableDataEntries"/>
              <w:rPr>
                <w:rFonts w:ascii="Franklin Gothic Demi" w:hAnsi="Franklin Gothic Demi"/>
              </w:rPr>
            </w:pPr>
            <w:r w:rsidRPr="00E15BBE">
              <w:rPr>
                <w:rFonts w:ascii="Franklin Gothic Demi" w:hAnsi="Franklin Gothic Demi"/>
              </w:rPr>
              <w:t xml:space="preserve"> 6.3</w:t>
            </w:r>
          </w:p>
        </w:tc>
      </w:tr>
      <w:tr w:rsidR="00ED0E85" w:rsidRPr="00D9246F" w14:paraId="0ED3696C" w14:textId="77777777" w:rsidTr="00ED0E85">
        <w:trPr>
          <w:trHeight w:val="250"/>
        </w:trPr>
        <w:tc>
          <w:tcPr>
            <w:tcW w:w="5578"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hideMark/>
          </w:tcPr>
          <w:p w14:paraId="1B803DB0" w14:textId="77777777" w:rsidR="00ED0E85" w:rsidRPr="00D9246F" w:rsidRDefault="00ED0E85" w:rsidP="00ED0E85">
            <w:pPr>
              <w:pStyle w:val="TableHeading1"/>
            </w:pPr>
            <w:r w:rsidRPr="00D9246F">
              <w:t>Other benefits/costs</w:t>
            </w:r>
          </w:p>
        </w:tc>
        <w:tc>
          <w:tcPr>
            <w:tcW w:w="2359" w:type="dxa"/>
            <w:tcBorders>
              <w:top w:val="single" w:sz="8" w:space="0" w:color="FFFFFF" w:themeColor="background1"/>
              <w:bottom w:val="single" w:sz="8" w:space="0" w:color="FFFFFF" w:themeColor="background1"/>
            </w:tcBorders>
            <w:shd w:val="clear" w:color="auto" w:fill="E4E0DA" w:themeFill="text2" w:themeFillTint="33"/>
            <w:noWrap/>
            <w:tcMar>
              <w:left w:w="57" w:type="dxa"/>
              <w:right w:w="57" w:type="dxa"/>
            </w:tcMar>
            <w:vAlign w:val="bottom"/>
            <w:hideMark/>
          </w:tcPr>
          <w:p w14:paraId="21CB499A" w14:textId="77777777" w:rsidR="00ED0E85" w:rsidRPr="008577EA" w:rsidRDefault="00ED0E85" w:rsidP="00ED0E85">
            <w:pPr>
              <w:pStyle w:val="TableHeading1"/>
            </w:pPr>
          </w:p>
        </w:tc>
      </w:tr>
      <w:tr w:rsidR="00ED0E85" w:rsidRPr="00D9246F" w14:paraId="3D63582E" w14:textId="77777777" w:rsidTr="00ED0E85">
        <w:trPr>
          <w:trHeight w:val="250"/>
        </w:trPr>
        <w:tc>
          <w:tcPr>
            <w:tcW w:w="55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800ADB" w14:textId="77777777" w:rsidR="00ED0E85" w:rsidRPr="00D9246F" w:rsidRDefault="00ED0E85" w:rsidP="00ED0E85">
            <w:pPr>
              <w:pStyle w:val="TableDataEntries"/>
              <w:jc w:val="left"/>
            </w:pPr>
            <w:r>
              <w:t xml:space="preserve">   </w:t>
            </w:r>
            <w:r w:rsidRPr="00D9246F">
              <w:t>GHG emissions</w:t>
            </w:r>
          </w:p>
        </w:tc>
        <w:tc>
          <w:tcPr>
            <w:tcW w:w="23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E2D5D5B" w14:textId="77777777" w:rsidR="00ED0E85" w:rsidRPr="008577EA" w:rsidRDefault="00ED0E85" w:rsidP="00ED0E85">
            <w:pPr>
              <w:pStyle w:val="TableDataEntries"/>
            </w:pPr>
            <w:r w:rsidRPr="008577EA">
              <w:t xml:space="preserve"> 20.6</w:t>
            </w:r>
          </w:p>
        </w:tc>
      </w:tr>
      <w:tr w:rsidR="00ED0E85" w:rsidRPr="00D9246F" w14:paraId="2107BA92" w14:textId="77777777" w:rsidTr="00ED0E85">
        <w:trPr>
          <w:trHeight w:val="250"/>
        </w:trPr>
        <w:tc>
          <w:tcPr>
            <w:tcW w:w="5578"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3ABAAC" w14:textId="77777777" w:rsidR="00ED0E85" w:rsidRPr="00D9246F" w:rsidRDefault="00ED0E85" w:rsidP="00ED0E85">
            <w:pPr>
              <w:pStyle w:val="TableDataEntries"/>
              <w:jc w:val="left"/>
            </w:pPr>
            <w:r>
              <w:t xml:space="preserve">   </w:t>
            </w:r>
            <w:r w:rsidRPr="00D9246F">
              <w:t>Government costs</w:t>
            </w:r>
          </w:p>
        </w:tc>
        <w:tc>
          <w:tcPr>
            <w:tcW w:w="235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31829C9" w14:textId="77777777" w:rsidR="00ED0E85" w:rsidRPr="008577EA" w:rsidRDefault="00ED0E85" w:rsidP="00ED0E85">
            <w:pPr>
              <w:pStyle w:val="TableDataEntries"/>
            </w:pPr>
            <w:r w:rsidRPr="008577EA">
              <w:t>- 0.5</w:t>
            </w:r>
          </w:p>
        </w:tc>
      </w:tr>
      <w:tr w:rsidR="00ED0E85" w:rsidRPr="00E15BBE" w14:paraId="3B94E165" w14:textId="77777777" w:rsidTr="00ED0E85">
        <w:trPr>
          <w:trHeight w:val="250"/>
        </w:trPr>
        <w:tc>
          <w:tcPr>
            <w:tcW w:w="5578" w:type="dxa"/>
            <w:tcBorders>
              <w:top w:val="single" w:sz="8" w:space="0" w:color="FFFFFF" w:themeColor="background1"/>
              <w:bottom w:val="single" w:sz="6" w:space="0" w:color="6F6652"/>
            </w:tcBorders>
            <w:shd w:val="clear" w:color="auto" w:fill="C2DADB" w:themeFill="accent6" w:themeFillTint="99"/>
            <w:noWrap/>
            <w:tcMar>
              <w:left w:w="57" w:type="dxa"/>
              <w:right w:w="57" w:type="dxa"/>
            </w:tcMar>
            <w:hideMark/>
          </w:tcPr>
          <w:p w14:paraId="408D2F82" w14:textId="77777777" w:rsidR="00ED0E85" w:rsidRPr="00E15BBE" w:rsidRDefault="00ED0E85" w:rsidP="00ED0E85">
            <w:pPr>
              <w:pStyle w:val="TableDataEntries"/>
              <w:jc w:val="left"/>
              <w:rPr>
                <w:rFonts w:ascii="Franklin Gothic Demi" w:hAnsi="Franklin Gothic Demi"/>
              </w:rPr>
            </w:pPr>
            <w:r w:rsidRPr="00E15BBE">
              <w:rPr>
                <w:rFonts w:ascii="Franklin Gothic Demi" w:hAnsi="Franklin Gothic Demi"/>
              </w:rPr>
              <w:t>Total net benefit/cost</w:t>
            </w:r>
          </w:p>
        </w:tc>
        <w:tc>
          <w:tcPr>
            <w:tcW w:w="2359"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0364581C" w14:textId="77777777" w:rsidR="00ED0E85" w:rsidRPr="00E15BBE" w:rsidRDefault="00ED0E85" w:rsidP="00ED0E85">
            <w:pPr>
              <w:pStyle w:val="TableDataEntries"/>
              <w:rPr>
                <w:rFonts w:ascii="Franklin Gothic Demi" w:hAnsi="Franklin Gothic Demi"/>
              </w:rPr>
            </w:pPr>
            <w:r w:rsidRPr="00E15BBE">
              <w:rPr>
                <w:rFonts w:ascii="Franklin Gothic Demi" w:hAnsi="Franklin Gothic Demi"/>
              </w:rPr>
              <w:t xml:space="preserve"> 26.4</w:t>
            </w:r>
          </w:p>
        </w:tc>
      </w:tr>
    </w:tbl>
    <w:p w14:paraId="5997B482" w14:textId="77777777" w:rsidR="00ED0E85" w:rsidRDefault="00ED0E85" w:rsidP="00ED0E85">
      <w:pPr>
        <w:pStyle w:val="Note"/>
      </w:pPr>
      <w:r w:rsidRPr="007D1B4F">
        <w:rPr>
          <w:i/>
        </w:rPr>
        <w:t>Note:</w:t>
      </w:r>
      <w:r w:rsidRPr="00E879B8">
        <w:t xml:space="preserve"> </w:t>
      </w:r>
      <w:r>
        <w:t>Using a 7 per cent discount rate.</w:t>
      </w:r>
    </w:p>
    <w:p w14:paraId="2BF4D0BF" w14:textId="77777777" w:rsidR="00ED0E85" w:rsidRDefault="00ED0E85" w:rsidP="00ED0E85">
      <w:pPr>
        <w:pStyle w:val="Source"/>
      </w:pPr>
      <w:r>
        <w:rPr>
          <w:i/>
        </w:rPr>
        <w:t>Source</w:t>
      </w:r>
      <w:r w:rsidRPr="00E4232C">
        <w:rPr>
          <w:i/>
        </w:rPr>
        <w:t>:</w:t>
      </w:r>
      <w:r>
        <w:t xml:space="preserve"> The CIE.</w:t>
      </w:r>
    </w:p>
    <w:p w14:paraId="69F8E9FA" w14:textId="77777777" w:rsidR="00ED0E85" w:rsidRDefault="00ED0E85" w:rsidP="00ED0E85">
      <w:pPr>
        <w:pStyle w:val="BodyText"/>
      </w:pPr>
      <w:r>
        <w:t>The cost benefit analysis results are built up in a similar was as for offices. Key inputs and assumptions are:</w:t>
      </w:r>
    </w:p>
    <w:p w14:paraId="0D351DAD" w14:textId="77777777" w:rsidR="00ED0E85" w:rsidRDefault="00ED0E85" w:rsidP="00ED0E85">
      <w:pPr>
        <w:pStyle w:val="ListBullet"/>
      </w:pPr>
      <w:r>
        <w:t>the number of hotels and hotel rooms covered by the scheme — this is based on ABS data for hotels and resorts. We have then used NABERS 2007 sample data to apportion this to different size thresholds. This may well overstate the share of hotels that have higher number of rooms. It also overstates the number of buildings impacted, as resorts cannot be rated using the NABERS energy tool</w:t>
      </w:r>
    </w:p>
    <w:p w14:paraId="49C02102" w14:textId="77777777" w:rsidR="00ED0E85" w:rsidRDefault="00ED0E85" w:rsidP="00ED0E85">
      <w:pPr>
        <w:pStyle w:val="ListBullet"/>
      </w:pPr>
      <w:r>
        <w:t>the current energy intensity of hotels with different NABERS energy ratings. This is based off data provided by NABERS</w:t>
      </w:r>
    </w:p>
    <w:p w14:paraId="6ABF152D" w14:textId="77777777" w:rsidR="00ED0E85" w:rsidRDefault="00ED0E85" w:rsidP="00ED0E85">
      <w:pPr>
        <w:pStyle w:val="ListBullet"/>
      </w:pPr>
      <w:r>
        <w:t>the impact of the scheme on hotel energy efficiency. This is assumed to be half that attributed to the CBD Program for offices. The driver of this is that consultations indicated hotels would have to respond to achieve higher energy efficiency performance to address the risk that this would be required by government and corporate clients. However, the share of the market for hotels for these customers is substantially smaller than for offices.</w:t>
      </w:r>
    </w:p>
    <w:p w14:paraId="3F9C5C2E" w14:textId="77777777" w:rsidR="00ED0E85" w:rsidRDefault="00ED0E85" w:rsidP="00ED0E85">
      <w:pPr>
        <w:pStyle w:val="ListBullet2"/>
      </w:pPr>
      <w:r>
        <w:t>the net benefit is $67 million if a similar impact is achieved as has been achieved by offices</w:t>
      </w:r>
    </w:p>
    <w:p w14:paraId="6C891BB6" w14:textId="77777777" w:rsidR="00ED0E85" w:rsidRDefault="00ED0E85" w:rsidP="00ED0E85">
      <w:pPr>
        <w:pStyle w:val="ListBullet"/>
      </w:pPr>
      <w:r>
        <w:t>the cost of upgrades — this is based off costs per MJ avoided for offices, for different starting levels of performance. The costs get higher as hotels become more efficient over time</w:t>
      </w:r>
    </w:p>
    <w:p w14:paraId="62F90E80" w14:textId="77777777" w:rsidR="00ED0E85" w:rsidRDefault="00ED0E85" w:rsidP="00ED0E85">
      <w:pPr>
        <w:pStyle w:val="ListBullet"/>
      </w:pPr>
      <w:r>
        <w:t>the initial performance of hotels — we have assumed that the full set of hotels would have a similar performance to those hotels already rated. If hotels have a higher performance, then the costs of additional upgrades are larger and the impacts of mandatory disclosure are smaller, and vice versa</w:t>
      </w:r>
    </w:p>
    <w:p w14:paraId="07AE283C" w14:textId="77777777" w:rsidR="00ED0E85" w:rsidRDefault="00ED0E85" w:rsidP="00ED0E85">
      <w:pPr>
        <w:pStyle w:val="ListBullet"/>
      </w:pPr>
      <w:r>
        <w:t>energy prices and the avoided GHG costs are consistent with assumptions made for offices</w:t>
      </w:r>
    </w:p>
    <w:p w14:paraId="3F4A3035" w14:textId="77777777" w:rsidR="00ED0E85" w:rsidRDefault="00ED0E85" w:rsidP="00ED0E85">
      <w:pPr>
        <w:pStyle w:val="ListBullet"/>
      </w:pPr>
      <w:r>
        <w:t>costs for obtaining a NABERS energy rating are based on the survey of assessors. We have allowed for internal hotel costs of 50 per cent of assessor’s costs, which is higher than for offices. This reflects consultations indicating a higher level of difficult for initial hotel ratings in particular.</w:t>
      </w:r>
    </w:p>
    <w:p w14:paraId="1C2833C1" w14:textId="77777777" w:rsidR="00ED0E85" w:rsidRDefault="00ED0E85" w:rsidP="00ED0E85">
      <w:pPr>
        <w:pStyle w:val="BodyText"/>
      </w:pPr>
      <w:r>
        <w:t>Particular details of our estimates that we would appreciate industry feedback on are set out below.</w:t>
      </w:r>
    </w:p>
    <w:p w14:paraId="4D562610" w14:textId="77777777" w:rsidR="00ED0E85" w:rsidRPr="008577EA" w:rsidRDefault="00ED0E85" w:rsidP="00ED0E85">
      <w:pPr>
        <w:pStyle w:val="Heading3"/>
        <w:numPr>
          <w:ilvl w:val="2"/>
          <w:numId w:val="5"/>
        </w:numPr>
      </w:pPr>
      <w:r w:rsidRPr="008577EA">
        <w:t>Costs of improving energy efficiency</w:t>
      </w:r>
    </w:p>
    <w:p w14:paraId="7CFF216E" w14:textId="57442F92" w:rsidR="00ED0E85" w:rsidRDefault="00ED0E85" w:rsidP="00ED0E85">
      <w:pPr>
        <w:pStyle w:val="BodyText"/>
      </w:pPr>
      <w:r>
        <w:t>The costs that we have estimated for energy efficiency improvements and that form part of the cost benefit analysis are set out in table </w:t>
      </w:r>
      <w:r>
        <w:rPr>
          <w:noProof/>
        </w:rPr>
        <w:fldChar w:fldCharType="begin"/>
      </w:r>
      <w:r>
        <w:rPr>
          <w:noProof/>
        </w:rPr>
        <w:instrText xml:space="preserve"> REF _Caption4757 </w:instrText>
      </w:r>
      <w:r>
        <w:rPr>
          <w:noProof/>
        </w:rPr>
        <w:fldChar w:fldCharType="separate"/>
      </w:r>
      <w:r w:rsidR="00AD3561">
        <w:rPr>
          <w:noProof/>
        </w:rPr>
        <w:t>8</w:t>
      </w:r>
      <w:r w:rsidR="00AD3561" w:rsidRPr="00695C93">
        <w:rPr>
          <w:noProof/>
        </w:rPr>
        <w:t>.</w:t>
      </w:r>
      <w:r w:rsidR="00AD3561">
        <w:rPr>
          <w:noProof/>
        </w:rPr>
        <w:t>18</w:t>
      </w:r>
      <w:r>
        <w:rPr>
          <w:noProof/>
        </w:rPr>
        <w:fldChar w:fldCharType="end"/>
      </w:r>
      <w:r>
        <w:t>. The costs are higher for higher rated hotels, as they have already adopted the easier and less costly improvements. Costs get higher as each hotel improves its performance over time.</w:t>
      </w:r>
    </w:p>
    <w:p w14:paraId="62B26F32" w14:textId="7576AF67"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w:instrText>
      </w:r>
      <w:r w:rsidRPr="00695C93">
        <w:fldChar w:fldCharType="separate"/>
      </w:r>
      <w:r w:rsidR="00AD3561">
        <w:rPr>
          <w:noProof/>
        </w:rPr>
        <w:instrText>8</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8</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18</w:instrText>
      </w:r>
      <w:r w:rsidRPr="00695C93">
        <w:fldChar w:fldCharType="end"/>
      </w:r>
      <w:r w:rsidRPr="00695C93">
        <w:instrText xml:space="preserve">" "" </w:instrText>
      </w:r>
      <w:r w:rsidRPr="00695C93">
        <w:fldChar w:fldCharType="separate"/>
      </w:r>
      <w:bookmarkStart w:id="5916" w:name="_Caption3037"/>
      <w:bookmarkStart w:id="5917" w:name="_Caption7482"/>
      <w:bookmarkStart w:id="5918" w:name="_Caption7501"/>
      <w:bookmarkStart w:id="5919" w:name="_Caption1662"/>
      <w:bookmarkStart w:id="5920" w:name="_Caption5583"/>
      <w:bookmarkStart w:id="5921" w:name="_Caption1853"/>
      <w:bookmarkStart w:id="5922" w:name="_Caption1360"/>
      <w:bookmarkStart w:id="5923" w:name="_Caption6157"/>
      <w:bookmarkStart w:id="5924" w:name="_Caption2828"/>
      <w:bookmarkStart w:id="5925" w:name="_Caption3485"/>
      <w:bookmarkStart w:id="5926" w:name="_Caption6439"/>
      <w:bookmarkStart w:id="5927" w:name="_Caption2902"/>
      <w:bookmarkStart w:id="5928" w:name="_Caption2045"/>
      <w:bookmarkStart w:id="5929" w:name="_Caption2201"/>
      <w:bookmarkStart w:id="5930" w:name="_Caption7804"/>
      <w:bookmarkStart w:id="5931" w:name="_Caption3734"/>
      <w:bookmarkStart w:id="5932" w:name="_Caption6945"/>
      <w:bookmarkStart w:id="5933" w:name="_Caption8248"/>
      <w:bookmarkStart w:id="5934" w:name="_Caption4257"/>
      <w:bookmarkStart w:id="5935" w:name="_Caption7576"/>
      <w:bookmarkStart w:id="5936" w:name="_Caption7627"/>
      <w:bookmarkStart w:id="5937" w:name="_Caption6683"/>
      <w:bookmarkStart w:id="5938" w:name="_Caption1965"/>
      <w:bookmarkStart w:id="5939" w:name="_Caption3943"/>
      <w:bookmarkStart w:id="5940" w:name="_Caption6309"/>
      <w:bookmarkStart w:id="5941" w:name="_Caption2719"/>
      <w:bookmarkStart w:id="5942" w:name="_Caption3408"/>
      <w:bookmarkStart w:id="5943" w:name="_Caption2582"/>
      <w:bookmarkStart w:id="5944" w:name="_Caption6906"/>
      <w:bookmarkStart w:id="5945" w:name="_Caption5162"/>
      <w:bookmarkStart w:id="5946" w:name="_Caption3453"/>
      <w:bookmarkStart w:id="5947" w:name="_Caption2921"/>
      <w:bookmarkStart w:id="5948" w:name="_Caption2488"/>
      <w:bookmarkStart w:id="5949" w:name="_Caption3211"/>
      <w:bookmarkStart w:id="5950" w:name="_Caption7521"/>
      <w:bookmarkStart w:id="5951" w:name="_Caption9583"/>
      <w:bookmarkStart w:id="5952" w:name="_Caption4904"/>
      <w:bookmarkStart w:id="5953" w:name="_Caption4757"/>
      <w:bookmarkStart w:id="5954" w:name="_Caption1572"/>
      <w:bookmarkStart w:id="5955" w:name="_Caption5066"/>
      <w:bookmarkStart w:id="5956" w:name="_Caption4675"/>
      <w:bookmarkStart w:id="5957" w:name="_Caption1734"/>
      <w:bookmarkStart w:id="5958" w:name="_Caption5088"/>
      <w:bookmarkStart w:id="5959" w:name="_Caption9340"/>
      <w:bookmarkStart w:id="5960" w:name="_Caption0179"/>
      <w:bookmarkStart w:id="5961" w:name="_Caption9226"/>
      <w:bookmarkStart w:id="5962" w:name="_Toc19275642"/>
      <w:bookmarkStart w:id="5963" w:name="_Toc19276252"/>
      <w:bookmarkStart w:id="5964" w:name="_Toc19280251"/>
      <w:r w:rsidR="00C353B5">
        <w:rPr>
          <w:noProof/>
        </w:rPr>
        <w:t>8</w:t>
      </w:r>
      <w:r w:rsidR="00C353B5" w:rsidRPr="00695C93">
        <w:rPr>
          <w:noProof/>
        </w:rPr>
        <w:t>.</w:t>
      </w:r>
      <w:r w:rsidR="00C353B5">
        <w:rPr>
          <w:noProof/>
        </w:rPr>
        <w:t>18</w:t>
      </w:r>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r w:rsidRPr="00695C93">
        <w:fldChar w:fldCharType="end"/>
      </w:r>
      <w:r w:rsidRPr="00695C93">
        <w:tab/>
      </w:r>
      <w:r>
        <w:t>Costs of improving energy efficiency for hotels</w:t>
      </w:r>
      <w:bookmarkEnd w:id="5962"/>
      <w:bookmarkEnd w:id="5963"/>
      <w:bookmarkEnd w:id="5964"/>
    </w:p>
    <w:tbl>
      <w:tblPr>
        <w:tblW w:w="7937" w:type="dxa"/>
        <w:tblLook w:val="04A0" w:firstRow="1" w:lastRow="0" w:firstColumn="1" w:lastColumn="0" w:noHBand="0" w:noVBand="1"/>
      </w:tblPr>
      <w:tblGrid>
        <w:gridCol w:w="5061"/>
        <w:gridCol w:w="2876"/>
      </w:tblGrid>
      <w:tr w:rsidR="00ED0E85" w:rsidRPr="00257414" w14:paraId="2DD79263" w14:textId="77777777" w:rsidTr="00ED0E85">
        <w:trPr>
          <w:trHeight w:val="250"/>
          <w:tblHeader/>
        </w:trPr>
        <w:tc>
          <w:tcPr>
            <w:tcW w:w="5061" w:type="dxa"/>
            <w:shd w:val="clear" w:color="auto" w:fill="6F6652"/>
            <w:noWrap/>
            <w:tcMar>
              <w:left w:w="57" w:type="dxa"/>
              <w:right w:w="57" w:type="dxa"/>
            </w:tcMar>
            <w:hideMark/>
          </w:tcPr>
          <w:p w14:paraId="7260C347" w14:textId="77777777" w:rsidR="00ED0E85" w:rsidRPr="00257414" w:rsidRDefault="00ED0E85" w:rsidP="00ED0E85">
            <w:pPr>
              <w:pStyle w:val="TableDataColumnHeading"/>
              <w:jc w:val="left"/>
            </w:pPr>
            <w:r>
              <w:t>NABERS energy rating</w:t>
            </w:r>
          </w:p>
        </w:tc>
        <w:tc>
          <w:tcPr>
            <w:tcW w:w="2876" w:type="dxa"/>
            <w:shd w:val="clear" w:color="auto" w:fill="6F6652"/>
            <w:noWrap/>
            <w:tcMar>
              <w:left w:w="57" w:type="dxa"/>
              <w:right w:w="57" w:type="dxa"/>
            </w:tcMar>
            <w:hideMark/>
          </w:tcPr>
          <w:p w14:paraId="05306D23" w14:textId="77777777" w:rsidR="00ED0E85" w:rsidRPr="00257414" w:rsidRDefault="00ED0E85" w:rsidP="00ED0E85">
            <w:pPr>
              <w:pStyle w:val="TableDataColumnHeading"/>
            </w:pPr>
            <w:r>
              <w:t>One-off cost of energy efficiency improvements</w:t>
            </w:r>
          </w:p>
        </w:tc>
      </w:tr>
      <w:tr w:rsidR="00ED0E85" w:rsidRPr="00257414" w14:paraId="62224F05" w14:textId="77777777" w:rsidTr="00ED0E85">
        <w:trPr>
          <w:trHeight w:val="250"/>
          <w:tblHeader/>
        </w:trPr>
        <w:tc>
          <w:tcPr>
            <w:tcW w:w="5061" w:type="dxa"/>
            <w:tcBorders>
              <w:bottom w:val="single" w:sz="8" w:space="0" w:color="FFFFFF" w:themeColor="background1"/>
            </w:tcBorders>
            <w:shd w:val="clear" w:color="auto" w:fill="auto"/>
            <w:noWrap/>
            <w:tcMar>
              <w:left w:w="57" w:type="dxa"/>
              <w:right w:w="57" w:type="dxa"/>
            </w:tcMar>
          </w:tcPr>
          <w:p w14:paraId="42179C0F" w14:textId="77777777" w:rsidR="00ED0E85" w:rsidRPr="00257414" w:rsidRDefault="00ED0E85" w:rsidP="00ED0E85">
            <w:pPr>
              <w:pStyle w:val="TableUnit"/>
              <w:jc w:val="left"/>
            </w:pPr>
          </w:p>
        </w:tc>
        <w:tc>
          <w:tcPr>
            <w:tcW w:w="2876" w:type="dxa"/>
            <w:tcBorders>
              <w:bottom w:val="single" w:sz="8" w:space="0" w:color="FFFFFF" w:themeColor="background1"/>
            </w:tcBorders>
            <w:shd w:val="clear" w:color="auto" w:fill="auto"/>
            <w:noWrap/>
            <w:tcMar>
              <w:left w:w="57" w:type="dxa"/>
              <w:right w:w="57" w:type="dxa"/>
            </w:tcMar>
          </w:tcPr>
          <w:p w14:paraId="1ECAB8DA" w14:textId="77777777" w:rsidR="00ED0E85" w:rsidRPr="00257414" w:rsidRDefault="00ED0E85" w:rsidP="00ED0E85">
            <w:pPr>
              <w:pStyle w:val="TableUnit"/>
            </w:pPr>
            <w:r>
              <w:t>$/MJ</w:t>
            </w:r>
          </w:p>
        </w:tc>
      </w:tr>
      <w:tr w:rsidR="00ED0E85" w:rsidRPr="00257414" w14:paraId="4B347EDC" w14:textId="77777777" w:rsidTr="00ED0E85">
        <w:trPr>
          <w:trHeight w:val="250"/>
        </w:trPr>
        <w:tc>
          <w:tcPr>
            <w:tcW w:w="50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3E6C20" w14:textId="77777777" w:rsidR="00ED0E85" w:rsidRPr="00257414" w:rsidRDefault="00ED0E85" w:rsidP="00ED0E85">
            <w:pPr>
              <w:pStyle w:val="TableDataEntries"/>
              <w:jc w:val="left"/>
            </w:pPr>
            <w:r w:rsidRPr="00257414">
              <w:t>0.0</w:t>
            </w:r>
          </w:p>
        </w:tc>
        <w:tc>
          <w:tcPr>
            <w:tcW w:w="28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C6E463" w14:textId="77777777" w:rsidR="00ED0E85" w:rsidRPr="00257414" w:rsidRDefault="00ED0E85" w:rsidP="00ED0E85">
            <w:pPr>
              <w:pStyle w:val="TableDataEntries"/>
            </w:pPr>
            <w:r w:rsidRPr="00257414">
              <w:t>0.05</w:t>
            </w:r>
          </w:p>
        </w:tc>
      </w:tr>
      <w:tr w:rsidR="00ED0E85" w:rsidRPr="00257414" w14:paraId="464A113E" w14:textId="77777777" w:rsidTr="00ED0E85">
        <w:trPr>
          <w:trHeight w:val="250"/>
        </w:trPr>
        <w:tc>
          <w:tcPr>
            <w:tcW w:w="50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F3900B" w14:textId="77777777" w:rsidR="00ED0E85" w:rsidRPr="00257414" w:rsidRDefault="00ED0E85" w:rsidP="00ED0E85">
            <w:pPr>
              <w:pStyle w:val="TableDataEntries"/>
              <w:jc w:val="left"/>
            </w:pPr>
            <w:r w:rsidRPr="00257414">
              <w:t>0.5</w:t>
            </w:r>
          </w:p>
        </w:tc>
        <w:tc>
          <w:tcPr>
            <w:tcW w:w="28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E9D2D6" w14:textId="77777777" w:rsidR="00ED0E85" w:rsidRPr="00257414" w:rsidRDefault="00ED0E85" w:rsidP="00ED0E85">
            <w:pPr>
              <w:pStyle w:val="TableDataEntries"/>
            </w:pPr>
            <w:r w:rsidRPr="00257414">
              <w:t>0.06</w:t>
            </w:r>
          </w:p>
        </w:tc>
      </w:tr>
      <w:tr w:rsidR="00ED0E85" w:rsidRPr="00257414" w14:paraId="15B7BD2C" w14:textId="77777777" w:rsidTr="00ED0E85">
        <w:trPr>
          <w:trHeight w:val="250"/>
        </w:trPr>
        <w:tc>
          <w:tcPr>
            <w:tcW w:w="50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844587" w14:textId="77777777" w:rsidR="00ED0E85" w:rsidRPr="00257414" w:rsidRDefault="00ED0E85" w:rsidP="00ED0E85">
            <w:pPr>
              <w:pStyle w:val="TableDataEntries"/>
              <w:jc w:val="left"/>
            </w:pPr>
            <w:r w:rsidRPr="00257414">
              <w:t>1.0</w:t>
            </w:r>
          </w:p>
        </w:tc>
        <w:tc>
          <w:tcPr>
            <w:tcW w:w="28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6C02E4" w14:textId="77777777" w:rsidR="00ED0E85" w:rsidRPr="00257414" w:rsidRDefault="00ED0E85" w:rsidP="00ED0E85">
            <w:pPr>
              <w:pStyle w:val="TableDataEntries"/>
            </w:pPr>
            <w:r w:rsidRPr="00257414">
              <w:t>0.06</w:t>
            </w:r>
          </w:p>
        </w:tc>
      </w:tr>
      <w:tr w:rsidR="00ED0E85" w:rsidRPr="00257414" w14:paraId="38B448E3" w14:textId="77777777" w:rsidTr="00ED0E85">
        <w:trPr>
          <w:trHeight w:val="250"/>
        </w:trPr>
        <w:tc>
          <w:tcPr>
            <w:tcW w:w="50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E0FA61" w14:textId="77777777" w:rsidR="00ED0E85" w:rsidRPr="00257414" w:rsidRDefault="00ED0E85" w:rsidP="00ED0E85">
            <w:pPr>
              <w:pStyle w:val="TableDataEntries"/>
              <w:jc w:val="left"/>
            </w:pPr>
            <w:r w:rsidRPr="00257414">
              <w:t>1.5</w:t>
            </w:r>
          </w:p>
        </w:tc>
        <w:tc>
          <w:tcPr>
            <w:tcW w:w="28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F23A53" w14:textId="77777777" w:rsidR="00ED0E85" w:rsidRPr="00257414" w:rsidRDefault="00ED0E85" w:rsidP="00ED0E85">
            <w:pPr>
              <w:pStyle w:val="TableDataEntries"/>
            </w:pPr>
            <w:r w:rsidRPr="00257414">
              <w:t>0.07</w:t>
            </w:r>
          </w:p>
        </w:tc>
      </w:tr>
      <w:tr w:rsidR="00ED0E85" w:rsidRPr="00257414" w14:paraId="4AE79401" w14:textId="77777777" w:rsidTr="00ED0E85">
        <w:trPr>
          <w:trHeight w:val="250"/>
        </w:trPr>
        <w:tc>
          <w:tcPr>
            <w:tcW w:w="50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75CF1EC" w14:textId="77777777" w:rsidR="00ED0E85" w:rsidRPr="00257414" w:rsidRDefault="00ED0E85" w:rsidP="00ED0E85">
            <w:pPr>
              <w:pStyle w:val="TableDataEntries"/>
              <w:jc w:val="left"/>
            </w:pPr>
            <w:r w:rsidRPr="00257414">
              <w:t>2.0</w:t>
            </w:r>
          </w:p>
        </w:tc>
        <w:tc>
          <w:tcPr>
            <w:tcW w:w="28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3B9D32F" w14:textId="77777777" w:rsidR="00ED0E85" w:rsidRPr="00257414" w:rsidRDefault="00ED0E85" w:rsidP="00ED0E85">
            <w:pPr>
              <w:pStyle w:val="TableDataEntries"/>
            </w:pPr>
            <w:r w:rsidRPr="00257414">
              <w:t>0.07</w:t>
            </w:r>
          </w:p>
        </w:tc>
      </w:tr>
      <w:tr w:rsidR="00ED0E85" w:rsidRPr="00257414" w14:paraId="60119D11" w14:textId="77777777" w:rsidTr="00ED0E85">
        <w:trPr>
          <w:trHeight w:val="250"/>
        </w:trPr>
        <w:tc>
          <w:tcPr>
            <w:tcW w:w="50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25D3B7" w14:textId="77777777" w:rsidR="00ED0E85" w:rsidRPr="00257414" w:rsidRDefault="00ED0E85" w:rsidP="00ED0E85">
            <w:pPr>
              <w:pStyle w:val="TableDataEntries"/>
              <w:jc w:val="left"/>
            </w:pPr>
            <w:r w:rsidRPr="00257414">
              <w:t>2.5</w:t>
            </w:r>
          </w:p>
        </w:tc>
        <w:tc>
          <w:tcPr>
            <w:tcW w:w="28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37D5CC" w14:textId="77777777" w:rsidR="00ED0E85" w:rsidRPr="00257414" w:rsidRDefault="00ED0E85" w:rsidP="00ED0E85">
            <w:pPr>
              <w:pStyle w:val="TableDataEntries"/>
            </w:pPr>
            <w:r w:rsidRPr="00257414">
              <w:t>0.08</w:t>
            </w:r>
          </w:p>
        </w:tc>
      </w:tr>
      <w:tr w:rsidR="00ED0E85" w:rsidRPr="00257414" w14:paraId="3370E2C8" w14:textId="77777777" w:rsidTr="00ED0E85">
        <w:trPr>
          <w:trHeight w:val="250"/>
        </w:trPr>
        <w:tc>
          <w:tcPr>
            <w:tcW w:w="50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C38A97" w14:textId="77777777" w:rsidR="00ED0E85" w:rsidRPr="00257414" w:rsidRDefault="00ED0E85" w:rsidP="00ED0E85">
            <w:pPr>
              <w:pStyle w:val="TableDataEntries"/>
              <w:jc w:val="left"/>
            </w:pPr>
            <w:r w:rsidRPr="00257414">
              <w:t>3.0</w:t>
            </w:r>
          </w:p>
        </w:tc>
        <w:tc>
          <w:tcPr>
            <w:tcW w:w="28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A88E88" w14:textId="77777777" w:rsidR="00ED0E85" w:rsidRPr="00257414" w:rsidRDefault="00ED0E85" w:rsidP="00ED0E85">
            <w:pPr>
              <w:pStyle w:val="TableDataEntries"/>
            </w:pPr>
            <w:r w:rsidRPr="00257414">
              <w:t>0.09</w:t>
            </w:r>
          </w:p>
        </w:tc>
      </w:tr>
      <w:tr w:rsidR="00ED0E85" w:rsidRPr="00257414" w14:paraId="6988D947" w14:textId="77777777" w:rsidTr="00ED0E85">
        <w:trPr>
          <w:trHeight w:val="250"/>
        </w:trPr>
        <w:tc>
          <w:tcPr>
            <w:tcW w:w="50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B8D14D" w14:textId="77777777" w:rsidR="00ED0E85" w:rsidRPr="00257414" w:rsidRDefault="00ED0E85" w:rsidP="00ED0E85">
            <w:pPr>
              <w:pStyle w:val="TableDataEntries"/>
              <w:jc w:val="left"/>
            </w:pPr>
            <w:r w:rsidRPr="00257414">
              <w:t>3.5</w:t>
            </w:r>
          </w:p>
        </w:tc>
        <w:tc>
          <w:tcPr>
            <w:tcW w:w="28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4224C1" w14:textId="77777777" w:rsidR="00ED0E85" w:rsidRPr="00257414" w:rsidRDefault="00ED0E85" w:rsidP="00ED0E85">
            <w:pPr>
              <w:pStyle w:val="TableDataEntries"/>
            </w:pPr>
            <w:r w:rsidRPr="00257414">
              <w:t>0.11</w:t>
            </w:r>
          </w:p>
        </w:tc>
      </w:tr>
      <w:tr w:rsidR="00ED0E85" w:rsidRPr="00257414" w14:paraId="468D4B8A" w14:textId="77777777" w:rsidTr="00ED0E85">
        <w:trPr>
          <w:trHeight w:val="250"/>
        </w:trPr>
        <w:tc>
          <w:tcPr>
            <w:tcW w:w="50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04587A" w14:textId="77777777" w:rsidR="00ED0E85" w:rsidRPr="00257414" w:rsidRDefault="00ED0E85" w:rsidP="00ED0E85">
            <w:pPr>
              <w:pStyle w:val="TableDataEntries"/>
              <w:jc w:val="left"/>
            </w:pPr>
            <w:r w:rsidRPr="00257414">
              <w:t>4.0</w:t>
            </w:r>
          </w:p>
        </w:tc>
        <w:tc>
          <w:tcPr>
            <w:tcW w:w="28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C31870" w14:textId="77777777" w:rsidR="00ED0E85" w:rsidRPr="00257414" w:rsidRDefault="00ED0E85" w:rsidP="00ED0E85">
            <w:pPr>
              <w:pStyle w:val="TableDataEntries"/>
            </w:pPr>
            <w:r w:rsidRPr="00257414">
              <w:t>0.13</w:t>
            </w:r>
          </w:p>
        </w:tc>
      </w:tr>
      <w:tr w:rsidR="00ED0E85" w:rsidRPr="00257414" w14:paraId="034FCFB0" w14:textId="77777777" w:rsidTr="00ED0E85">
        <w:trPr>
          <w:trHeight w:val="250"/>
        </w:trPr>
        <w:tc>
          <w:tcPr>
            <w:tcW w:w="50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597D895" w14:textId="77777777" w:rsidR="00ED0E85" w:rsidRPr="00257414" w:rsidRDefault="00ED0E85" w:rsidP="00ED0E85">
            <w:pPr>
              <w:pStyle w:val="TableDataEntries"/>
              <w:jc w:val="left"/>
            </w:pPr>
            <w:r w:rsidRPr="00257414">
              <w:t>4.5</w:t>
            </w:r>
          </w:p>
        </w:tc>
        <w:tc>
          <w:tcPr>
            <w:tcW w:w="28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5C91BD" w14:textId="77777777" w:rsidR="00ED0E85" w:rsidRPr="00257414" w:rsidRDefault="00ED0E85" w:rsidP="00ED0E85">
            <w:pPr>
              <w:pStyle w:val="TableDataEntries"/>
            </w:pPr>
            <w:r w:rsidRPr="00257414">
              <w:t>0.15</w:t>
            </w:r>
          </w:p>
        </w:tc>
      </w:tr>
      <w:tr w:rsidR="00ED0E85" w:rsidRPr="00257414" w14:paraId="5D1B878A" w14:textId="77777777" w:rsidTr="00ED0E85">
        <w:trPr>
          <w:trHeight w:val="250"/>
        </w:trPr>
        <w:tc>
          <w:tcPr>
            <w:tcW w:w="50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DF461E" w14:textId="77777777" w:rsidR="00ED0E85" w:rsidRPr="00257414" w:rsidRDefault="00ED0E85" w:rsidP="00ED0E85">
            <w:pPr>
              <w:pStyle w:val="TableDataEntries"/>
              <w:jc w:val="left"/>
            </w:pPr>
            <w:r w:rsidRPr="00257414">
              <w:t>5.0</w:t>
            </w:r>
          </w:p>
        </w:tc>
        <w:tc>
          <w:tcPr>
            <w:tcW w:w="28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91A2B3" w14:textId="77777777" w:rsidR="00ED0E85" w:rsidRPr="00257414" w:rsidRDefault="00ED0E85" w:rsidP="00ED0E85">
            <w:pPr>
              <w:pStyle w:val="TableDataEntries"/>
            </w:pPr>
            <w:r w:rsidRPr="00257414">
              <w:t>0.19</w:t>
            </w:r>
          </w:p>
        </w:tc>
      </w:tr>
      <w:tr w:rsidR="00ED0E85" w:rsidRPr="00257414" w14:paraId="57BD1FC3" w14:textId="77777777" w:rsidTr="00ED0E85">
        <w:trPr>
          <w:trHeight w:val="250"/>
        </w:trPr>
        <w:tc>
          <w:tcPr>
            <w:tcW w:w="506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2BA329" w14:textId="77777777" w:rsidR="00ED0E85" w:rsidRPr="00257414" w:rsidRDefault="00ED0E85" w:rsidP="00ED0E85">
            <w:pPr>
              <w:pStyle w:val="TableDataEntries"/>
              <w:jc w:val="left"/>
            </w:pPr>
            <w:r w:rsidRPr="00257414">
              <w:t>5.5</w:t>
            </w:r>
          </w:p>
        </w:tc>
        <w:tc>
          <w:tcPr>
            <w:tcW w:w="287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1F1032" w14:textId="77777777" w:rsidR="00ED0E85" w:rsidRPr="00257414" w:rsidRDefault="00ED0E85" w:rsidP="00ED0E85">
            <w:pPr>
              <w:pStyle w:val="TableDataEntries"/>
            </w:pPr>
            <w:r w:rsidRPr="00257414">
              <w:t>0.26</w:t>
            </w:r>
          </w:p>
        </w:tc>
      </w:tr>
      <w:tr w:rsidR="00ED0E85" w:rsidRPr="00257414" w14:paraId="6E285550" w14:textId="77777777" w:rsidTr="00ED0E85">
        <w:trPr>
          <w:trHeight w:val="250"/>
        </w:trPr>
        <w:tc>
          <w:tcPr>
            <w:tcW w:w="506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D784E44" w14:textId="77777777" w:rsidR="00ED0E85" w:rsidRPr="00257414" w:rsidRDefault="00ED0E85" w:rsidP="00ED0E85">
            <w:pPr>
              <w:pStyle w:val="TableDataEntries"/>
              <w:jc w:val="left"/>
            </w:pPr>
            <w:r w:rsidRPr="00257414">
              <w:t>6.0</w:t>
            </w:r>
          </w:p>
        </w:tc>
        <w:tc>
          <w:tcPr>
            <w:tcW w:w="2876"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5B5F32AF" w14:textId="77777777" w:rsidR="00ED0E85" w:rsidRPr="00257414" w:rsidRDefault="00ED0E85" w:rsidP="00ED0E85">
            <w:pPr>
              <w:pStyle w:val="TableDataEntries"/>
            </w:pPr>
            <w:r w:rsidRPr="00257414">
              <w:t>0.40</w:t>
            </w:r>
          </w:p>
        </w:tc>
      </w:tr>
    </w:tbl>
    <w:p w14:paraId="1C5DD3ED" w14:textId="77777777" w:rsidR="00ED0E85" w:rsidRDefault="00ED0E85" w:rsidP="00ED0E85">
      <w:pPr>
        <w:pStyle w:val="Source"/>
      </w:pPr>
      <w:r>
        <w:rPr>
          <w:i/>
        </w:rPr>
        <w:t>Source</w:t>
      </w:r>
      <w:r w:rsidRPr="00E4232C">
        <w:rPr>
          <w:i/>
        </w:rPr>
        <w:t>:</w:t>
      </w:r>
      <w:r>
        <w:t xml:space="preserve"> The CIE.</w:t>
      </w:r>
    </w:p>
    <w:p w14:paraId="5697FA4C" w14:textId="77777777" w:rsidR="00ED0E85" w:rsidRPr="008577EA" w:rsidRDefault="00ED0E85" w:rsidP="00ED0E85">
      <w:pPr>
        <w:pStyle w:val="Heading3"/>
        <w:numPr>
          <w:ilvl w:val="2"/>
          <w:numId w:val="5"/>
        </w:numPr>
      </w:pPr>
      <w:r w:rsidRPr="008577EA">
        <w:t>Impact of mandatory disclosure on energy performance</w:t>
      </w:r>
    </w:p>
    <w:p w14:paraId="1F6A0F3A" w14:textId="5B56803D" w:rsidR="00ED0E85" w:rsidRDefault="00ED0E85" w:rsidP="00ED0E85">
      <w:pPr>
        <w:pStyle w:val="BodyText"/>
      </w:pPr>
      <w:r>
        <w:t>The estimated impacts of mandatory disclosure on hotel performance are set out in table </w:t>
      </w:r>
      <w:r w:rsidR="004550CB">
        <w:rPr>
          <w:noProof/>
        </w:rPr>
        <w:fldChar w:fldCharType="begin"/>
      </w:r>
      <w:r w:rsidR="004550CB">
        <w:rPr>
          <w:noProof/>
        </w:rPr>
        <w:instrText xml:space="preserve"> REF _Caption8310 </w:instrText>
      </w:r>
      <w:r w:rsidR="004550CB">
        <w:rPr>
          <w:noProof/>
        </w:rPr>
        <w:fldChar w:fldCharType="separate"/>
      </w:r>
      <w:r w:rsidR="00AD3561">
        <w:rPr>
          <w:noProof/>
        </w:rPr>
        <w:t>8</w:t>
      </w:r>
      <w:r w:rsidR="00AD3561" w:rsidRPr="00695C93">
        <w:rPr>
          <w:noProof/>
        </w:rPr>
        <w:t>.</w:t>
      </w:r>
      <w:r w:rsidR="00AD3561">
        <w:rPr>
          <w:noProof/>
        </w:rPr>
        <w:t>19</w:t>
      </w:r>
      <w:r w:rsidR="004550CB">
        <w:rPr>
          <w:noProof/>
        </w:rPr>
        <w:fldChar w:fldCharType="end"/>
      </w:r>
      <w:r>
        <w:t xml:space="preserve">, for different initial energy performance levels. For example, a hotel with a 2 star NABERS energy rating would have an average starting energy use of 107 015 MJ/room per year and an energy cost of $2768 per room per year. This will differ depending on factors such as climate and energy contracts. The cost benefit analysis is based on achieving a reduction of 2587 MJ/room after 3 ratings and twice this after five ratings. </w:t>
      </w:r>
    </w:p>
    <w:p w14:paraId="42D6E0D6" w14:textId="62B97EF2"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w:instrText>
      </w:r>
      <w:r w:rsidRPr="00695C93">
        <w:fldChar w:fldCharType="separate"/>
      </w:r>
      <w:r w:rsidR="00AD3561">
        <w:rPr>
          <w:noProof/>
        </w:rPr>
        <w:instrText>8</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8</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8</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19</w:instrText>
      </w:r>
      <w:r w:rsidRPr="00695C93">
        <w:fldChar w:fldCharType="end"/>
      </w:r>
      <w:r w:rsidRPr="00695C93">
        <w:instrText xml:space="preserve">" "" </w:instrText>
      </w:r>
      <w:r w:rsidRPr="00695C93">
        <w:fldChar w:fldCharType="separate"/>
      </w:r>
      <w:bookmarkStart w:id="5965" w:name="_Caption8609"/>
      <w:bookmarkStart w:id="5966" w:name="_Caption1610"/>
      <w:bookmarkStart w:id="5967" w:name="_Caption9917"/>
      <w:bookmarkStart w:id="5968" w:name="_Caption9407"/>
      <w:bookmarkStart w:id="5969" w:name="_Caption8507"/>
      <w:bookmarkStart w:id="5970" w:name="_Caption5153"/>
      <w:bookmarkStart w:id="5971" w:name="_Caption4789"/>
      <w:bookmarkStart w:id="5972" w:name="_Caption6333"/>
      <w:bookmarkStart w:id="5973" w:name="_Caption3469"/>
      <w:bookmarkStart w:id="5974" w:name="_Caption1190"/>
      <w:bookmarkStart w:id="5975" w:name="_Caption2424"/>
      <w:bookmarkStart w:id="5976" w:name="_Caption8924"/>
      <w:bookmarkStart w:id="5977" w:name="_Caption2036"/>
      <w:bookmarkStart w:id="5978" w:name="_Caption6927"/>
      <w:bookmarkStart w:id="5979" w:name="_Caption0408"/>
      <w:bookmarkStart w:id="5980" w:name="_Caption8460"/>
      <w:bookmarkStart w:id="5981" w:name="_Caption1728"/>
      <w:bookmarkStart w:id="5982" w:name="_Caption8569"/>
      <w:bookmarkStart w:id="5983" w:name="_Caption6146"/>
      <w:bookmarkStart w:id="5984" w:name="_Caption8791"/>
      <w:bookmarkStart w:id="5985" w:name="_Caption3716"/>
      <w:bookmarkStart w:id="5986" w:name="_Caption1548"/>
      <w:bookmarkStart w:id="5987" w:name="_Caption5721"/>
      <w:bookmarkStart w:id="5988" w:name="_Caption4304"/>
      <w:bookmarkStart w:id="5989" w:name="_Caption0515"/>
      <w:bookmarkStart w:id="5990" w:name="_Caption0653"/>
      <w:bookmarkStart w:id="5991" w:name="_Caption8310"/>
      <w:bookmarkStart w:id="5992" w:name="_Caption2348"/>
      <w:bookmarkStart w:id="5993" w:name="_Caption1591"/>
      <w:bookmarkStart w:id="5994" w:name="_Caption2648"/>
      <w:bookmarkStart w:id="5995" w:name="_Caption6057"/>
      <w:bookmarkStart w:id="5996" w:name="_Caption1689"/>
      <w:bookmarkStart w:id="5997" w:name="_Caption4402"/>
      <w:bookmarkStart w:id="5998" w:name="_Caption3969"/>
      <w:bookmarkStart w:id="5999" w:name="_Caption5966"/>
      <w:bookmarkStart w:id="6000" w:name="_Caption4180"/>
      <w:bookmarkStart w:id="6001" w:name="_Caption2022"/>
      <w:bookmarkStart w:id="6002" w:name="_Caption8198"/>
      <w:bookmarkStart w:id="6003" w:name="_Caption5891"/>
      <w:bookmarkStart w:id="6004" w:name="_Caption1436"/>
      <w:bookmarkStart w:id="6005" w:name="_Caption9618"/>
      <w:bookmarkStart w:id="6006" w:name="_Caption2311"/>
      <w:bookmarkStart w:id="6007" w:name="_Caption9878"/>
      <w:bookmarkStart w:id="6008" w:name="_Caption1455"/>
      <w:bookmarkStart w:id="6009" w:name="_Caption7162"/>
      <w:bookmarkStart w:id="6010" w:name="_Caption8348"/>
      <w:bookmarkStart w:id="6011" w:name="_Caption4766"/>
      <w:bookmarkStart w:id="6012" w:name="_Toc19275643"/>
      <w:bookmarkStart w:id="6013" w:name="_Toc19276253"/>
      <w:bookmarkStart w:id="6014" w:name="_Toc19280252"/>
      <w:r w:rsidR="00C353B5">
        <w:rPr>
          <w:noProof/>
        </w:rPr>
        <w:t>8</w:t>
      </w:r>
      <w:r w:rsidR="00C353B5" w:rsidRPr="00695C93">
        <w:rPr>
          <w:noProof/>
        </w:rPr>
        <w:t>.</w:t>
      </w:r>
      <w:r w:rsidR="00C353B5">
        <w:rPr>
          <w:noProof/>
        </w:rPr>
        <w:t>19</w:t>
      </w:r>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r w:rsidRPr="00695C93">
        <w:fldChar w:fldCharType="end"/>
      </w:r>
      <w:r w:rsidRPr="00695C93">
        <w:tab/>
      </w:r>
      <w:r>
        <w:t>Impacts of mandatory disclosure for hotels</w:t>
      </w:r>
      <w:bookmarkEnd w:id="6012"/>
      <w:bookmarkEnd w:id="6013"/>
      <w:bookmarkEnd w:id="6014"/>
    </w:p>
    <w:tbl>
      <w:tblPr>
        <w:tblW w:w="7938" w:type="dxa"/>
        <w:tblLook w:val="04A0" w:firstRow="1" w:lastRow="0" w:firstColumn="1" w:lastColumn="0" w:noHBand="0" w:noVBand="1"/>
      </w:tblPr>
      <w:tblGrid>
        <w:gridCol w:w="1134"/>
        <w:gridCol w:w="1134"/>
        <w:gridCol w:w="1134"/>
        <w:gridCol w:w="1134"/>
        <w:gridCol w:w="1134"/>
        <w:gridCol w:w="1134"/>
        <w:gridCol w:w="1134"/>
      </w:tblGrid>
      <w:tr w:rsidR="00ED0E85" w:rsidRPr="00257414" w14:paraId="233CBA04" w14:textId="77777777" w:rsidTr="00ED0E85">
        <w:trPr>
          <w:trHeight w:val="250"/>
        </w:trPr>
        <w:tc>
          <w:tcPr>
            <w:tcW w:w="1134" w:type="dxa"/>
            <w:shd w:val="clear" w:color="auto" w:fill="6F6652"/>
            <w:noWrap/>
            <w:tcMar>
              <w:left w:w="57" w:type="dxa"/>
              <w:right w:w="57" w:type="dxa"/>
            </w:tcMar>
            <w:hideMark/>
          </w:tcPr>
          <w:p w14:paraId="487C577F" w14:textId="77777777" w:rsidR="00ED0E85" w:rsidRPr="00257414" w:rsidRDefault="00ED0E85" w:rsidP="00ED0E85">
            <w:pPr>
              <w:pStyle w:val="TableDataColumnHeading"/>
              <w:jc w:val="left"/>
            </w:pPr>
          </w:p>
        </w:tc>
        <w:tc>
          <w:tcPr>
            <w:tcW w:w="2268" w:type="dxa"/>
            <w:gridSpan w:val="2"/>
            <w:shd w:val="clear" w:color="auto" w:fill="6F6652"/>
            <w:noWrap/>
            <w:tcMar>
              <w:left w:w="57" w:type="dxa"/>
              <w:right w:w="57" w:type="dxa"/>
            </w:tcMar>
            <w:hideMark/>
          </w:tcPr>
          <w:p w14:paraId="6535703C" w14:textId="77777777" w:rsidR="00ED0E85" w:rsidRPr="00257414" w:rsidRDefault="00ED0E85" w:rsidP="00ED0E85">
            <w:pPr>
              <w:pStyle w:val="TableDataColumnHeading"/>
              <w:jc w:val="center"/>
              <w:rPr>
                <w:rFonts w:ascii="Franklin Gothic Book" w:hAnsi="Franklin Gothic Book"/>
                <w:sz w:val="18"/>
              </w:rPr>
            </w:pPr>
            <w:r w:rsidRPr="00257414">
              <w:rPr>
                <w:rFonts w:ascii="Franklin Gothic Book" w:hAnsi="Franklin Gothic Book"/>
                <w:sz w:val="18"/>
              </w:rPr>
              <w:t>Current</w:t>
            </w:r>
          </w:p>
        </w:tc>
        <w:tc>
          <w:tcPr>
            <w:tcW w:w="2268" w:type="dxa"/>
            <w:gridSpan w:val="2"/>
            <w:shd w:val="clear" w:color="auto" w:fill="6F6652"/>
            <w:noWrap/>
            <w:tcMar>
              <w:left w:w="57" w:type="dxa"/>
              <w:right w:w="57" w:type="dxa"/>
            </w:tcMar>
            <w:hideMark/>
          </w:tcPr>
          <w:p w14:paraId="4E1FAA7A" w14:textId="77777777" w:rsidR="00ED0E85" w:rsidRPr="00257414" w:rsidRDefault="00ED0E85" w:rsidP="00ED0E85">
            <w:pPr>
              <w:pStyle w:val="TableDataColumnHeading"/>
              <w:jc w:val="center"/>
              <w:rPr>
                <w:rFonts w:ascii="Franklin Gothic Book" w:hAnsi="Franklin Gothic Book"/>
                <w:sz w:val="18"/>
              </w:rPr>
            </w:pPr>
            <w:r>
              <w:rPr>
                <w:rFonts w:ascii="Franklin Gothic Book" w:hAnsi="Franklin Gothic Book"/>
                <w:sz w:val="18"/>
              </w:rPr>
              <w:t>Savings</w:t>
            </w:r>
            <w:r w:rsidRPr="00257414">
              <w:rPr>
                <w:rFonts w:ascii="Franklin Gothic Book" w:hAnsi="Franklin Gothic Book"/>
                <w:sz w:val="18"/>
              </w:rPr>
              <w:t xml:space="preserve"> after </w:t>
            </w:r>
            <w:r>
              <w:rPr>
                <w:rFonts w:ascii="Franklin Gothic Book" w:hAnsi="Franklin Gothic Book"/>
                <w:sz w:val="18"/>
              </w:rPr>
              <w:t>3</w:t>
            </w:r>
            <w:r w:rsidRPr="00257414">
              <w:rPr>
                <w:rFonts w:ascii="Franklin Gothic Book" w:hAnsi="Franklin Gothic Book"/>
                <w:sz w:val="18"/>
              </w:rPr>
              <w:t xml:space="preserve"> ratings</w:t>
            </w:r>
          </w:p>
        </w:tc>
        <w:tc>
          <w:tcPr>
            <w:tcW w:w="2268" w:type="dxa"/>
            <w:gridSpan w:val="2"/>
            <w:shd w:val="clear" w:color="auto" w:fill="6F6652"/>
            <w:noWrap/>
            <w:tcMar>
              <w:left w:w="57" w:type="dxa"/>
              <w:right w:w="57" w:type="dxa"/>
            </w:tcMar>
            <w:hideMark/>
          </w:tcPr>
          <w:p w14:paraId="2FDBEDC0" w14:textId="77777777" w:rsidR="00ED0E85" w:rsidRPr="00257414" w:rsidRDefault="00ED0E85" w:rsidP="00ED0E85">
            <w:pPr>
              <w:pStyle w:val="TableDataColumnHeading"/>
              <w:jc w:val="center"/>
              <w:rPr>
                <w:rFonts w:ascii="Franklin Gothic Book" w:hAnsi="Franklin Gothic Book"/>
                <w:sz w:val="18"/>
              </w:rPr>
            </w:pPr>
            <w:r>
              <w:rPr>
                <w:rFonts w:ascii="Franklin Gothic Book" w:hAnsi="Franklin Gothic Book"/>
                <w:sz w:val="18"/>
              </w:rPr>
              <w:t xml:space="preserve">Savings </w:t>
            </w:r>
            <w:r w:rsidRPr="00257414">
              <w:rPr>
                <w:rFonts w:ascii="Franklin Gothic Book" w:hAnsi="Franklin Gothic Book"/>
                <w:sz w:val="18"/>
              </w:rPr>
              <w:t>after 5 ratings</w:t>
            </w:r>
          </w:p>
        </w:tc>
      </w:tr>
      <w:tr w:rsidR="00ED0E85" w:rsidRPr="00257414" w14:paraId="1DF6F1F5" w14:textId="77777777" w:rsidTr="00ED0E85">
        <w:trPr>
          <w:trHeight w:val="250"/>
        </w:trPr>
        <w:tc>
          <w:tcPr>
            <w:tcW w:w="1134" w:type="dxa"/>
            <w:tcBorders>
              <w:bottom w:val="single" w:sz="8" w:space="0" w:color="FFFFFF" w:themeColor="background1"/>
            </w:tcBorders>
            <w:shd w:val="clear" w:color="auto" w:fill="auto"/>
            <w:noWrap/>
            <w:tcMar>
              <w:left w:w="57" w:type="dxa"/>
              <w:right w:w="57" w:type="dxa"/>
            </w:tcMar>
            <w:hideMark/>
          </w:tcPr>
          <w:p w14:paraId="6BB8E811" w14:textId="77777777" w:rsidR="00ED0E85" w:rsidRPr="00257414" w:rsidRDefault="00ED0E85" w:rsidP="00ED0E85">
            <w:pPr>
              <w:pStyle w:val="TableUnit"/>
              <w:jc w:val="left"/>
            </w:pPr>
          </w:p>
        </w:tc>
        <w:tc>
          <w:tcPr>
            <w:tcW w:w="1134" w:type="dxa"/>
            <w:tcBorders>
              <w:bottom w:val="single" w:sz="8" w:space="0" w:color="FFFFFF" w:themeColor="background1"/>
            </w:tcBorders>
            <w:shd w:val="clear" w:color="auto" w:fill="auto"/>
            <w:noWrap/>
            <w:tcMar>
              <w:left w:w="57" w:type="dxa"/>
              <w:right w:w="57" w:type="dxa"/>
            </w:tcMar>
            <w:hideMark/>
          </w:tcPr>
          <w:p w14:paraId="2FABD25B" w14:textId="77777777" w:rsidR="00ED0E85" w:rsidRPr="00257414" w:rsidRDefault="00ED0E85" w:rsidP="00ED0E85">
            <w:pPr>
              <w:pStyle w:val="TableUnit"/>
            </w:pPr>
            <w:r w:rsidRPr="00257414">
              <w:t>MJ/room</w:t>
            </w:r>
          </w:p>
        </w:tc>
        <w:tc>
          <w:tcPr>
            <w:tcW w:w="1134" w:type="dxa"/>
            <w:tcBorders>
              <w:bottom w:val="single" w:sz="8" w:space="0" w:color="FFFFFF" w:themeColor="background1"/>
            </w:tcBorders>
            <w:shd w:val="clear" w:color="auto" w:fill="auto"/>
            <w:noWrap/>
            <w:tcMar>
              <w:left w:w="57" w:type="dxa"/>
              <w:right w:w="57" w:type="dxa"/>
            </w:tcMar>
            <w:hideMark/>
          </w:tcPr>
          <w:p w14:paraId="6DB1C266" w14:textId="77777777" w:rsidR="00ED0E85" w:rsidRPr="00257414" w:rsidRDefault="00ED0E85" w:rsidP="00ED0E85">
            <w:pPr>
              <w:pStyle w:val="TableUnit"/>
            </w:pPr>
            <w:r w:rsidRPr="00257414">
              <w:t>$/room</w:t>
            </w:r>
          </w:p>
        </w:tc>
        <w:tc>
          <w:tcPr>
            <w:tcW w:w="1134" w:type="dxa"/>
            <w:tcBorders>
              <w:bottom w:val="single" w:sz="8" w:space="0" w:color="FFFFFF" w:themeColor="background1"/>
            </w:tcBorders>
            <w:shd w:val="clear" w:color="auto" w:fill="auto"/>
            <w:noWrap/>
            <w:tcMar>
              <w:left w:w="57" w:type="dxa"/>
              <w:right w:w="57" w:type="dxa"/>
            </w:tcMar>
            <w:hideMark/>
          </w:tcPr>
          <w:p w14:paraId="577BBEFC" w14:textId="77777777" w:rsidR="00ED0E85" w:rsidRPr="00257414" w:rsidRDefault="00ED0E85" w:rsidP="00ED0E85">
            <w:pPr>
              <w:pStyle w:val="TableUnit"/>
            </w:pPr>
            <w:r w:rsidRPr="00257414">
              <w:t>MJ/room</w:t>
            </w:r>
          </w:p>
        </w:tc>
        <w:tc>
          <w:tcPr>
            <w:tcW w:w="1134" w:type="dxa"/>
            <w:tcBorders>
              <w:bottom w:val="single" w:sz="8" w:space="0" w:color="FFFFFF" w:themeColor="background1"/>
            </w:tcBorders>
            <w:shd w:val="clear" w:color="auto" w:fill="auto"/>
            <w:noWrap/>
            <w:tcMar>
              <w:left w:w="57" w:type="dxa"/>
              <w:right w:w="57" w:type="dxa"/>
            </w:tcMar>
            <w:hideMark/>
          </w:tcPr>
          <w:p w14:paraId="415AB42C" w14:textId="77777777" w:rsidR="00ED0E85" w:rsidRPr="00257414" w:rsidRDefault="00ED0E85" w:rsidP="00ED0E85">
            <w:pPr>
              <w:pStyle w:val="TableUnit"/>
            </w:pPr>
            <w:r w:rsidRPr="00257414">
              <w:t>$/room</w:t>
            </w:r>
          </w:p>
        </w:tc>
        <w:tc>
          <w:tcPr>
            <w:tcW w:w="1134" w:type="dxa"/>
            <w:tcBorders>
              <w:bottom w:val="single" w:sz="8" w:space="0" w:color="FFFFFF" w:themeColor="background1"/>
            </w:tcBorders>
            <w:shd w:val="clear" w:color="auto" w:fill="auto"/>
            <w:noWrap/>
            <w:tcMar>
              <w:left w:w="57" w:type="dxa"/>
              <w:right w:w="57" w:type="dxa"/>
            </w:tcMar>
            <w:hideMark/>
          </w:tcPr>
          <w:p w14:paraId="4FBEC1AB" w14:textId="77777777" w:rsidR="00ED0E85" w:rsidRPr="00257414" w:rsidRDefault="00ED0E85" w:rsidP="00ED0E85">
            <w:pPr>
              <w:pStyle w:val="TableUnit"/>
            </w:pPr>
            <w:r w:rsidRPr="00257414">
              <w:t>MJ/room</w:t>
            </w:r>
          </w:p>
        </w:tc>
        <w:tc>
          <w:tcPr>
            <w:tcW w:w="1134" w:type="dxa"/>
            <w:tcBorders>
              <w:bottom w:val="single" w:sz="8" w:space="0" w:color="FFFFFF" w:themeColor="background1"/>
            </w:tcBorders>
            <w:shd w:val="clear" w:color="auto" w:fill="auto"/>
            <w:noWrap/>
            <w:tcMar>
              <w:left w:w="57" w:type="dxa"/>
              <w:right w:w="57" w:type="dxa"/>
            </w:tcMar>
            <w:hideMark/>
          </w:tcPr>
          <w:p w14:paraId="6418941C" w14:textId="77777777" w:rsidR="00ED0E85" w:rsidRPr="00257414" w:rsidRDefault="00ED0E85" w:rsidP="00ED0E85">
            <w:pPr>
              <w:pStyle w:val="TableUnit"/>
            </w:pPr>
            <w:r w:rsidRPr="00257414">
              <w:t>$/room</w:t>
            </w:r>
          </w:p>
        </w:tc>
      </w:tr>
      <w:tr w:rsidR="00ED0E85" w:rsidRPr="00257414" w14:paraId="56D49818" w14:textId="77777777" w:rsidTr="00ED0E85">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ACFA2E" w14:textId="77777777" w:rsidR="00ED0E85" w:rsidRPr="00257414" w:rsidRDefault="00ED0E85" w:rsidP="00ED0E85">
            <w:pPr>
              <w:pStyle w:val="TableDataEntries"/>
              <w:jc w:val="left"/>
            </w:pPr>
            <w:r w:rsidRPr="00257414">
              <w:t>0.0</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0676B2" w14:textId="77777777" w:rsidR="00ED0E85" w:rsidRPr="00257414" w:rsidRDefault="00ED0E85" w:rsidP="00ED0E85">
            <w:pPr>
              <w:pStyle w:val="TableDataEntries"/>
            </w:pPr>
            <w:r w:rsidRPr="00257414">
              <w:t>243 305</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048F83" w14:textId="77777777" w:rsidR="00ED0E85" w:rsidRPr="00257414" w:rsidRDefault="00ED0E85" w:rsidP="00ED0E85">
            <w:pPr>
              <w:pStyle w:val="TableDataEntries"/>
            </w:pPr>
            <w:r w:rsidRPr="00257414">
              <w:t>6 293</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027060" w14:textId="77777777" w:rsidR="00ED0E85" w:rsidRPr="00257414" w:rsidRDefault="00ED0E85" w:rsidP="00ED0E85">
            <w:pPr>
              <w:pStyle w:val="TableDataEntries"/>
            </w:pPr>
            <w:r w:rsidRPr="00257414">
              <w:t>-5 882</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9E0046" w14:textId="77777777" w:rsidR="00ED0E85" w:rsidRPr="00257414" w:rsidRDefault="00ED0E85" w:rsidP="00ED0E85">
            <w:pPr>
              <w:pStyle w:val="TableDataEntries"/>
            </w:pPr>
            <w:r w:rsidRPr="00257414">
              <w:t>- 152</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7D3866" w14:textId="77777777" w:rsidR="00ED0E85" w:rsidRPr="00257414" w:rsidRDefault="00ED0E85" w:rsidP="00ED0E85">
            <w:pPr>
              <w:pStyle w:val="TableDataEntries"/>
            </w:pPr>
            <w:r w:rsidRPr="00257414">
              <w:t>-11 763</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E97905" w14:textId="77777777" w:rsidR="00ED0E85" w:rsidRPr="00257414" w:rsidRDefault="00ED0E85" w:rsidP="00ED0E85">
            <w:pPr>
              <w:pStyle w:val="TableDataEntries"/>
            </w:pPr>
            <w:r w:rsidRPr="00257414">
              <w:t>- 304</w:t>
            </w:r>
          </w:p>
        </w:tc>
      </w:tr>
      <w:tr w:rsidR="00ED0E85" w:rsidRPr="00257414" w14:paraId="5D790558" w14:textId="77777777" w:rsidTr="00ED0E85">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DBC469" w14:textId="77777777" w:rsidR="00ED0E85" w:rsidRPr="00257414" w:rsidRDefault="00ED0E85" w:rsidP="00ED0E85">
            <w:pPr>
              <w:pStyle w:val="TableDataEntries"/>
              <w:jc w:val="left"/>
            </w:pPr>
            <w:r w:rsidRPr="00257414">
              <w:t>0.5</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E0AB500" w14:textId="77777777" w:rsidR="00ED0E85" w:rsidRPr="00257414" w:rsidRDefault="00ED0E85" w:rsidP="00ED0E85">
            <w:pPr>
              <w:pStyle w:val="TableDataEntries"/>
            </w:pPr>
            <w:r w:rsidRPr="00257414">
              <w:t>198 141</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CEBE6E" w14:textId="77777777" w:rsidR="00ED0E85" w:rsidRPr="00257414" w:rsidRDefault="00ED0E85" w:rsidP="00ED0E85">
            <w:pPr>
              <w:pStyle w:val="TableDataEntries"/>
            </w:pPr>
            <w:r w:rsidRPr="00257414">
              <w:t>5 125</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56C5E80" w14:textId="77777777" w:rsidR="00ED0E85" w:rsidRPr="00257414" w:rsidRDefault="00ED0E85" w:rsidP="00ED0E85">
            <w:pPr>
              <w:pStyle w:val="TableDataEntries"/>
            </w:pPr>
            <w:r w:rsidRPr="00257414">
              <w:t>-4 790</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72147E" w14:textId="77777777" w:rsidR="00ED0E85" w:rsidRPr="00257414" w:rsidRDefault="00ED0E85" w:rsidP="00ED0E85">
            <w:pPr>
              <w:pStyle w:val="TableDataEntries"/>
            </w:pPr>
            <w:r w:rsidRPr="00257414">
              <w:t>- 124</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88DDE5" w14:textId="77777777" w:rsidR="00ED0E85" w:rsidRPr="00257414" w:rsidRDefault="00ED0E85" w:rsidP="00ED0E85">
            <w:pPr>
              <w:pStyle w:val="TableDataEntries"/>
            </w:pPr>
            <w:r w:rsidRPr="00257414">
              <w:t>-9 580</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B575E7" w14:textId="77777777" w:rsidR="00ED0E85" w:rsidRPr="00257414" w:rsidRDefault="00ED0E85" w:rsidP="00ED0E85">
            <w:pPr>
              <w:pStyle w:val="TableDataEntries"/>
            </w:pPr>
            <w:r w:rsidRPr="00257414">
              <w:t>- 248</w:t>
            </w:r>
          </w:p>
        </w:tc>
      </w:tr>
      <w:tr w:rsidR="00ED0E85" w:rsidRPr="00257414" w14:paraId="42B804AC" w14:textId="77777777" w:rsidTr="00ED0E85">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CEE66D" w14:textId="77777777" w:rsidR="00ED0E85" w:rsidRPr="00257414" w:rsidRDefault="00ED0E85" w:rsidP="00ED0E85">
            <w:pPr>
              <w:pStyle w:val="TableDataEntries"/>
              <w:jc w:val="left"/>
            </w:pPr>
            <w:r w:rsidRPr="00257414">
              <w:t>1.0</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6A94D3" w14:textId="77777777" w:rsidR="00ED0E85" w:rsidRPr="00257414" w:rsidRDefault="00ED0E85" w:rsidP="00ED0E85">
            <w:pPr>
              <w:pStyle w:val="TableDataEntries"/>
            </w:pPr>
            <w:r w:rsidRPr="00257414">
              <w:t>161 361</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DC4973" w14:textId="77777777" w:rsidR="00ED0E85" w:rsidRPr="00257414" w:rsidRDefault="00ED0E85" w:rsidP="00ED0E85">
            <w:pPr>
              <w:pStyle w:val="TableDataEntries"/>
            </w:pPr>
            <w:r w:rsidRPr="00257414">
              <w:t>4 174</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FAC913" w14:textId="77777777" w:rsidR="00ED0E85" w:rsidRPr="00257414" w:rsidRDefault="00ED0E85" w:rsidP="00ED0E85">
            <w:pPr>
              <w:pStyle w:val="TableDataEntries"/>
            </w:pPr>
            <w:r w:rsidRPr="00257414">
              <w:t>-3 901</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00A0F7" w14:textId="77777777" w:rsidR="00ED0E85" w:rsidRPr="00257414" w:rsidRDefault="00ED0E85" w:rsidP="00ED0E85">
            <w:pPr>
              <w:pStyle w:val="TableDataEntries"/>
            </w:pPr>
            <w:r w:rsidRPr="00257414">
              <w:t>- 101</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2BED03" w14:textId="77777777" w:rsidR="00ED0E85" w:rsidRPr="00257414" w:rsidRDefault="00ED0E85" w:rsidP="00ED0E85">
            <w:pPr>
              <w:pStyle w:val="TableDataEntries"/>
            </w:pPr>
            <w:r w:rsidRPr="00257414">
              <w:t>-7 802</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30584A" w14:textId="77777777" w:rsidR="00ED0E85" w:rsidRPr="00257414" w:rsidRDefault="00ED0E85" w:rsidP="00ED0E85">
            <w:pPr>
              <w:pStyle w:val="TableDataEntries"/>
            </w:pPr>
            <w:r w:rsidRPr="00257414">
              <w:t>- 202</w:t>
            </w:r>
          </w:p>
        </w:tc>
      </w:tr>
      <w:tr w:rsidR="00ED0E85" w:rsidRPr="00257414" w14:paraId="5EBC0B5C" w14:textId="77777777" w:rsidTr="00ED0E85">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9802A4" w14:textId="77777777" w:rsidR="00ED0E85" w:rsidRPr="00257414" w:rsidRDefault="00ED0E85" w:rsidP="00ED0E85">
            <w:pPr>
              <w:pStyle w:val="TableDataEntries"/>
              <w:jc w:val="left"/>
            </w:pPr>
            <w:r w:rsidRPr="00257414">
              <w:t>1.5</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AA2458" w14:textId="77777777" w:rsidR="00ED0E85" w:rsidRPr="00257414" w:rsidRDefault="00ED0E85" w:rsidP="00ED0E85">
            <w:pPr>
              <w:pStyle w:val="TableDataEntries"/>
            </w:pPr>
            <w:r w:rsidRPr="00257414">
              <w:t>131 408</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412AD9" w14:textId="77777777" w:rsidR="00ED0E85" w:rsidRPr="00257414" w:rsidRDefault="00ED0E85" w:rsidP="00ED0E85">
            <w:pPr>
              <w:pStyle w:val="TableDataEntries"/>
            </w:pPr>
            <w:r w:rsidRPr="00257414">
              <w:t>3 399</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15895F" w14:textId="77777777" w:rsidR="00ED0E85" w:rsidRPr="00257414" w:rsidRDefault="00ED0E85" w:rsidP="00ED0E85">
            <w:pPr>
              <w:pStyle w:val="TableDataEntries"/>
            </w:pPr>
            <w:r w:rsidRPr="00257414">
              <w:t>-3 177</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43C060" w14:textId="77777777" w:rsidR="00ED0E85" w:rsidRPr="00257414" w:rsidRDefault="00ED0E85" w:rsidP="00ED0E85">
            <w:pPr>
              <w:pStyle w:val="TableDataEntries"/>
            </w:pPr>
            <w:r w:rsidRPr="00257414">
              <w:t>- 82</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6380BED" w14:textId="77777777" w:rsidR="00ED0E85" w:rsidRPr="00257414" w:rsidRDefault="00ED0E85" w:rsidP="00ED0E85">
            <w:pPr>
              <w:pStyle w:val="TableDataEntries"/>
            </w:pPr>
            <w:r w:rsidRPr="00257414">
              <w:t>-6 353</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2E4FE6" w14:textId="77777777" w:rsidR="00ED0E85" w:rsidRPr="00257414" w:rsidRDefault="00ED0E85" w:rsidP="00ED0E85">
            <w:pPr>
              <w:pStyle w:val="TableDataEntries"/>
            </w:pPr>
            <w:r w:rsidRPr="00257414">
              <w:t>- 164</w:t>
            </w:r>
          </w:p>
        </w:tc>
      </w:tr>
      <w:tr w:rsidR="00ED0E85" w:rsidRPr="00257414" w14:paraId="52A7C0F4" w14:textId="77777777" w:rsidTr="00ED0E85">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0CBC55" w14:textId="77777777" w:rsidR="00ED0E85" w:rsidRPr="00257414" w:rsidRDefault="00ED0E85" w:rsidP="00ED0E85">
            <w:pPr>
              <w:pStyle w:val="TableDataEntries"/>
              <w:jc w:val="left"/>
            </w:pPr>
            <w:r w:rsidRPr="00257414">
              <w:t>2.0</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A20901" w14:textId="77777777" w:rsidR="00ED0E85" w:rsidRPr="00257414" w:rsidRDefault="00ED0E85" w:rsidP="00ED0E85">
            <w:pPr>
              <w:pStyle w:val="TableDataEntries"/>
            </w:pPr>
            <w:r w:rsidRPr="00257414">
              <w:t>107 015</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405C95" w14:textId="77777777" w:rsidR="00ED0E85" w:rsidRPr="00257414" w:rsidRDefault="00ED0E85" w:rsidP="00ED0E85">
            <w:pPr>
              <w:pStyle w:val="TableDataEntries"/>
            </w:pPr>
            <w:r w:rsidRPr="00257414">
              <w:t>2 768</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2C8537" w14:textId="77777777" w:rsidR="00ED0E85" w:rsidRPr="00257414" w:rsidRDefault="00ED0E85" w:rsidP="00ED0E85">
            <w:pPr>
              <w:pStyle w:val="TableDataEntries"/>
            </w:pPr>
            <w:r w:rsidRPr="00257414">
              <w:t>-2 587</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FF5496" w14:textId="77777777" w:rsidR="00ED0E85" w:rsidRPr="00257414" w:rsidRDefault="00ED0E85" w:rsidP="00ED0E85">
            <w:pPr>
              <w:pStyle w:val="TableDataEntries"/>
            </w:pPr>
            <w:r w:rsidRPr="00257414">
              <w:t>- 67</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5CF4E1" w14:textId="77777777" w:rsidR="00ED0E85" w:rsidRPr="00257414" w:rsidRDefault="00ED0E85" w:rsidP="00ED0E85">
            <w:pPr>
              <w:pStyle w:val="TableDataEntries"/>
            </w:pPr>
            <w:r w:rsidRPr="00257414">
              <w:t>-5 174</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2B3547" w14:textId="77777777" w:rsidR="00ED0E85" w:rsidRPr="00257414" w:rsidRDefault="00ED0E85" w:rsidP="00ED0E85">
            <w:pPr>
              <w:pStyle w:val="TableDataEntries"/>
            </w:pPr>
            <w:r w:rsidRPr="00257414">
              <w:t>- 134</w:t>
            </w:r>
          </w:p>
        </w:tc>
      </w:tr>
      <w:tr w:rsidR="00ED0E85" w:rsidRPr="00257414" w14:paraId="49F42C0A" w14:textId="77777777" w:rsidTr="00ED0E85">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A23A85" w14:textId="77777777" w:rsidR="00ED0E85" w:rsidRPr="00257414" w:rsidRDefault="00ED0E85" w:rsidP="00ED0E85">
            <w:pPr>
              <w:pStyle w:val="TableDataEntries"/>
              <w:jc w:val="left"/>
            </w:pPr>
            <w:r w:rsidRPr="00257414">
              <w:t>2.5</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ABA6AE" w14:textId="77777777" w:rsidR="00ED0E85" w:rsidRPr="00257414" w:rsidRDefault="00ED0E85" w:rsidP="00ED0E85">
            <w:pPr>
              <w:pStyle w:val="TableDataEntries"/>
            </w:pPr>
            <w:r w:rsidRPr="00257414">
              <w:t>87 150</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263B0D" w14:textId="77777777" w:rsidR="00ED0E85" w:rsidRPr="00257414" w:rsidRDefault="00ED0E85" w:rsidP="00ED0E85">
            <w:pPr>
              <w:pStyle w:val="TableDataEntries"/>
            </w:pPr>
            <w:r w:rsidRPr="00257414">
              <w:t>2 254</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B43365" w14:textId="77777777" w:rsidR="00ED0E85" w:rsidRPr="00257414" w:rsidRDefault="00ED0E85" w:rsidP="00ED0E85">
            <w:pPr>
              <w:pStyle w:val="TableDataEntries"/>
            </w:pPr>
            <w:r w:rsidRPr="00257414">
              <w:t>-2 107</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248316" w14:textId="77777777" w:rsidR="00ED0E85" w:rsidRPr="00257414" w:rsidRDefault="00ED0E85" w:rsidP="00ED0E85">
            <w:pPr>
              <w:pStyle w:val="TableDataEntries"/>
            </w:pPr>
            <w:r w:rsidRPr="00257414">
              <w:t>- 54</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C58ADB" w14:textId="77777777" w:rsidR="00ED0E85" w:rsidRPr="00257414" w:rsidRDefault="00ED0E85" w:rsidP="00ED0E85">
            <w:pPr>
              <w:pStyle w:val="TableDataEntries"/>
            </w:pPr>
            <w:r w:rsidRPr="00257414">
              <w:t>-4 214</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6CBF50" w14:textId="77777777" w:rsidR="00ED0E85" w:rsidRPr="00257414" w:rsidRDefault="00ED0E85" w:rsidP="00ED0E85">
            <w:pPr>
              <w:pStyle w:val="TableDataEntries"/>
            </w:pPr>
            <w:r w:rsidRPr="00257414">
              <w:t>- 109</w:t>
            </w:r>
          </w:p>
        </w:tc>
      </w:tr>
      <w:tr w:rsidR="00ED0E85" w:rsidRPr="00257414" w14:paraId="00AB061C" w14:textId="77777777" w:rsidTr="00ED0E85">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4A5C84" w14:textId="77777777" w:rsidR="00ED0E85" w:rsidRPr="00257414" w:rsidRDefault="00ED0E85" w:rsidP="00ED0E85">
            <w:pPr>
              <w:pStyle w:val="TableDataEntries"/>
              <w:jc w:val="left"/>
            </w:pPr>
            <w:r w:rsidRPr="00257414">
              <w:t>3.0</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CC0879" w14:textId="77777777" w:rsidR="00ED0E85" w:rsidRPr="00257414" w:rsidRDefault="00ED0E85" w:rsidP="00ED0E85">
            <w:pPr>
              <w:pStyle w:val="TableDataEntries"/>
            </w:pPr>
            <w:r w:rsidRPr="00257414">
              <w:t>70 973</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6DDF9A" w14:textId="77777777" w:rsidR="00ED0E85" w:rsidRPr="00257414" w:rsidRDefault="00ED0E85" w:rsidP="00ED0E85">
            <w:pPr>
              <w:pStyle w:val="TableDataEntries"/>
            </w:pPr>
            <w:r w:rsidRPr="00257414">
              <w:t>1 836</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27E206" w14:textId="77777777" w:rsidR="00ED0E85" w:rsidRPr="00257414" w:rsidRDefault="00ED0E85" w:rsidP="00ED0E85">
            <w:pPr>
              <w:pStyle w:val="TableDataEntries"/>
            </w:pPr>
            <w:r w:rsidRPr="00257414">
              <w:t>-1 716</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16DA2B" w14:textId="77777777" w:rsidR="00ED0E85" w:rsidRPr="00257414" w:rsidRDefault="00ED0E85" w:rsidP="00ED0E85">
            <w:pPr>
              <w:pStyle w:val="TableDataEntries"/>
            </w:pPr>
            <w:r w:rsidRPr="00257414">
              <w:t>- 44</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BC833C" w14:textId="77777777" w:rsidR="00ED0E85" w:rsidRPr="00257414" w:rsidRDefault="00ED0E85" w:rsidP="00ED0E85">
            <w:pPr>
              <w:pStyle w:val="TableDataEntries"/>
            </w:pPr>
            <w:r w:rsidRPr="00257414">
              <w:t>-3 431</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033F94" w14:textId="77777777" w:rsidR="00ED0E85" w:rsidRPr="00257414" w:rsidRDefault="00ED0E85" w:rsidP="00ED0E85">
            <w:pPr>
              <w:pStyle w:val="TableDataEntries"/>
            </w:pPr>
            <w:r w:rsidRPr="00257414">
              <w:t>- 89</w:t>
            </w:r>
          </w:p>
        </w:tc>
      </w:tr>
      <w:tr w:rsidR="00ED0E85" w:rsidRPr="00257414" w14:paraId="2CC8DE64" w14:textId="77777777" w:rsidTr="00ED0E85">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15FEAB" w14:textId="77777777" w:rsidR="00ED0E85" w:rsidRPr="00257414" w:rsidRDefault="00ED0E85" w:rsidP="00ED0E85">
            <w:pPr>
              <w:pStyle w:val="TableDataEntries"/>
              <w:jc w:val="left"/>
            </w:pPr>
            <w:r w:rsidRPr="00257414">
              <w:t>3.5</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2D7BD31" w14:textId="77777777" w:rsidR="00ED0E85" w:rsidRPr="00257414" w:rsidRDefault="00ED0E85" w:rsidP="00ED0E85">
            <w:pPr>
              <w:pStyle w:val="TableDataEntries"/>
            </w:pPr>
            <w:r w:rsidRPr="00257414">
              <w:t>57 798</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981C24A" w14:textId="77777777" w:rsidR="00ED0E85" w:rsidRPr="00257414" w:rsidRDefault="00ED0E85" w:rsidP="00ED0E85">
            <w:pPr>
              <w:pStyle w:val="TableDataEntries"/>
            </w:pPr>
            <w:r w:rsidRPr="00257414">
              <w:t>1 495</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076148" w14:textId="77777777" w:rsidR="00ED0E85" w:rsidRPr="00257414" w:rsidRDefault="00ED0E85" w:rsidP="00ED0E85">
            <w:pPr>
              <w:pStyle w:val="TableDataEntries"/>
            </w:pPr>
            <w:r w:rsidRPr="00257414">
              <w:t>-1 397</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2BDD2D" w14:textId="77777777" w:rsidR="00ED0E85" w:rsidRPr="00257414" w:rsidRDefault="00ED0E85" w:rsidP="00ED0E85">
            <w:pPr>
              <w:pStyle w:val="TableDataEntries"/>
            </w:pPr>
            <w:r w:rsidRPr="00257414">
              <w:t>- 36</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D0CEE7" w14:textId="77777777" w:rsidR="00ED0E85" w:rsidRPr="00257414" w:rsidRDefault="00ED0E85" w:rsidP="00ED0E85">
            <w:pPr>
              <w:pStyle w:val="TableDataEntries"/>
            </w:pPr>
            <w:r w:rsidRPr="00257414">
              <w:t>-2 794</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9E5FAA" w14:textId="77777777" w:rsidR="00ED0E85" w:rsidRPr="00257414" w:rsidRDefault="00ED0E85" w:rsidP="00ED0E85">
            <w:pPr>
              <w:pStyle w:val="TableDataEntries"/>
            </w:pPr>
            <w:r w:rsidRPr="00257414">
              <w:t>- 72</w:t>
            </w:r>
          </w:p>
        </w:tc>
      </w:tr>
      <w:tr w:rsidR="00ED0E85" w:rsidRPr="00257414" w14:paraId="3495FBA5" w14:textId="77777777" w:rsidTr="00ED0E85">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086FCE" w14:textId="77777777" w:rsidR="00ED0E85" w:rsidRPr="00257414" w:rsidRDefault="00ED0E85" w:rsidP="00ED0E85">
            <w:pPr>
              <w:pStyle w:val="TableDataEntries"/>
              <w:jc w:val="left"/>
            </w:pPr>
            <w:r w:rsidRPr="00257414">
              <w:t>4.0</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B604A2" w14:textId="77777777" w:rsidR="00ED0E85" w:rsidRPr="00257414" w:rsidRDefault="00ED0E85" w:rsidP="00ED0E85">
            <w:pPr>
              <w:pStyle w:val="TableDataEntries"/>
            </w:pPr>
            <w:r w:rsidRPr="00257414">
              <w:t>47 069</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DC89AE" w14:textId="77777777" w:rsidR="00ED0E85" w:rsidRPr="00257414" w:rsidRDefault="00ED0E85" w:rsidP="00ED0E85">
            <w:pPr>
              <w:pStyle w:val="TableDataEntries"/>
            </w:pPr>
            <w:r w:rsidRPr="00257414">
              <w:t>1 217</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9A8EFC" w14:textId="77777777" w:rsidR="00ED0E85" w:rsidRPr="00257414" w:rsidRDefault="00ED0E85" w:rsidP="00ED0E85">
            <w:pPr>
              <w:pStyle w:val="TableDataEntries"/>
            </w:pPr>
            <w:r w:rsidRPr="00257414">
              <w:t>-1 138</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6C2AEB" w14:textId="77777777" w:rsidR="00ED0E85" w:rsidRPr="00257414" w:rsidRDefault="00ED0E85" w:rsidP="00ED0E85">
            <w:pPr>
              <w:pStyle w:val="TableDataEntries"/>
            </w:pPr>
            <w:r w:rsidRPr="00257414">
              <w:t>- 29</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B768C1" w14:textId="77777777" w:rsidR="00ED0E85" w:rsidRPr="00257414" w:rsidRDefault="00ED0E85" w:rsidP="00ED0E85">
            <w:pPr>
              <w:pStyle w:val="TableDataEntries"/>
            </w:pPr>
            <w:r w:rsidRPr="00257414">
              <w:t>-2 276</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3A7B38" w14:textId="77777777" w:rsidR="00ED0E85" w:rsidRPr="00257414" w:rsidRDefault="00ED0E85" w:rsidP="00ED0E85">
            <w:pPr>
              <w:pStyle w:val="TableDataEntries"/>
            </w:pPr>
            <w:r w:rsidRPr="00257414">
              <w:t>- 59</w:t>
            </w:r>
          </w:p>
        </w:tc>
      </w:tr>
      <w:tr w:rsidR="00ED0E85" w:rsidRPr="00257414" w14:paraId="15A15BC8" w14:textId="77777777" w:rsidTr="00ED0E85">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E3BCC8" w14:textId="77777777" w:rsidR="00ED0E85" w:rsidRPr="00257414" w:rsidRDefault="00ED0E85" w:rsidP="00ED0E85">
            <w:pPr>
              <w:pStyle w:val="TableDataEntries"/>
              <w:jc w:val="left"/>
            </w:pPr>
            <w:r w:rsidRPr="00257414">
              <w:t>4.5</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CE4EAC" w14:textId="77777777" w:rsidR="00ED0E85" w:rsidRPr="00257414" w:rsidRDefault="00ED0E85" w:rsidP="00ED0E85">
            <w:pPr>
              <w:pStyle w:val="TableDataEntries"/>
            </w:pPr>
            <w:r w:rsidRPr="00257414">
              <w:t>38 332</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AD0CCE" w14:textId="77777777" w:rsidR="00ED0E85" w:rsidRPr="00257414" w:rsidRDefault="00ED0E85" w:rsidP="00ED0E85">
            <w:pPr>
              <w:pStyle w:val="TableDataEntries"/>
            </w:pPr>
            <w:r w:rsidRPr="00257414">
              <w:t xml:space="preserve"> 991</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D0F908" w14:textId="77777777" w:rsidR="00ED0E85" w:rsidRPr="00257414" w:rsidRDefault="00ED0E85" w:rsidP="00ED0E85">
            <w:pPr>
              <w:pStyle w:val="TableDataEntries"/>
            </w:pPr>
            <w:r w:rsidRPr="00257414">
              <w:t>- 927</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EE523E" w14:textId="77777777" w:rsidR="00ED0E85" w:rsidRPr="00257414" w:rsidRDefault="00ED0E85" w:rsidP="00ED0E85">
            <w:pPr>
              <w:pStyle w:val="TableDataEntries"/>
            </w:pPr>
            <w:r w:rsidRPr="00257414">
              <w:t>- 24</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D5E00E" w14:textId="77777777" w:rsidR="00ED0E85" w:rsidRPr="00257414" w:rsidRDefault="00ED0E85" w:rsidP="00ED0E85">
            <w:pPr>
              <w:pStyle w:val="TableDataEntries"/>
            </w:pPr>
            <w:r w:rsidRPr="00257414">
              <w:t>-1 853</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013029" w14:textId="77777777" w:rsidR="00ED0E85" w:rsidRPr="00257414" w:rsidRDefault="00ED0E85" w:rsidP="00ED0E85">
            <w:pPr>
              <w:pStyle w:val="TableDataEntries"/>
            </w:pPr>
            <w:r w:rsidRPr="00257414">
              <w:t>- 48</w:t>
            </w:r>
          </w:p>
        </w:tc>
      </w:tr>
      <w:tr w:rsidR="00ED0E85" w:rsidRPr="00257414" w14:paraId="6D8CEDCE" w14:textId="77777777" w:rsidTr="00ED0E85">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4AB4B0" w14:textId="77777777" w:rsidR="00ED0E85" w:rsidRPr="00257414" w:rsidRDefault="00ED0E85" w:rsidP="00ED0E85">
            <w:pPr>
              <w:pStyle w:val="TableDataEntries"/>
              <w:jc w:val="left"/>
            </w:pPr>
            <w:r w:rsidRPr="00257414">
              <w:t>5.0</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02A425" w14:textId="77777777" w:rsidR="00ED0E85" w:rsidRPr="00257414" w:rsidRDefault="00ED0E85" w:rsidP="00ED0E85">
            <w:pPr>
              <w:pStyle w:val="TableDataEntries"/>
            </w:pPr>
            <w:r w:rsidRPr="00257414">
              <w:t>31 217</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6001F9" w14:textId="77777777" w:rsidR="00ED0E85" w:rsidRPr="00257414" w:rsidRDefault="00ED0E85" w:rsidP="00ED0E85">
            <w:pPr>
              <w:pStyle w:val="TableDataEntries"/>
            </w:pPr>
            <w:r w:rsidRPr="00257414">
              <w:t xml:space="preserve"> 807</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3881D5" w14:textId="77777777" w:rsidR="00ED0E85" w:rsidRPr="00257414" w:rsidRDefault="00ED0E85" w:rsidP="00ED0E85">
            <w:pPr>
              <w:pStyle w:val="TableDataEntries"/>
            </w:pPr>
            <w:r w:rsidRPr="00257414">
              <w:t>- 755</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D969B8" w14:textId="77777777" w:rsidR="00ED0E85" w:rsidRPr="00257414" w:rsidRDefault="00ED0E85" w:rsidP="00ED0E85">
            <w:pPr>
              <w:pStyle w:val="TableDataEntries"/>
            </w:pPr>
            <w:r w:rsidRPr="00257414">
              <w:t>- 20</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6B9B187" w14:textId="77777777" w:rsidR="00ED0E85" w:rsidRPr="00257414" w:rsidRDefault="00ED0E85" w:rsidP="00ED0E85">
            <w:pPr>
              <w:pStyle w:val="TableDataEntries"/>
            </w:pPr>
            <w:r w:rsidRPr="00257414">
              <w:t>-1 509</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DC6148" w14:textId="77777777" w:rsidR="00ED0E85" w:rsidRPr="00257414" w:rsidRDefault="00ED0E85" w:rsidP="00ED0E85">
            <w:pPr>
              <w:pStyle w:val="TableDataEntries"/>
            </w:pPr>
            <w:r w:rsidRPr="00257414">
              <w:t>- 39</w:t>
            </w:r>
          </w:p>
        </w:tc>
      </w:tr>
      <w:tr w:rsidR="00ED0E85" w:rsidRPr="00257414" w14:paraId="0C44AC62" w14:textId="77777777" w:rsidTr="00ED0E85">
        <w:trPr>
          <w:trHeight w:val="250"/>
        </w:trPr>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8BF231" w14:textId="77777777" w:rsidR="00ED0E85" w:rsidRPr="00257414" w:rsidRDefault="00ED0E85" w:rsidP="00ED0E85">
            <w:pPr>
              <w:pStyle w:val="TableDataEntries"/>
              <w:jc w:val="left"/>
            </w:pPr>
            <w:r w:rsidRPr="00257414">
              <w:t>5.5</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D73377" w14:textId="77777777" w:rsidR="00ED0E85" w:rsidRPr="00257414" w:rsidRDefault="00ED0E85" w:rsidP="00ED0E85">
            <w:pPr>
              <w:pStyle w:val="TableDataEntries"/>
            </w:pPr>
            <w:r w:rsidRPr="00257414">
              <w:t>25 422</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DE4B20" w14:textId="77777777" w:rsidR="00ED0E85" w:rsidRPr="00257414" w:rsidRDefault="00ED0E85" w:rsidP="00ED0E85">
            <w:pPr>
              <w:pStyle w:val="TableDataEntries"/>
            </w:pPr>
            <w:r w:rsidRPr="00257414">
              <w:t xml:space="preserve"> 658</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F4DDDF" w14:textId="77777777" w:rsidR="00ED0E85" w:rsidRPr="00257414" w:rsidRDefault="00ED0E85" w:rsidP="00ED0E85">
            <w:pPr>
              <w:pStyle w:val="TableDataEntries"/>
            </w:pPr>
            <w:r w:rsidRPr="00257414">
              <w:t>- 615</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9F08648" w14:textId="77777777" w:rsidR="00ED0E85" w:rsidRPr="00257414" w:rsidRDefault="00ED0E85" w:rsidP="00ED0E85">
            <w:pPr>
              <w:pStyle w:val="TableDataEntries"/>
            </w:pPr>
            <w:r w:rsidRPr="00257414">
              <w:t>- 16</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5C62EE" w14:textId="77777777" w:rsidR="00ED0E85" w:rsidRPr="00257414" w:rsidRDefault="00ED0E85" w:rsidP="00ED0E85">
            <w:pPr>
              <w:pStyle w:val="TableDataEntries"/>
            </w:pPr>
            <w:r w:rsidRPr="00257414">
              <w:t>-1 229</w:t>
            </w:r>
          </w:p>
        </w:tc>
        <w:tc>
          <w:tcPr>
            <w:tcW w:w="1134"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4C1816" w14:textId="77777777" w:rsidR="00ED0E85" w:rsidRPr="00257414" w:rsidRDefault="00ED0E85" w:rsidP="00ED0E85">
            <w:pPr>
              <w:pStyle w:val="TableDataEntries"/>
            </w:pPr>
            <w:r w:rsidRPr="00257414">
              <w:t>- 32</w:t>
            </w:r>
          </w:p>
        </w:tc>
      </w:tr>
      <w:tr w:rsidR="00ED0E85" w:rsidRPr="00257414" w14:paraId="5B129B33" w14:textId="77777777" w:rsidTr="00ED0E85">
        <w:trPr>
          <w:trHeight w:val="250"/>
        </w:trPr>
        <w:tc>
          <w:tcPr>
            <w:tcW w:w="113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195DB68" w14:textId="77777777" w:rsidR="00ED0E85" w:rsidRPr="00257414" w:rsidRDefault="00ED0E85" w:rsidP="00ED0E85">
            <w:pPr>
              <w:pStyle w:val="TableDataEntries"/>
              <w:jc w:val="left"/>
            </w:pPr>
            <w:r w:rsidRPr="00257414">
              <w:t>6.0</w:t>
            </w:r>
          </w:p>
        </w:tc>
        <w:tc>
          <w:tcPr>
            <w:tcW w:w="113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2D0EFA47" w14:textId="77777777" w:rsidR="00ED0E85" w:rsidRPr="00257414" w:rsidRDefault="00ED0E85" w:rsidP="00ED0E85">
            <w:pPr>
              <w:pStyle w:val="TableDataEntries"/>
            </w:pPr>
            <w:r w:rsidRPr="00257414">
              <w:t>20 703</w:t>
            </w:r>
          </w:p>
        </w:tc>
        <w:tc>
          <w:tcPr>
            <w:tcW w:w="113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32A432F0" w14:textId="77777777" w:rsidR="00ED0E85" w:rsidRPr="00257414" w:rsidRDefault="00ED0E85" w:rsidP="00ED0E85">
            <w:pPr>
              <w:pStyle w:val="TableDataEntries"/>
            </w:pPr>
            <w:r w:rsidRPr="00257414">
              <w:t xml:space="preserve"> 535</w:t>
            </w:r>
          </w:p>
        </w:tc>
        <w:tc>
          <w:tcPr>
            <w:tcW w:w="113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042DD0E" w14:textId="77777777" w:rsidR="00ED0E85" w:rsidRPr="00257414" w:rsidRDefault="00ED0E85" w:rsidP="00ED0E85">
            <w:pPr>
              <w:pStyle w:val="TableDataEntries"/>
            </w:pPr>
            <w:r w:rsidRPr="00257414">
              <w:t>- 500</w:t>
            </w:r>
          </w:p>
        </w:tc>
        <w:tc>
          <w:tcPr>
            <w:tcW w:w="113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02740F3" w14:textId="77777777" w:rsidR="00ED0E85" w:rsidRPr="00257414" w:rsidRDefault="00ED0E85" w:rsidP="00ED0E85">
            <w:pPr>
              <w:pStyle w:val="TableDataEntries"/>
            </w:pPr>
            <w:r w:rsidRPr="00257414">
              <w:t>- 13</w:t>
            </w:r>
          </w:p>
        </w:tc>
        <w:tc>
          <w:tcPr>
            <w:tcW w:w="113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CF35C1A" w14:textId="77777777" w:rsidR="00ED0E85" w:rsidRPr="00257414" w:rsidRDefault="00ED0E85" w:rsidP="00ED0E85">
            <w:pPr>
              <w:pStyle w:val="TableDataEntries"/>
            </w:pPr>
            <w:r w:rsidRPr="00257414">
              <w:t>-1 001</w:t>
            </w:r>
          </w:p>
        </w:tc>
        <w:tc>
          <w:tcPr>
            <w:tcW w:w="1134"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F2149A2" w14:textId="77777777" w:rsidR="00ED0E85" w:rsidRPr="00257414" w:rsidRDefault="00ED0E85" w:rsidP="00ED0E85">
            <w:pPr>
              <w:pStyle w:val="TableDataEntries"/>
            </w:pPr>
            <w:r w:rsidRPr="00257414">
              <w:t>- 26</w:t>
            </w:r>
          </w:p>
        </w:tc>
      </w:tr>
    </w:tbl>
    <w:p w14:paraId="73D8DB13" w14:textId="77777777" w:rsidR="00ED0E85" w:rsidRDefault="00ED0E85" w:rsidP="00ED0E85">
      <w:pPr>
        <w:pStyle w:val="Source"/>
      </w:pPr>
      <w:r>
        <w:rPr>
          <w:i/>
        </w:rPr>
        <w:t>Source</w:t>
      </w:r>
      <w:r w:rsidRPr="00E4232C">
        <w:rPr>
          <w:i/>
        </w:rPr>
        <w:t>:</w:t>
      </w:r>
      <w:r>
        <w:t xml:space="preserve"> The CIE.</w:t>
      </w:r>
    </w:p>
    <w:p w14:paraId="61596927" w14:textId="77777777" w:rsidR="00ED0E85" w:rsidRDefault="00ED0E85" w:rsidP="00ED0E85">
      <w:pPr>
        <w:pStyle w:val="Heading2"/>
        <w:numPr>
          <w:ilvl w:val="1"/>
          <w:numId w:val="5"/>
        </w:numPr>
      </w:pPr>
      <w:bookmarkStart w:id="6015" w:name="_Toc19275539"/>
      <w:bookmarkStart w:id="6016" w:name="_Toc19276149"/>
      <w:bookmarkStart w:id="6017" w:name="_Toc19280148"/>
      <w:r>
        <w:t>Views of stakeholders</w:t>
      </w:r>
      <w:bookmarkEnd w:id="6015"/>
      <w:bookmarkEnd w:id="6016"/>
      <w:bookmarkEnd w:id="6017"/>
    </w:p>
    <w:p w14:paraId="3E23E3BF" w14:textId="77777777" w:rsidR="00ED0E85" w:rsidRDefault="00ED0E85" w:rsidP="00ED0E85">
      <w:pPr>
        <w:pStyle w:val="BodyText"/>
      </w:pPr>
      <w:r>
        <w:t>Stakeholders consulted during the review have provided the following views.</w:t>
      </w:r>
    </w:p>
    <w:p w14:paraId="01E4E36B" w14:textId="77777777" w:rsidR="00ED0E85" w:rsidRDefault="00ED0E85" w:rsidP="00ED0E85">
      <w:pPr>
        <w:pStyle w:val="ListBullet"/>
      </w:pPr>
      <w:r>
        <w:t>Tourism Accommodation Australia does not support mandatory disclosure of NABERS energy ratings for hotels. TAA argues that:</w:t>
      </w:r>
    </w:p>
    <w:p w14:paraId="44F528DB" w14:textId="77777777" w:rsidR="00ED0E85" w:rsidRDefault="00ED0E85" w:rsidP="00ED0E85">
      <w:pPr>
        <w:pStyle w:val="ListBullet2"/>
      </w:pPr>
      <w:r>
        <w:t>there is inadequate data to support that an expansion of the CBD Program to hotels</w:t>
      </w:r>
    </w:p>
    <w:p w14:paraId="0C2D411E" w14:textId="77777777" w:rsidR="00ED0E85" w:rsidRDefault="00ED0E85" w:rsidP="00ED0E85">
      <w:pPr>
        <w:pStyle w:val="ListBullet2"/>
      </w:pPr>
      <w:r>
        <w:t>hotels are already achieving energy efficiency improvements without the need for the program</w:t>
      </w:r>
    </w:p>
    <w:p w14:paraId="3F27C110" w14:textId="77777777" w:rsidR="00ED0E85" w:rsidRDefault="00ED0E85" w:rsidP="00ED0E85">
      <w:pPr>
        <w:pStyle w:val="ListBullet2"/>
      </w:pPr>
      <w:r>
        <w:t xml:space="preserve">a mandatory scheme </w:t>
      </w:r>
      <w:r w:rsidRPr="009253DC">
        <w:rPr>
          <w:rStyle w:val="ListBulletChar"/>
        </w:rPr>
        <w:t>applied to hotels would further distort the accommodation playing field, with some</w:t>
      </w:r>
      <w:r>
        <w:t xml:space="preserve"> accommodation providers required to be part of the scheme and others not required to</w:t>
      </w:r>
    </w:p>
    <w:p w14:paraId="7326603F" w14:textId="77777777" w:rsidR="00ED0E85" w:rsidRPr="00F40105" w:rsidRDefault="00ED0E85" w:rsidP="00ED0E85">
      <w:pPr>
        <w:pStyle w:val="ListBullet2"/>
      </w:pPr>
      <w:r>
        <w:t xml:space="preserve">the NABERS energy benchmarking tool for hotels would need to be improved, with input from the accommodation sector </w:t>
      </w:r>
    </w:p>
    <w:p w14:paraId="22473E22" w14:textId="77777777" w:rsidR="00ED0E85" w:rsidRPr="00F40105" w:rsidRDefault="00ED0E85" w:rsidP="00ED0E85">
      <w:pPr>
        <w:pStyle w:val="ListBullet2"/>
      </w:pPr>
      <w:r w:rsidRPr="00F40105">
        <w:t>if expansion proceeds, the CBD Program must include other internationally recognised certifications (</w:t>
      </w:r>
      <w:r>
        <w:t xml:space="preserve">e.g. </w:t>
      </w:r>
      <w:r w:rsidRPr="00F40105">
        <w:t xml:space="preserve">Green-Key, EarthCheck) </w:t>
      </w:r>
    </w:p>
    <w:p w14:paraId="222771E6" w14:textId="77777777" w:rsidR="00ED0E85" w:rsidRPr="00F40105" w:rsidRDefault="00ED0E85" w:rsidP="00ED0E85">
      <w:pPr>
        <w:pStyle w:val="ListBullet2"/>
      </w:pPr>
      <w:r w:rsidRPr="00F40105">
        <w:t xml:space="preserve">the star ratings system of NABERS is potentially confusing for customers as opposed to star rating for service standard </w:t>
      </w:r>
    </w:p>
    <w:p w14:paraId="5E494C56" w14:textId="77777777" w:rsidR="00ED0E85" w:rsidRDefault="00ED0E85" w:rsidP="00ED0E85">
      <w:pPr>
        <w:pStyle w:val="ListBullet"/>
      </w:pPr>
      <w:r>
        <w:t>Hotel groups consulted with individually presented a range of views, with a common theme that:</w:t>
      </w:r>
    </w:p>
    <w:p w14:paraId="3D025988" w14:textId="77777777" w:rsidR="00ED0E85" w:rsidRDefault="00ED0E85" w:rsidP="00ED0E85">
      <w:pPr>
        <w:pStyle w:val="ListBullet2"/>
      </w:pPr>
      <w:r>
        <w:t>a mandatory disclosure program focused on NABERS would lead them to invest in improving energy efficiency. In some cases this would require high cost upgrades, particularly for older buildings</w:t>
      </w:r>
    </w:p>
    <w:p w14:paraId="1E318B87" w14:textId="77777777" w:rsidR="00ED0E85" w:rsidRDefault="00ED0E85" w:rsidP="00ED0E85">
      <w:pPr>
        <w:pStyle w:val="ListBullet2"/>
      </w:pPr>
      <w:r>
        <w:t>NABERS energy is not currently providing a trusted benchmark for the hotel industry, either because of perceptions about what it does or actual real issues</w:t>
      </w:r>
    </w:p>
    <w:p w14:paraId="6DC27AB4" w14:textId="77777777" w:rsidR="00ED0E85" w:rsidRDefault="00ED0E85" w:rsidP="00ED0E85">
      <w:pPr>
        <w:pStyle w:val="ListBullet2"/>
      </w:pPr>
      <w:r>
        <w:t>there is a need to do something to focus the hotel industry on improving its energy efficiency performance, but an expansion of the CBD Program was not clearly the solution.</w:t>
      </w:r>
    </w:p>
    <w:p w14:paraId="58EA423A" w14:textId="77777777" w:rsidR="00ED0E85" w:rsidRDefault="00ED0E85" w:rsidP="00ED0E85">
      <w:pPr>
        <w:pStyle w:val="ListBullet"/>
      </w:pPr>
      <w:r>
        <w:t>Advisers to the hotel industry suggested:</w:t>
      </w:r>
    </w:p>
    <w:p w14:paraId="2DFB8835" w14:textId="77777777" w:rsidR="00ED0E85" w:rsidRDefault="00ED0E85" w:rsidP="00ED0E85">
      <w:pPr>
        <w:pStyle w:val="ListBullet2"/>
      </w:pPr>
      <w:r>
        <w:t>NABERS energy as a benchmark needs to be revised, as there are some issues with the benchmarks that it generates for hotels</w:t>
      </w:r>
    </w:p>
    <w:p w14:paraId="25A52AA1" w14:textId="77777777" w:rsidR="00ED0E85" w:rsidRDefault="00ED0E85" w:rsidP="00ED0E85">
      <w:pPr>
        <w:pStyle w:val="ListBullet2"/>
      </w:pPr>
      <w:r>
        <w:t>hotels are starting to focus on energy efficiency but a lot more could be done, and hotels lagged other commercial building sectors considerable.</w:t>
      </w:r>
    </w:p>
    <w:p w14:paraId="4C612001" w14:textId="77777777" w:rsidR="00ED0E85" w:rsidRDefault="00ED0E85" w:rsidP="00ED0E85">
      <w:pPr>
        <w:pStyle w:val="BodyText"/>
      </w:pPr>
      <w:r>
        <w:t>We have sought to take these views on board in our recommendations set out at the start of this chapter. We welcome further feedback from the industry.</w:t>
      </w:r>
    </w:p>
    <w:p w14:paraId="4515A513" w14:textId="77777777" w:rsidR="00ED0E85" w:rsidRDefault="00ED0E85" w:rsidP="00ED0E85">
      <w:pPr>
        <w:pStyle w:val="Heading2"/>
        <w:numPr>
          <w:ilvl w:val="1"/>
          <w:numId w:val="5"/>
        </w:numPr>
      </w:pPr>
      <w:bookmarkStart w:id="6018" w:name="_Toc19275540"/>
      <w:bookmarkStart w:id="6019" w:name="_Toc19276150"/>
      <w:bookmarkStart w:id="6020" w:name="_Toc19280149"/>
      <w:r>
        <w:t>Feedback</w:t>
      </w:r>
      <w:bookmarkEnd w:id="6018"/>
      <w:bookmarkEnd w:id="6019"/>
      <w:bookmarkEnd w:id="6020"/>
    </w:p>
    <w:p w14:paraId="6A6A9427" w14:textId="77777777" w:rsidR="00ED0E85" w:rsidRDefault="00ED0E85" w:rsidP="00ED0E85">
      <w:pPr>
        <w:pStyle w:val="BodyText"/>
      </w:pPr>
      <w:r>
        <w:t>We are seeking feedback on all our recommendations in our draft report. There is substantial uncertainty about the extent to which a mandatory disclosure program will improve energy efficiency of hotels and the costs of improving energy efficiency. We would particularly like feedback on:</w:t>
      </w:r>
    </w:p>
    <w:p w14:paraId="15C29C99" w14:textId="77777777" w:rsidR="00ED0E85" w:rsidRDefault="00ED0E85" w:rsidP="00ED0E85">
      <w:pPr>
        <w:pStyle w:val="ListBullet"/>
      </w:pPr>
      <w:r>
        <w:t>the types of accommodation establishments that are captured under the Program. The current recommendation is limited to the coverage of the NABERS energy rating tool. Potentially, this could be extended to serviced apartments and motels. The legislation would also need a clearer definition of an accommodation hotel than provided by the NABERS energy tool to enable  businesses to understand whether they are or are not covered</w:t>
      </w:r>
    </w:p>
    <w:p w14:paraId="65FE59CB" w14:textId="77777777" w:rsidR="00ED0E85" w:rsidRDefault="00ED0E85" w:rsidP="00ED0E85">
      <w:pPr>
        <w:pStyle w:val="ListBullet"/>
      </w:pPr>
      <w:r>
        <w:t>whether a scheme should allow for a higher rating if renewable energy is purchased by the hotel</w:t>
      </w:r>
    </w:p>
    <w:p w14:paraId="69C7B422" w14:textId="77777777" w:rsidR="00ED0E85" w:rsidRDefault="00ED0E85" w:rsidP="00ED0E85">
      <w:pPr>
        <w:pStyle w:val="ListBullet"/>
      </w:pPr>
      <w:r>
        <w:t>the costs and level of impact we have assumed to achieve a sustained reduction in energy use for hotels</w:t>
      </w:r>
    </w:p>
    <w:p w14:paraId="2D567211" w14:textId="77777777" w:rsidR="00ED0E85" w:rsidRDefault="00ED0E85" w:rsidP="00ED0E85">
      <w:pPr>
        <w:pStyle w:val="ListBullet"/>
      </w:pPr>
      <w:r>
        <w:t>interest in participation in updating of energy efficiency benchmarks for hotels</w:t>
      </w:r>
    </w:p>
    <w:p w14:paraId="6862B75C" w14:textId="77777777" w:rsidR="00ED0E85" w:rsidRDefault="00ED0E85" w:rsidP="00ED0E85">
      <w:pPr>
        <w:pStyle w:val="ListBullet"/>
      </w:pPr>
      <w:r>
        <w:t>any further data on hotels relevant for the coverage of the scheme, and impacts of the scheme proposed</w:t>
      </w:r>
    </w:p>
    <w:p w14:paraId="2E2145AD" w14:textId="77777777" w:rsidR="00ED0E85" w:rsidRDefault="00ED0E85" w:rsidP="00ED0E85">
      <w:pPr>
        <w:pStyle w:val="ListBullet"/>
      </w:pPr>
      <w:r>
        <w:t>views on the proposed transition path for hotels.</w:t>
      </w:r>
    </w:p>
    <w:p w14:paraId="4D7ABDFC" w14:textId="77777777" w:rsidR="00ED0E85" w:rsidRPr="007347F0" w:rsidRDefault="00ED0E85" w:rsidP="00ED0E85">
      <w:pPr>
        <w:pStyle w:val="Heading1"/>
        <w:numPr>
          <w:ilvl w:val="0"/>
          <w:numId w:val="5"/>
        </w:numPr>
      </w:pPr>
      <w:bookmarkStart w:id="6021" w:name="_Toc19275541"/>
      <w:bookmarkStart w:id="6022" w:name="_Toc19276151"/>
      <w:bookmarkStart w:id="6023" w:name="_Toc19280150"/>
      <w:r w:rsidRPr="007347F0">
        <w:t>Data centres</w:t>
      </w:r>
      <w:bookmarkEnd w:id="6021"/>
      <w:bookmarkEnd w:id="6022"/>
      <w:bookmarkEnd w:id="6023"/>
    </w:p>
    <w:p w14:paraId="78D758F7" w14:textId="77777777" w:rsidR="00ED0E85" w:rsidRDefault="00ED0E85" w:rsidP="00ED0E85">
      <w:pPr>
        <w:pStyle w:val="Heading2"/>
        <w:numPr>
          <w:ilvl w:val="1"/>
          <w:numId w:val="5"/>
        </w:numPr>
      </w:pPr>
      <w:bookmarkStart w:id="6024" w:name="_Toc19275542"/>
      <w:bookmarkStart w:id="6025" w:name="_Toc19276152"/>
      <w:bookmarkStart w:id="6026" w:name="_Toc19280151"/>
      <w:r>
        <w:t>Key findings and draft recommendations</w:t>
      </w:r>
      <w:bookmarkEnd w:id="6024"/>
      <w:bookmarkEnd w:id="6025"/>
      <w:bookmarkEnd w:id="6026"/>
    </w:p>
    <w:p w14:paraId="787CF590" w14:textId="77777777" w:rsidR="00ED0E85" w:rsidRDefault="00ED0E85" w:rsidP="00ED0E85">
      <w:pPr>
        <w:pStyle w:val="KeyPoint"/>
      </w:pPr>
      <w:r>
        <w:t>There is currently insufficient evidence to support the expansion of the CBD Program to cover data centres.</w:t>
      </w:r>
    </w:p>
    <w:p w14:paraId="6CE57CA3" w14:textId="77777777" w:rsidR="00ED0E85" w:rsidRDefault="00ED0E85" w:rsidP="00ED0E85">
      <w:pPr>
        <w:pStyle w:val="ListBullet"/>
      </w:pPr>
      <w:r>
        <w:t>Data centres are harder to define than other types of commercial buildings and the market is constantly evolving.</w:t>
      </w:r>
    </w:p>
    <w:p w14:paraId="3AEB65A3" w14:textId="77777777" w:rsidR="00ED0E85" w:rsidRDefault="00ED0E85" w:rsidP="00ED0E85">
      <w:pPr>
        <w:pStyle w:val="ListBullet"/>
      </w:pPr>
      <w:r>
        <w:t>For colocation data centres, the available (albeit limited) evidence suggests that mandatory disclosure is unlikely to drive significant improvements in energy efficiency for existing data centres.</w:t>
      </w:r>
    </w:p>
    <w:p w14:paraId="73A6F1C2" w14:textId="77777777" w:rsidR="00ED0E85" w:rsidRDefault="00ED0E85" w:rsidP="00ED0E85">
      <w:pPr>
        <w:pStyle w:val="ListBullet2"/>
      </w:pPr>
      <w:r>
        <w:t>Energy is a much more significant proportion of costs than for other commercial buildings and colocation data centres must closely manage energy costs to compete effectively in the market. As such, there is much less likely to be poorly performing colocation data centres (the benefits of mandatory disclosure for office buildings has been driven to a significant extent by large improvements in buildings that were performing poorly when they entered the NABERS system).</w:t>
      </w:r>
    </w:p>
    <w:p w14:paraId="66958D9E" w14:textId="77777777" w:rsidR="00ED0E85" w:rsidRDefault="00ED0E85" w:rsidP="00ED0E85">
      <w:pPr>
        <w:pStyle w:val="ListBullet2"/>
      </w:pPr>
      <w:r>
        <w:t>There is little evidence of a systematic improvement in energy performance over time among the small number of data centres that voluntarily rate.</w:t>
      </w:r>
    </w:p>
    <w:p w14:paraId="1266E734" w14:textId="77777777" w:rsidR="00ED0E85" w:rsidRDefault="00ED0E85" w:rsidP="00ED0E85">
      <w:pPr>
        <w:pStyle w:val="ListBullet2"/>
      </w:pPr>
      <w:r>
        <w:t>There are significant barriers to improving the energy efficiency of existing data centres through end of life replacement of cooling systems.</w:t>
      </w:r>
    </w:p>
    <w:p w14:paraId="10C07296" w14:textId="77777777" w:rsidR="00ED0E85" w:rsidRDefault="00ED0E85" w:rsidP="00ED0E85">
      <w:pPr>
        <w:pStyle w:val="ListBullet"/>
      </w:pPr>
      <w:r>
        <w:t>Less is known about the performance of private data centres. Some stakeholders suggested that many of these data centres perform poorly (particularly government</w:t>
      </w:r>
      <w:r>
        <w:noBreakHyphen/>
        <w:t>owned data centres).</w:t>
      </w:r>
    </w:p>
    <w:p w14:paraId="41F89CEA" w14:textId="77777777" w:rsidR="00ED0E85" w:rsidRDefault="00ED0E85" w:rsidP="00ED0E85">
      <w:pPr>
        <w:pStyle w:val="BodyText"/>
      </w:pPr>
      <w:r>
        <w:t>Given that various governments own and operate a significant number of data centres and the energy efficiency of these data centres is reportedly poor, governments could choose to obtain NABERS ratings and report the rating in their annual report, without the need for regulatory change.</w:t>
      </w:r>
    </w:p>
    <w:p w14:paraId="79A88E3A" w14:textId="77777777" w:rsidR="00ED0E85" w:rsidRPr="009253DC" w:rsidRDefault="00ED0E85" w:rsidP="00ED0E85">
      <w:pPr>
        <w:pStyle w:val="ListBullet"/>
      </w:pPr>
      <w:r w:rsidRPr="009253DC">
        <w:t>We recommend that the Commonwealth and state governments commit to obtaining NABERS ratings for the data centres they own. This process should be used to gather information on:</w:t>
      </w:r>
    </w:p>
    <w:p w14:paraId="52654360" w14:textId="77777777" w:rsidR="00ED0E85" w:rsidRDefault="00ED0E85" w:rsidP="00ED0E85">
      <w:pPr>
        <w:pStyle w:val="ListBullet2"/>
      </w:pPr>
      <w:r>
        <w:t>the practical challenges associated with rating existing data centres</w:t>
      </w:r>
    </w:p>
    <w:p w14:paraId="11D6A0E8" w14:textId="77777777" w:rsidR="00ED0E85" w:rsidRDefault="00ED0E85" w:rsidP="00ED0E85">
      <w:pPr>
        <w:pStyle w:val="ListBullet2"/>
      </w:pPr>
      <w:r>
        <w:t>identifying whether the process of obtaining a NABERS rating identifies any cost-effective options for improving the energy efficiency of existing data centres</w:t>
      </w:r>
    </w:p>
    <w:p w14:paraId="71E78E63" w14:textId="77777777" w:rsidR="00ED0E85" w:rsidRDefault="00ED0E85" w:rsidP="00ED0E85">
      <w:pPr>
        <w:pStyle w:val="ListBullet2"/>
      </w:pPr>
      <w:r>
        <w:t>the cost of improving the energy efficiency of existing data centres.</w:t>
      </w:r>
    </w:p>
    <w:p w14:paraId="5B4E6F50" w14:textId="77777777" w:rsidR="00ED0E85" w:rsidRDefault="00ED0E85" w:rsidP="00ED0E85">
      <w:pPr>
        <w:pStyle w:val="ListBullet"/>
      </w:pPr>
      <w:r>
        <w:t>Based on these findings, the government could re</w:t>
      </w:r>
      <w:r>
        <w:noBreakHyphen/>
        <w:t>consider expanding mandatory disclosure requirements to data centres.</w:t>
      </w:r>
    </w:p>
    <w:p w14:paraId="6B1139EF" w14:textId="77777777" w:rsidR="00ED0E85" w:rsidRDefault="00ED0E85" w:rsidP="00ED0E85">
      <w:pPr>
        <w:pStyle w:val="Heading2"/>
        <w:numPr>
          <w:ilvl w:val="1"/>
          <w:numId w:val="5"/>
        </w:numPr>
      </w:pPr>
      <w:bookmarkStart w:id="6027" w:name="_Toc16168128"/>
      <w:bookmarkStart w:id="6028" w:name="_Toc19275543"/>
      <w:bookmarkStart w:id="6029" w:name="_Toc19276153"/>
      <w:bookmarkStart w:id="6030" w:name="_Toc19280152"/>
      <w:r>
        <w:t>Market overview</w:t>
      </w:r>
      <w:bookmarkEnd w:id="6027"/>
      <w:bookmarkEnd w:id="6028"/>
      <w:bookmarkEnd w:id="6029"/>
      <w:bookmarkEnd w:id="6030"/>
    </w:p>
    <w:p w14:paraId="0EE878EB" w14:textId="77777777" w:rsidR="00ED0E85" w:rsidRDefault="00ED0E85" w:rsidP="00ED0E85">
      <w:pPr>
        <w:pStyle w:val="BodyText"/>
      </w:pPr>
      <w:r>
        <w:t>Data centres house information technology (IT) equipment, as well as protecting it against disruption and ensuring it can operate reliably and securely. Data centres are large users of energy and are a growing sector.</w:t>
      </w:r>
    </w:p>
    <w:p w14:paraId="077382DA" w14:textId="77777777" w:rsidR="00ED0E85" w:rsidRDefault="00ED0E85" w:rsidP="00ED0E85">
      <w:pPr>
        <w:pStyle w:val="Heading3"/>
        <w:numPr>
          <w:ilvl w:val="2"/>
          <w:numId w:val="5"/>
        </w:numPr>
      </w:pPr>
      <w:r>
        <w:t>Market structure</w:t>
      </w:r>
    </w:p>
    <w:p w14:paraId="756F9080" w14:textId="77777777" w:rsidR="00ED0E85" w:rsidRDefault="00ED0E85" w:rsidP="00ED0E85">
      <w:pPr>
        <w:pStyle w:val="BodyText"/>
      </w:pPr>
      <w:r>
        <w:t>There are broadly two types of data centres:</w:t>
      </w:r>
    </w:p>
    <w:p w14:paraId="54077E40" w14:textId="77777777" w:rsidR="00ED0E85" w:rsidRDefault="00ED0E85" w:rsidP="00ED0E85">
      <w:pPr>
        <w:pStyle w:val="ListBullet"/>
      </w:pPr>
      <w:r w:rsidRPr="00190552">
        <w:rPr>
          <w:b/>
        </w:rPr>
        <w:t>Co-location data centres</w:t>
      </w:r>
      <w:r>
        <w:t xml:space="preserve"> — these are data centres that lease space for IT equipment to clients, where the client generally installs its own IT equipment.</w:t>
      </w:r>
    </w:p>
    <w:p w14:paraId="3E8351EA" w14:textId="77777777" w:rsidR="00ED0E85" w:rsidRDefault="00ED0E85" w:rsidP="00ED0E85">
      <w:pPr>
        <w:pStyle w:val="ListBullet"/>
      </w:pPr>
      <w:r w:rsidRPr="00453497">
        <w:rPr>
          <w:b/>
        </w:rPr>
        <w:t>Private data centres</w:t>
      </w:r>
      <w:r>
        <w:t xml:space="preserve"> — rather than subcontracting to a colocation data centre, many larger organisations own and operate their own data centres. That said, one stakeholder noted that some private data centres can be capable of delivering cloud services to thousands of customers under a Service Agreement.</w:t>
      </w:r>
    </w:p>
    <w:p w14:paraId="4EEA50BA" w14:textId="77777777" w:rsidR="00ED0E85" w:rsidRDefault="00ED0E85" w:rsidP="00ED0E85">
      <w:pPr>
        <w:pStyle w:val="Heading4"/>
        <w:numPr>
          <w:ilvl w:val="3"/>
          <w:numId w:val="5"/>
        </w:numPr>
      </w:pPr>
      <w:r>
        <w:t>Colocation data centres</w:t>
      </w:r>
    </w:p>
    <w:p w14:paraId="0E27DDCB" w14:textId="77777777" w:rsidR="00ED0E85" w:rsidRDefault="00ED0E85" w:rsidP="00ED0E85">
      <w:pPr>
        <w:pStyle w:val="BodyText"/>
      </w:pPr>
      <w:r>
        <w:t>Colocation data centres operate at both the wholesale and retail level.</w:t>
      </w:r>
    </w:p>
    <w:p w14:paraId="2A746FA4" w14:textId="77777777" w:rsidR="00ED0E85" w:rsidRDefault="00ED0E85" w:rsidP="00ED0E85">
      <w:pPr>
        <w:pStyle w:val="ListBullet"/>
      </w:pPr>
      <w:r>
        <w:t>Wholesale colocation data centres lease out larger spaces generally have long leases (10</w:t>
      </w:r>
      <w:r>
        <w:noBreakHyphen/>
        <w:t>15 years).</w:t>
      </w:r>
      <w:r>
        <w:rPr>
          <w:rStyle w:val="FootnoteReference"/>
        </w:rPr>
        <w:footnoteReference w:id="89"/>
      </w:r>
    </w:p>
    <w:p w14:paraId="4FEBB793" w14:textId="77777777" w:rsidR="00ED0E85" w:rsidRDefault="00ED0E85" w:rsidP="00ED0E85">
      <w:pPr>
        <w:pStyle w:val="ListBullet"/>
      </w:pPr>
      <w:r>
        <w:t>Retail data centres generally lease smaller spaces (sometimes at the rack level) and have shorter lease terms (typically around 3 years).</w:t>
      </w:r>
    </w:p>
    <w:p w14:paraId="20EE69CE" w14:textId="77777777" w:rsidR="00ED0E85" w:rsidRDefault="00ED0E85" w:rsidP="00ED0E85">
      <w:pPr>
        <w:pStyle w:val="BodyText"/>
      </w:pPr>
      <w:r>
        <w:t>The arrangements for energy costs can vary.</w:t>
      </w:r>
    </w:p>
    <w:p w14:paraId="755DD0C9" w14:textId="77777777" w:rsidR="00ED0E85" w:rsidRDefault="00ED0E85" w:rsidP="00ED0E85">
      <w:pPr>
        <w:pStyle w:val="ListBullet"/>
      </w:pPr>
      <w:r>
        <w:t>Similar to office buildings, the energy consumption of the IT equipment is generally metered separately, with the client billed directly.</w:t>
      </w:r>
    </w:p>
    <w:p w14:paraId="2B1F9DC4" w14:textId="77777777" w:rsidR="00ED0E85" w:rsidRDefault="00ED0E85" w:rsidP="00ED0E85">
      <w:pPr>
        <w:pStyle w:val="ListBullet"/>
      </w:pPr>
      <w:r>
        <w:t>The arrangements for infrastructure energy costs (including cooling etc.) can vary depending on the lease or Master Service Agreement. Infrastructure energy costs may be:</w:t>
      </w:r>
    </w:p>
    <w:p w14:paraId="76F42DA9" w14:textId="77777777" w:rsidR="00ED0E85" w:rsidRDefault="00ED0E85" w:rsidP="00ED0E85">
      <w:pPr>
        <w:pStyle w:val="ListBullet2"/>
      </w:pPr>
      <w:r>
        <w:t>passed onto tenants as a separate charge</w:t>
      </w:r>
    </w:p>
    <w:p w14:paraId="108894D9" w14:textId="77777777" w:rsidR="00ED0E85" w:rsidRDefault="00ED0E85" w:rsidP="00ED0E85">
      <w:pPr>
        <w:pStyle w:val="ListBullet2"/>
      </w:pPr>
      <w:r>
        <w:t>included in the lease rate (i.e. a gross lease).</w:t>
      </w:r>
    </w:p>
    <w:p w14:paraId="62C30466" w14:textId="77777777" w:rsidR="00ED0E85" w:rsidRDefault="00ED0E85" w:rsidP="00ED0E85">
      <w:pPr>
        <w:pStyle w:val="Heading4"/>
        <w:numPr>
          <w:ilvl w:val="3"/>
          <w:numId w:val="5"/>
        </w:numPr>
      </w:pPr>
      <w:r>
        <w:t>Private data centres</w:t>
      </w:r>
    </w:p>
    <w:p w14:paraId="6E8CA667" w14:textId="77777777" w:rsidR="00ED0E85" w:rsidRDefault="00ED0E85" w:rsidP="00ED0E85">
      <w:pPr>
        <w:pStyle w:val="BodyText"/>
      </w:pPr>
      <w:r>
        <w:t xml:space="preserve">Data centres that are owned and operated by the same company are referred to as private data centres. Note that this includes data centres owned and operated by various government agencies. Private data centres could be data rooms within another building (such as an office building); or a dedicated building. </w:t>
      </w:r>
    </w:p>
    <w:p w14:paraId="24D8A618" w14:textId="77777777" w:rsidR="00ED0E85" w:rsidRDefault="00ED0E85" w:rsidP="00ED0E85">
      <w:pPr>
        <w:pStyle w:val="BodyText"/>
      </w:pPr>
      <w:r>
        <w:t>As they are embedded in large organisations and not necessarily disclosed publicly, there is little information available on private data centres, including the number, size and location of private data centres or their energy performance.</w:t>
      </w:r>
    </w:p>
    <w:p w14:paraId="2668B71E" w14:textId="77777777" w:rsidR="00ED0E85" w:rsidRDefault="00ED0E85" w:rsidP="00ED0E85">
      <w:pPr>
        <w:pStyle w:val="Heading3"/>
        <w:numPr>
          <w:ilvl w:val="2"/>
          <w:numId w:val="5"/>
        </w:numPr>
      </w:pPr>
      <w:r>
        <w:t>Trends</w:t>
      </w:r>
    </w:p>
    <w:p w14:paraId="1A45CFEB" w14:textId="77777777" w:rsidR="00ED0E85" w:rsidRDefault="00ED0E85" w:rsidP="00ED0E85">
      <w:pPr>
        <w:pStyle w:val="BodyText"/>
      </w:pPr>
      <w:r>
        <w:t>Data centres have been a fast-growing sector. Stakeholders have reported a trend towards moving data centres from within the buildings that they service to specific</w:t>
      </w:r>
      <w:r>
        <w:noBreakHyphen/>
        <w:t>purpose buildings (such as colocation data centres). Separately metering data centres within office buildings (to exclude them from the base building rating) has been one strategy used to improve the base building rating.</w:t>
      </w:r>
    </w:p>
    <w:p w14:paraId="034631EF" w14:textId="77777777" w:rsidR="00ED0E85" w:rsidRPr="00DD2829" w:rsidRDefault="00ED0E85" w:rsidP="00ED0E85">
      <w:pPr>
        <w:pStyle w:val="BodyText"/>
      </w:pPr>
      <w:r>
        <w:t>More recently, there has been a growing trend back towards small and mini decentralised data centres located closer to the customer and the data centre user. A survey of data centre professionals estimated that these ‘Edge’ data centres would grow by 226 per cent by 2025.</w:t>
      </w:r>
    </w:p>
    <w:p w14:paraId="36F63CD8" w14:textId="77777777" w:rsidR="00ED0E85" w:rsidRDefault="00ED0E85" w:rsidP="00ED0E85">
      <w:pPr>
        <w:pStyle w:val="Heading3"/>
        <w:numPr>
          <w:ilvl w:val="2"/>
          <w:numId w:val="5"/>
        </w:numPr>
      </w:pPr>
      <w:r>
        <w:t>Voluntary uptake of NABERS</w:t>
      </w:r>
    </w:p>
    <w:p w14:paraId="1F890BF5" w14:textId="77777777" w:rsidR="00ED0E85" w:rsidRDefault="00ED0E85" w:rsidP="00ED0E85">
      <w:pPr>
        <w:pStyle w:val="BodyText"/>
      </w:pPr>
      <w:r>
        <w:t>There are various NABERS tools for data centres.</w:t>
      </w:r>
    </w:p>
    <w:p w14:paraId="679C662E" w14:textId="77777777" w:rsidR="00ED0E85" w:rsidRDefault="00ED0E85" w:rsidP="00ED0E85">
      <w:pPr>
        <w:pStyle w:val="ListBullet"/>
      </w:pPr>
      <w:r>
        <w:t>NABERS Energy for data centres (Infrastructure) — this rating is suitable for colocation data centres and measures a facility’s efficiency in supply the infrastructure services to the IT equipment housed in the data centre (i.e. the energy consumption that the data centre owner/manager has control over). This measure is analogous to the base building rating for office buildings.</w:t>
      </w:r>
    </w:p>
    <w:p w14:paraId="7608EB0B" w14:textId="77777777" w:rsidR="00ED0E85" w:rsidRDefault="00ED0E85" w:rsidP="00ED0E85">
      <w:pPr>
        <w:pStyle w:val="ListBullet"/>
      </w:pPr>
      <w:r>
        <w:t>NABERS Energy for data centres (IT Equipment) — this rating is for organisations that house their own IT equipment in the data centre (i.e. the clients of colocation data centres). It is analogous to the office tenancy rating.</w:t>
      </w:r>
    </w:p>
    <w:p w14:paraId="4F2DFA42" w14:textId="77777777" w:rsidR="00ED0E85" w:rsidRPr="0094479A" w:rsidRDefault="00ED0E85" w:rsidP="00ED0E85">
      <w:pPr>
        <w:pStyle w:val="ListBullet"/>
      </w:pPr>
      <w:r>
        <w:t>NABERS Energy for data centres (Whole facility) — this rating covers both the IT equipment and the infrastructure. It is therefore suitable for private data centres where the owner both manages an occupies their data centres. It can also be used where internal metering arrangements do not permit a separate IT Equipment or Infrastructure rating. This tool is analogous to the office whole building rating.</w:t>
      </w:r>
      <w:r>
        <w:rPr>
          <w:rStyle w:val="FootnoteReference"/>
        </w:rPr>
        <w:footnoteReference w:id="90"/>
      </w:r>
    </w:p>
    <w:p w14:paraId="31E69A28" w14:textId="117BD01B" w:rsidR="00ED0E85" w:rsidRDefault="00ED0E85" w:rsidP="00ED0E85">
      <w:pPr>
        <w:pStyle w:val="BodyText"/>
      </w:pPr>
      <w:r>
        <w:t>Although relatively new, the voluntary uptake of the NABERS data centre tools has been modest. There have been 47 ratings in total across 18 separate data centres, with all but four of these ratings covering the infrastructure only (implying a colocation data centre). As at 30 June 2018, there were 12 current ratings (chart </w:t>
      </w:r>
      <w:r>
        <w:rPr>
          <w:noProof/>
        </w:rPr>
        <w:fldChar w:fldCharType="begin"/>
      </w:r>
      <w:r>
        <w:rPr>
          <w:noProof/>
        </w:rPr>
        <w:instrText xml:space="preserve"> REF _Caption1108 </w:instrText>
      </w:r>
      <w:r>
        <w:rPr>
          <w:noProof/>
        </w:rPr>
        <w:fldChar w:fldCharType="separate"/>
      </w:r>
      <w:r w:rsidR="00AD3561">
        <w:rPr>
          <w:noProof/>
        </w:rPr>
        <w:t>9</w:t>
      </w:r>
      <w:r w:rsidR="00AD3561" w:rsidRPr="00695C93">
        <w:rPr>
          <w:noProof/>
        </w:rPr>
        <w:t>.</w:t>
      </w:r>
      <w:r w:rsidR="00AD3561">
        <w:rPr>
          <w:noProof/>
        </w:rPr>
        <w:t>1</w:t>
      </w:r>
      <w:r>
        <w:rPr>
          <w:noProof/>
        </w:rPr>
        <w:fldChar w:fldCharType="end"/>
      </w:r>
      <w:r>
        <w:t>).</w:t>
      </w:r>
    </w:p>
    <w:p w14:paraId="76B4C4BF" w14:textId="356A84C7"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9</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9</w:instrText>
      </w:r>
      <w:r>
        <w:rPr>
          <w:noProof/>
        </w:rPr>
        <w:fldChar w:fldCharType="end"/>
      </w:r>
      <w:r w:rsidRPr="00695C93">
        <w:instrText xml:space="preserve">." </w:instrText>
      </w:r>
      <w:r w:rsidRPr="00695C93">
        <w:fldChar w:fldCharType="separate"/>
      </w:r>
      <w:r w:rsidR="00AD3561">
        <w:rPr>
          <w:noProof/>
        </w:rPr>
        <w:instrText>9</w:instrText>
      </w:r>
      <w:r w:rsidR="00AD3561"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sidR="00C353B5">
        <w:rPr>
          <w:noProof/>
        </w:rPr>
        <w:instrText>9</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9</w:instrText>
      </w:r>
      <w:r>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w:instrText>
      </w:r>
      <w:r w:rsidRPr="00695C93">
        <w:fldChar w:fldCharType="end"/>
      </w:r>
      <w:r w:rsidRPr="00695C93">
        <w:instrText xml:space="preserve">" "" </w:instrText>
      </w:r>
      <w:r w:rsidRPr="00695C93">
        <w:fldChar w:fldCharType="separate"/>
      </w:r>
      <w:bookmarkStart w:id="6031" w:name="_Caption0727"/>
      <w:bookmarkStart w:id="6032" w:name="_Caption4758"/>
      <w:bookmarkStart w:id="6033" w:name="_Caption0990"/>
      <w:bookmarkStart w:id="6034" w:name="_Caption5290"/>
      <w:bookmarkStart w:id="6035" w:name="_Caption1958"/>
      <w:bookmarkStart w:id="6036" w:name="_Caption3268"/>
      <w:bookmarkStart w:id="6037" w:name="_Caption3907"/>
      <w:bookmarkStart w:id="6038" w:name="_Caption6768"/>
      <w:bookmarkStart w:id="6039" w:name="_Caption3252"/>
      <w:bookmarkStart w:id="6040" w:name="_Caption4633"/>
      <w:bookmarkStart w:id="6041" w:name="_Caption5093"/>
      <w:bookmarkStart w:id="6042" w:name="_Caption2923"/>
      <w:bookmarkStart w:id="6043" w:name="_Caption6533"/>
      <w:bookmarkStart w:id="6044" w:name="_Caption2835"/>
      <w:bookmarkStart w:id="6045" w:name="_Caption9970"/>
      <w:bookmarkStart w:id="6046" w:name="_Caption3574"/>
      <w:bookmarkStart w:id="6047" w:name="_Caption7377"/>
      <w:bookmarkStart w:id="6048" w:name="_Caption5927"/>
      <w:bookmarkStart w:id="6049" w:name="_Caption1564"/>
      <w:bookmarkStart w:id="6050" w:name="_Caption5903"/>
      <w:bookmarkStart w:id="6051" w:name="_Caption3601"/>
      <w:bookmarkStart w:id="6052" w:name="_Caption3404"/>
      <w:bookmarkStart w:id="6053" w:name="_Caption9150"/>
      <w:bookmarkStart w:id="6054" w:name="_Caption0472"/>
      <w:bookmarkStart w:id="6055" w:name="_Caption0923"/>
      <w:bookmarkStart w:id="6056" w:name="_Caption0145"/>
      <w:bookmarkStart w:id="6057" w:name="_Caption7301"/>
      <w:bookmarkStart w:id="6058" w:name="_Caption7165"/>
      <w:bookmarkStart w:id="6059" w:name="_Caption3310"/>
      <w:bookmarkStart w:id="6060" w:name="_Caption9499"/>
      <w:bookmarkStart w:id="6061" w:name="_Caption1158"/>
      <w:bookmarkStart w:id="6062" w:name="_Caption3441"/>
      <w:bookmarkStart w:id="6063" w:name="_Caption7135"/>
      <w:bookmarkStart w:id="6064" w:name="_Caption2718"/>
      <w:bookmarkStart w:id="6065" w:name="_Caption6288"/>
      <w:bookmarkStart w:id="6066" w:name="_Caption6637"/>
      <w:bookmarkStart w:id="6067" w:name="_Caption4865"/>
      <w:bookmarkStart w:id="6068" w:name="_Caption9173"/>
      <w:bookmarkStart w:id="6069" w:name="_Caption6163"/>
      <w:bookmarkStart w:id="6070" w:name="_Caption0845"/>
      <w:bookmarkStart w:id="6071" w:name="_Caption0654"/>
      <w:bookmarkStart w:id="6072" w:name="_Caption1108"/>
      <w:bookmarkStart w:id="6073" w:name="_Caption3224"/>
      <w:bookmarkStart w:id="6074" w:name="_Caption8242"/>
      <w:bookmarkStart w:id="6075" w:name="_Caption2119"/>
      <w:bookmarkStart w:id="6076" w:name="_Caption1759"/>
      <w:bookmarkStart w:id="6077" w:name="_Caption9888"/>
      <w:bookmarkStart w:id="6078" w:name="_Caption6437"/>
      <w:bookmarkStart w:id="6079" w:name="_Caption5685"/>
      <w:bookmarkStart w:id="6080" w:name="_Caption2092"/>
      <w:bookmarkStart w:id="6081" w:name="_Caption9096"/>
      <w:bookmarkStart w:id="6082" w:name="_Caption3228"/>
      <w:bookmarkStart w:id="6083" w:name="_Caption4434"/>
      <w:bookmarkStart w:id="6084" w:name="_Caption8343"/>
      <w:bookmarkStart w:id="6085" w:name="_Caption4369"/>
      <w:bookmarkStart w:id="6086" w:name="_Caption0558"/>
      <w:bookmarkStart w:id="6087" w:name="_Caption3914"/>
      <w:bookmarkStart w:id="6088" w:name="_Caption8565"/>
      <w:bookmarkStart w:id="6089" w:name="_Caption3133"/>
      <w:bookmarkStart w:id="6090" w:name="_Caption3303"/>
      <w:bookmarkStart w:id="6091" w:name="_Caption0783"/>
      <w:bookmarkStart w:id="6092" w:name="_Caption5076"/>
      <w:bookmarkStart w:id="6093" w:name="_Caption9454"/>
      <w:bookmarkStart w:id="6094" w:name="_Caption9995"/>
      <w:bookmarkStart w:id="6095" w:name="_Caption8855"/>
      <w:bookmarkStart w:id="6096" w:name="_Caption1340"/>
      <w:bookmarkStart w:id="6097" w:name="_Caption1883"/>
      <w:bookmarkStart w:id="6098" w:name="_Caption8524"/>
      <w:bookmarkStart w:id="6099" w:name="_Caption9149"/>
      <w:bookmarkStart w:id="6100" w:name="_Caption8398"/>
      <w:bookmarkStart w:id="6101" w:name="_Caption1080"/>
      <w:bookmarkStart w:id="6102" w:name="_Caption3705"/>
      <w:bookmarkStart w:id="6103" w:name="_Caption2842"/>
      <w:bookmarkStart w:id="6104" w:name="_Caption0326"/>
      <w:bookmarkStart w:id="6105" w:name="_Caption5400"/>
      <w:bookmarkStart w:id="6106" w:name="_Caption9363"/>
      <w:bookmarkStart w:id="6107" w:name="_Caption1581"/>
      <w:bookmarkStart w:id="6108" w:name="_Caption4737"/>
      <w:bookmarkStart w:id="6109" w:name="_Caption3540"/>
      <w:bookmarkStart w:id="6110" w:name="_Caption0810"/>
      <w:bookmarkStart w:id="6111" w:name="_Caption7582"/>
      <w:bookmarkStart w:id="6112" w:name="_Caption4686"/>
      <w:bookmarkStart w:id="6113" w:name="_Caption4551"/>
      <w:bookmarkStart w:id="6114" w:name="_Caption2411"/>
      <w:bookmarkStart w:id="6115" w:name="_Caption5908"/>
      <w:bookmarkStart w:id="6116" w:name="_Caption1152"/>
      <w:bookmarkStart w:id="6117" w:name="_Caption3695"/>
      <w:bookmarkStart w:id="6118" w:name="_Caption0964"/>
      <w:bookmarkStart w:id="6119" w:name="_Caption8183"/>
      <w:bookmarkStart w:id="6120" w:name="_Toc12633742"/>
      <w:bookmarkStart w:id="6121" w:name="_Toc19275644"/>
      <w:bookmarkStart w:id="6122" w:name="_Toc19276254"/>
      <w:bookmarkStart w:id="6123" w:name="_Toc19280253"/>
      <w:r w:rsidR="00C353B5">
        <w:rPr>
          <w:noProof/>
        </w:rPr>
        <w:t>9</w:t>
      </w:r>
      <w:r w:rsidR="00C353B5" w:rsidRPr="00695C93">
        <w:rPr>
          <w:noProof/>
        </w:rPr>
        <w:t>.</w:t>
      </w:r>
      <w:r w:rsidR="00C353B5">
        <w:rPr>
          <w:noProof/>
        </w:rPr>
        <w:t>1</w:t>
      </w:r>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r w:rsidRPr="00695C93">
        <w:fldChar w:fldCharType="end"/>
      </w:r>
      <w:r w:rsidRPr="00695C93">
        <w:tab/>
      </w:r>
      <w:r>
        <w:t>Number of NABERS data centre ratings over time</w:t>
      </w:r>
      <w:bookmarkEnd w:id="6120"/>
      <w:bookmarkEnd w:id="6121"/>
      <w:bookmarkEnd w:id="6122"/>
      <w:bookmarkEnd w:id="6123"/>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0C6F8EBE" w14:textId="77777777" w:rsidTr="00ED0E85">
        <w:trPr>
          <w:cantSplit/>
        </w:trPr>
        <w:tc>
          <w:tcPr>
            <w:tcW w:w="7938" w:type="dxa"/>
            <w:shd w:val="clear" w:color="auto" w:fill="E9E8E5" w:themeFill="background2"/>
          </w:tcPr>
          <w:p w14:paraId="0FECD9E3" w14:textId="77777777" w:rsidR="00ED0E85" w:rsidRDefault="00ED0E85" w:rsidP="00ED0E85">
            <w:pPr>
              <w:pStyle w:val="Chart"/>
              <w:jc w:val="center"/>
            </w:pPr>
            <w:r w:rsidRPr="00CA717F">
              <w:rPr>
                <w:noProof/>
                <w:lang w:eastAsia="en-AU"/>
              </w:rPr>
              <w:drawing>
                <wp:inline distT="0" distB="0" distL="0" distR="0" wp14:anchorId="1A3E329F" wp14:editId="5F28ABC4">
                  <wp:extent cx="4913906" cy="2437765"/>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913906" cy="2437765"/>
                          </a:xfrm>
                          <a:prstGeom prst="rect">
                            <a:avLst/>
                          </a:prstGeom>
                          <a:noFill/>
                          <a:ln>
                            <a:noFill/>
                          </a:ln>
                        </pic:spPr>
                      </pic:pic>
                    </a:graphicData>
                  </a:graphic>
                </wp:inline>
              </w:drawing>
            </w:r>
          </w:p>
        </w:tc>
      </w:tr>
    </w:tbl>
    <w:p w14:paraId="2EC3C81F" w14:textId="77777777" w:rsidR="00ED0E85" w:rsidRDefault="00ED0E85" w:rsidP="00ED0E85">
      <w:pPr>
        <w:pStyle w:val="Source"/>
      </w:pPr>
      <w:r>
        <w:rPr>
          <w:i/>
        </w:rPr>
        <w:t>Data source</w:t>
      </w:r>
      <w:r w:rsidRPr="00A67576">
        <w:rPr>
          <w:i/>
        </w:rPr>
        <w:t>:</w:t>
      </w:r>
      <w:r>
        <w:t xml:space="preserve"> NABERS Annual Report.</w:t>
      </w:r>
    </w:p>
    <w:p w14:paraId="27E11079" w14:textId="77777777" w:rsidR="00ED0E85" w:rsidRDefault="00ED0E85" w:rsidP="00ED0E85">
      <w:pPr>
        <w:pStyle w:val="Heading3"/>
        <w:numPr>
          <w:ilvl w:val="2"/>
          <w:numId w:val="5"/>
        </w:numPr>
        <w:spacing w:before="360"/>
        <w:rPr>
          <w:lang w:eastAsia="en-US"/>
        </w:rPr>
      </w:pPr>
      <w:r>
        <w:rPr>
          <w:lang w:eastAsia="en-US"/>
        </w:rPr>
        <w:t>Other reporting requirements</w:t>
      </w:r>
    </w:p>
    <w:p w14:paraId="0041C92E" w14:textId="359AD634" w:rsidR="00ED0E85" w:rsidRDefault="00ED0E85" w:rsidP="00ED0E85">
      <w:pPr>
        <w:pStyle w:val="BodyText"/>
        <w:rPr>
          <w:lang w:eastAsia="en-US"/>
        </w:rPr>
      </w:pPr>
      <w:r>
        <w:rPr>
          <w:lang w:eastAsia="en-US"/>
        </w:rPr>
        <w:t>As large energy users, some data centre owners are covered by reporting requirements under the National Greenhouse and Energy Reporting Scheme (NGERS). The facility and corporate group thresholds for these reporting requirements are shown in table </w:t>
      </w:r>
      <w:r>
        <w:rPr>
          <w:lang w:eastAsia="en-US"/>
        </w:rPr>
        <w:fldChar w:fldCharType="begin"/>
      </w:r>
      <w:r>
        <w:rPr>
          <w:lang w:eastAsia="en-US"/>
        </w:rPr>
        <w:instrText xml:space="preserve"> REF _Caption7703 </w:instrText>
      </w:r>
      <w:r>
        <w:rPr>
          <w:lang w:eastAsia="en-US"/>
        </w:rPr>
        <w:fldChar w:fldCharType="separate"/>
      </w:r>
      <w:r w:rsidR="00AD3561">
        <w:rPr>
          <w:noProof/>
        </w:rPr>
        <w:t>9</w:t>
      </w:r>
      <w:r w:rsidR="00AD3561" w:rsidRPr="00695C93">
        <w:rPr>
          <w:noProof/>
        </w:rPr>
        <w:t>.</w:t>
      </w:r>
      <w:r w:rsidR="00AD3561">
        <w:rPr>
          <w:noProof/>
        </w:rPr>
        <w:t>2</w:t>
      </w:r>
      <w:r>
        <w:rPr>
          <w:lang w:eastAsia="en-US"/>
        </w:rPr>
        <w:fldChar w:fldCharType="end"/>
      </w:r>
      <w:r>
        <w:rPr>
          <w:lang w:eastAsia="en-US"/>
        </w:rPr>
        <w:t>.</w:t>
      </w:r>
    </w:p>
    <w:p w14:paraId="76CF874E" w14:textId="1D4076FE" w:rsidR="00ED0E85" w:rsidRDefault="00ED0E85" w:rsidP="00ED0E85">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w:instrText>
      </w:r>
      <w:r w:rsidRPr="00695C93">
        <w:fldChar w:fldCharType="separate"/>
      </w:r>
      <w:r w:rsidR="00AD3561">
        <w:rPr>
          <w:noProof/>
        </w:rPr>
        <w:instrText>9</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9</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2</w:instrText>
      </w:r>
      <w:r w:rsidRPr="00695C93">
        <w:fldChar w:fldCharType="end"/>
      </w:r>
      <w:r w:rsidRPr="00695C93">
        <w:instrText xml:space="preserve">" "" </w:instrText>
      </w:r>
      <w:r w:rsidRPr="00695C93">
        <w:fldChar w:fldCharType="separate"/>
      </w:r>
      <w:bookmarkStart w:id="6124" w:name="_Caption3036"/>
      <w:bookmarkStart w:id="6125" w:name="_Caption9394"/>
      <w:bookmarkStart w:id="6126" w:name="_Caption5929"/>
      <w:bookmarkStart w:id="6127" w:name="_Caption1084"/>
      <w:bookmarkStart w:id="6128" w:name="_Caption0691"/>
      <w:bookmarkStart w:id="6129" w:name="_Caption2734"/>
      <w:bookmarkStart w:id="6130" w:name="_Caption9071"/>
      <w:bookmarkStart w:id="6131" w:name="_Caption4981"/>
      <w:bookmarkStart w:id="6132" w:name="_Caption6777"/>
      <w:bookmarkStart w:id="6133" w:name="_Caption5848"/>
      <w:bookmarkStart w:id="6134" w:name="_Caption5973"/>
      <w:bookmarkStart w:id="6135" w:name="_Caption7811"/>
      <w:bookmarkStart w:id="6136" w:name="_Caption6213"/>
      <w:bookmarkStart w:id="6137" w:name="_Caption0419"/>
      <w:bookmarkStart w:id="6138" w:name="_Caption7833"/>
      <w:bookmarkStart w:id="6139" w:name="_Caption5631"/>
      <w:bookmarkStart w:id="6140" w:name="_Caption1462"/>
      <w:bookmarkStart w:id="6141" w:name="_Caption2605"/>
      <w:bookmarkStart w:id="6142" w:name="_Caption9321"/>
      <w:bookmarkStart w:id="6143" w:name="_Caption6809"/>
      <w:bookmarkStart w:id="6144" w:name="_Caption6938"/>
      <w:bookmarkStart w:id="6145" w:name="_Caption0433"/>
      <w:bookmarkStart w:id="6146" w:name="_Caption0980"/>
      <w:bookmarkStart w:id="6147" w:name="_Caption1922"/>
      <w:bookmarkStart w:id="6148" w:name="_Caption3625"/>
      <w:bookmarkStart w:id="6149" w:name="_Caption9625"/>
      <w:bookmarkStart w:id="6150" w:name="_Caption8479"/>
      <w:bookmarkStart w:id="6151" w:name="_Caption7432"/>
      <w:bookmarkStart w:id="6152" w:name="_Caption5406"/>
      <w:bookmarkStart w:id="6153" w:name="_Caption7703"/>
      <w:bookmarkStart w:id="6154" w:name="_Caption3936"/>
      <w:bookmarkStart w:id="6155" w:name="_Caption7671"/>
      <w:bookmarkStart w:id="6156" w:name="_Caption4999"/>
      <w:bookmarkStart w:id="6157" w:name="_Caption0139"/>
      <w:bookmarkStart w:id="6158" w:name="_Caption3562"/>
      <w:bookmarkStart w:id="6159" w:name="_Caption3781"/>
      <w:bookmarkStart w:id="6160" w:name="_Caption1962"/>
      <w:bookmarkStart w:id="6161" w:name="_Toc19275645"/>
      <w:bookmarkStart w:id="6162" w:name="_Toc19276255"/>
      <w:bookmarkStart w:id="6163" w:name="_Toc19280254"/>
      <w:r w:rsidR="00C353B5">
        <w:rPr>
          <w:noProof/>
        </w:rPr>
        <w:t>9</w:t>
      </w:r>
      <w:r w:rsidR="00C353B5" w:rsidRPr="00695C93">
        <w:rPr>
          <w:noProof/>
        </w:rPr>
        <w:t>.</w:t>
      </w:r>
      <w:r w:rsidR="00C353B5">
        <w:rPr>
          <w:noProof/>
        </w:rPr>
        <w:t>2</w:t>
      </w:r>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r w:rsidRPr="00695C93">
        <w:fldChar w:fldCharType="end"/>
      </w:r>
      <w:r w:rsidRPr="00695C93">
        <w:tab/>
      </w:r>
      <w:r>
        <w:t>NGERS reporting thresholds</w:t>
      </w:r>
      <w:bookmarkEnd w:id="6161"/>
      <w:bookmarkEnd w:id="6162"/>
      <w:bookmarkEnd w:id="6163"/>
    </w:p>
    <w:tbl>
      <w:tblPr>
        <w:tblW w:w="0" w:type="auto"/>
        <w:tblLayout w:type="fixed"/>
        <w:tblLook w:val="0000" w:firstRow="0" w:lastRow="0" w:firstColumn="0" w:lastColumn="0" w:noHBand="0" w:noVBand="0"/>
      </w:tblPr>
      <w:tblGrid>
        <w:gridCol w:w="2552"/>
        <w:gridCol w:w="5385"/>
      </w:tblGrid>
      <w:tr w:rsidR="00ED0E85" w14:paraId="68B5397F" w14:textId="77777777" w:rsidTr="00ED0E85">
        <w:tc>
          <w:tcPr>
            <w:tcW w:w="2552" w:type="dxa"/>
            <w:tcBorders>
              <w:bottom w:val="single" w:sz="8" w:space="0" w:color="FFFFFF" w:themeColor="background1"/>
            </w:tcBorders>
            <w:shd w:val="clear" w:color="auto" w:fill="6F6652"/>
            <w:tcMar>
              <w:left w:w="57" w:type="dxa"/>
              <w:right w:w="57" w:type="dxa"/>
            </w:tcMar>
          </w:tcPr>
          <w:p w14:paraId="1286B1E1" w14:textId="77777777" w:rsidR="00ED0E85" w:rsidRDefault="00ED0E85" w:rsidP="00ED0E85">
            <w:pPr>
              <w:pStyle w:val="TableTextColumnHeading"/>
            </w:pPr>
          </w:p>
        </w:tc>
        <w:tc>
          <w:tcPr>
            <w:tcW w:w="5385" w:type="dxa"/>
            <w:tcBorders>
              <w:bottom w:val="single" w:sz="8" w:space="0" w:color="FFFFFF" w:themeColor="background1"/>
            </w:tcBorders>
            <w:shd w:val="clear" w:color="auto" w:fill="6F6652"/>
            <w:tcMar>
              <w:left w:w="57" w:type="dxa"/>
              <w:right w:w="57" w:type="dxa"/>
            </w:tcMar>
          </w:tcPr>
          <w:p w14:paraId="5462ADDF" w14:textId="77777777" w:rsidR="00ED0E85" w:rsidRDefault="00ED0E85" w:rsidP="00ED0E85">
            <w:pPr>
              <w:pStyle w:val="TableTextColumnHeading"/>
            </w:pPr>
            <w:r>
              <w:t>Thresholds</w:t>
            </w:r>
          </w:p>
        </w:tc>
      </w:tr>
      <w:tr w:rsidR="00ED0E85" w14:paraId="4E87204D" w14:textId="77777777" w:rsidTr="00ED0E85">
        <w:tc>
          <w:tcPr>
            <w:tcW w:w="25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6BB626" w14:textId="77777777" w:rsidR="00ED0E85" w:rsidRDefault="00ED0E85" w:rsidP="00ED0E85">
            <w:pPr>
              <w:pStyle w:val="TableTextEntries"/>
            </w:pPr>
            <w:r>
              <w:t>Facility threshold</w:t>
            </w:r>
          </w:p>
        </w:tc>
        <w:tc>
          <w:tcPr>
            <w:tcW w:w="538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3790B1" w14:textId="77777777" w:rsidR="00ED0E85" w:rsidRPr="00FD4DD5" w:rsidRDefault="00ED0E85" w:rsidP="00ED0E85">
            <w:pPr>
              <w:pStyle w:val="TableListBullet"/>
              <w:rPr>
                <w:lang w:val="en-GB"/>
              </w:rPr>
            </w:pPr>
            <w:r w:rsidRPr="00FD4DD5">
              <w:rPr>
                <w:lang w:val="en-GB"/>
              </w:rPr>
              <w:t>25 kt or more of</w:t>
            </w:r>
            <w:r>
              <w:rPr>
                <w:lang w:val="en-GB"/>
              </w:rPr>
              <w:t xml:space="preserve"> greenhouse gases </w:t>
            </w:r>
            <w:r w:rsidRPr="00FD4DD5">
              <w:rPr>
                <w:lang w:val="en-GB"/>
              </w:rPr>
              <w:t>(CO</w:t>
            </w:r>
            <w:r w:rsidRPr="00FD4DD5">
              <w:rPr>
                <w:szCs w:val="16"/>
                <w:vertAlign w:val="subscript"/>
                <w:lang w:val="en-GB"/>
              </w:rPr>
              <w:t>2</w:t>
            </w:r>
            <w:r w:rsidRPr="00FD4DD5">
              <w:rPr>
                <w:lang w:val="en-GB"/>
              </w:rPr>
              <w:t>-e) (scope 1 and scope 2 emissions)</w:t>
            </w:r>
          </w:p>
          <w:p w14:paraId="74B6BBAD" w14:textId="77777777" w:rsidR="00ED0E85" w:rsidRPr="00FD4DD5" w:rsidRDefault="00ED0E85" w:rsidP="00ED0E85">
            <w:pPr>
              <w:pStyle w:val="TableListBullet"/>
              <w:rPr>
                <w:lang w:val="en-GB"/>
              </w:rPr>
            </w:pPr>
            <w:r w:rsidRPr="00FD4DD5">
              <w:rPr>
                <w:lang w:val="en-GB"/>
              </w:rPr>
              <w:t>production of 100 TJ or more of energy, or</w:t>
            </w:r>
          </w:p>
          <w:p w14:paraId="214AD2D6" w14:textId="77777777" w:rsidR="00ED0E85" w:rsidRDefault="00ED0E85" w:rsidP="00ED0E85">
            <w:pPr>
              <w:pStyle w:val="TableListBullet"/>
            </w:pPr>
            <w:r w:rsidRPr="00FD4DD5">
              <w:rPr>
                <w:lang w:val="en-GB"/>
              </w:rPr>
              <w:t>consumption of 100 TJ or more of energy.</w:t>
            </w:r>
          </w:p>
        </w:tc>
      </w:tr>
      <w:tr w:rsidR="00ED0E85" w14:paraId="4AB5C297" w14:textId="77777777" w:rsidTr="00ED0E85">
        <w:tc>
          <w:tcPr>
            <w:tcW w:w="2552" w:type="dxa"/>
            <w:tcBorders>
              <w:top w:val="single" w:sz="8" w:space="0" w:color="FFFFFF" w:themeColor="background1"/>
              <w:bottom w:val="single" w:sz="6" w:space="0" w:color="6F6652"/>
            </w:tcBorders>
            <w:shd w:val="clear" w:color="auto" w:fill="E9E8E5" w:themeFill="background2"/>
            <w:tcMar>
              <w:left w:w="57" w:type="dxa"/>
              <w:right w:w="57" w:type="dxa"/>
            </w:tcMar>
          </w:tcPr>
          <w:p w14:paraId="30EF0B88" w14:textId="77777777" w:rsidR="00ED0E85" w:rsidRDefault="00ED0E85" w:rsidP="00ED0E85">
            <w:pPr>
              <w:pStyle w:val="TableTextEntries"/>
            </w:pPr>
            <w:r>
              <w:t>Corporate group thresholds</w:t>
            </w:r>
          </w:p>
        </w:tc>
        <w:tc>
          <w:tcPr>
            <w:tcW w:w="5385" w:type="dxa"/>
            <w:tcBorders>
              <w:top w:val="single" w:sz="8" w:space="0" w:color="FFFFFF" w:themeColor="background1"/>
              <w:bottom w:val="single" w:sz="6" w:space="0" w:color="6F6652"/>
            </w:tcBorders>
            <w:shd w:val="clear" w:color="auto" w:fill="E9E8E5" w:themeFill="background2"/>
            <w:tcMar>
              <w:left w:w="57" w:type="dxa"/>
              <w:right w:w="57" w:type="dxa"/>
            </w:tcMar>
          </w:tcPr>
          <w:p w14:paraId="5D9A26EA" w14:textId="77777777" w:rsidR="00ED0E85" w:rsidRPr="00FD4DD5" w:rsidRDefault="00ED0E85" w:rsidP="00ED0E85">
            <w:pPr>
              <w:pStyle w:val="TableListBullet"/>
              <w:rPr>
                <w:lang w:val="en-GB"/>
              </w:rPr>
            </w:pPr>
            <w:r w:rsidRPr="00FD4DD5">
              <w:rPr>
                <w:lang w:val="en-GB"/>
              </w:rPr>
              <w:t>50 kt or more of</w:t>
            </w:r>
            <w:r>
              <w:rPr>
                <w:lang w:val="en-GB"/>
              </w:rPr>
              <w:t xml:space="preserve"> greenhouse gases</w:t>
            </w:r>
            <w:r w:rsidRPr="00FD4DD5">
              <w:rPr>
                <w:lang w:val="en-GB"/>
              </w:rPr>
              <w:t xml:space="preserve"> (CO</w:t>
            </w:r>
            <w:r w:rsidRPr="00FD4DD5">
              <w:rPr>
                <w:szCs w:val="16"/>
                <w:vertAlign w:val="subscript"/>
                <w:lang w:val="en-GB"/>
              </w:rPr>
              <w:t>2</w:t>
            </w:r>
            <w:r w:rsidRPr="00FD4DD5">
              <w:rPr>
                <w:lang w:val="en-GB"/>
              </w:rPr>
              <w:t>-e) (scope 1 and scope 2 emissions)</w:t>
            </w:r>
          </w:p>
          <w:p w14:paraId="7DD3B5EC" w14:textId="77777777" w:rsidR="00ED0E85" w:rsidRPr="00FD4DD5" w:rsidRDefault="00ED0E85" w:rsidP="00ED0E85">
            <w:pPr>
              <w:pStyle w:val="TableListBullet"/>
              <w:rPr>
                <w:lang w:val="en-GB"/>
              </w:rPr>
            </w:pPr>
            <w:r w:rsidRPr="00FD4DD5">
              <w:rPr>
                <w:lang w:val="en-GB"/>
              </w:rPr>
              <w:t>production of 200 TJ or more of energy, or</w:t>
            </w:r>
          </w:p>
          <w:p w14:paraId="3DF7138C" w14:textId="77777777" w:rsidR="00ED0E85" w:rsidRDefault="00ED0E85" w:rsidP="00ED0E85">
            <w:pPr>
              <w:pStyle w:val="TableListBullet"/>
            </w:pPr>
            <w:r w:rsidRPr="00FD4DD5">
              <w:rPr>
                <w:lang w:val="en-GB"/>
              </w:rPr>
              <w:t>consumption of 200 TJ or more of energy.</w:t>
            </w:r>
          </w:p>
        </w:tc>
      </w:tr>
    </w:tbl>
    <w:p w14:paraId="39F707CD" w14:textId="77777777" w:rsidR="00ED0E85" w:rsidRDefault="00ED0E85" w:rsidP="00ED0E85">
      <w:pPr>
        <w:pStyle w:val="Source"/>
      </w:pPr>
      <w:r>
        <w:rPr>
          <w:i/>
        </w:rPr>
        <w:t>Source</w:t>
      </w:r>
      <w:r w:rsidRPr="00E4232C">
        <w:rPr>
          <w:i/>
        </w:rPr>
        <w:t>:</w:t>
      </w:r>
      <w:r>
        <w:t xml:space="preserve"> Clean Energy Regulator website, </w:t>
      </w:r>
      <w:hyperlink r:id="rId114" w:history="1">
        <w:r w:rsidRPr="00FD4DD5">
          <w:rPr>
            <w:lang w:eastAsia="en-AU"/>
          </w:rPr>
          <w:t>http://www.cleanenergyregulator.gov.au/NGER/Reporting-cycle/Assess-your-obligations/Reporting-thresholds</w:t>
        </w:r>
      </w:hyperlink>
      <w:r>
        <w:t>, accessed 9 August 2019.</w:t>
      </w:r>
    </w:p>
    <w:p w14:paraId="54F3215B" w14:textId="77777777" w:rsidR="00ED0E85" w:rsidRDefault="00ED0E85" w:rsidP="00ED0E85">
      <w:pPr>
        <w:pStyle w:val="Heading2"/>
        <w:numPr>
          <w:ilvl w:val="1"/>
          <w:numId w:val="5"/>
        </w:numPr>
        <w:spacing w:before="480"/>
      </w:pPr>
      <w:bookmarkStart w:id="6164" w:name="_Toc16168129"/>
      <w:bookmarkStart w:id="6165" w:name="_Toc19275544"/>
      <w:bookmarkStart w:id="6166" w:name="_Toc19276154"/>
      <w:bookmarkStart w:id="6167" w:name="_Toc19280153"/>
      <w:r>
        <w:t>Options for mandatory disclosure</w:t>
      </w:r>
      <w:bookmarkEnd w:id="6164"/>
      <w:bookmarkEnd w:id="6165"/>
      <w:bookmarkEnd w:id="6166"/>
      <w:bookmarkEnd w:id="6167"/>
    </w:p>
    <w:p w14:paraId="0E5390C1" w14:textId="77777777" w:rsidR="00ED0E85" w:rsidRDefault="00ED0E85" w:rsidP="00ED0E85">
      <w:pPr>
        <w:pStyle w:val="BodyText"/>
      </w:pPr>
      <w:r>
        <w:t>Some design considerations for a mandatory disclosure regime for data centres are outlined below.</w:t>
      </w:r>
    </w:p>
    <w:p w14:paraId="36E4F6C8" w14:textId="77777777" w:rsidR="001540E1" w:rsidRDefault="001540E1" w:rsidP="00ED0E85">
      <w:pPr>
        <w:pStyle w:val="Heading3"/>
        <w:numPr>
          <w:ilvl w:val="2"/>
          <w:numId w:val="5"/>
        </w:numPr>
        <w:spacing w:before="360"/>
      </w:pPr>
      <w:r>
        <w:br w:type="page"/>
      </w:r>
    </w:p>
    <w:p w14:paraId="08DC391E" w14:textId="77777777" w:rsidR="00ED0E85" w:rsidRDefault="00ED0E85" w:rsidP="00ED0E85">
      <w:pPr>
        <w:pStyle w:val="Heading3"/>
        <w:numPr>
          <w:ilvl w:val="2"/>
          <w:numId w:val="5"/>
        </w:numPr>
        <w:spacing w:before="360"/>
      </w:pPr>
      <w:r>
        <w:t>Information disclosed</w:t>
      </w:r>
    </w:p>
    <w:p w14:paraId="0387DAF1" w14:textId="77777777" w:rsidR="00ED0E85" w:rsidRDefault="00ED0E85" w:rsidP="00ED0E85">
      <w:pPr>
        <w:pStyle w:val="BodyText"/>
      </w:pPr>
      <w:r>
        <w:t>In practice the relevant NABERS rating is the only feasible option for mandatory disclosure.</w:t>
      </w:r>
    </w:p>
    <w:p w14:paraId="0DE6F505" w14:textId="77777777" w:rsidR="00ED0E85" w:rsidRDefault="00ED0E85" w:rsidP="00ED0E85">
      <w:pPr>
        <w:pStyle w:val="ListBullet"/>
      </w:pPr>
      <w:r>
        <w:t>Power usage effectiveness (PUE) is a measure of the efficiency of the infrastructure (this is particularly relevant to colocation data centre, but there is currently no standard way of measuring PUE and it is therefore open to gaming. A key advantage of the NABERS ratings is the rigorous quality assurance processes (such as assessor accreditation); NABERS ratings appear to be trusted and respected across the industry.</w:t>
      </w:r>
    </w:p>
    <w:p w14:paraId="70526D65" w14:textId="77777777" w:rsidR="00ED0E85" w:rsidRDefault="00ED0E85" w:rsidP="00ED0E85">
      <w:pPr>
        <w:pStyle w:val="ListBullet"/>
      </w:pPr>
      <w:r>
        <w:t>As with other industries, an adjusted measure is the best indicator of how efficiently the data centre is being managed and is likely to most closely align with the market/behavioural failure being addressed (see below).</w:t>
      </w:r>
    </w:p>
    <w:p w14:paraId="253BBED1" w14:textId="77777777" w:rsidR="00ED0E85" w:rsidRDefault="00ED0E85" w:rsidP="00ED0E85">
      <w:pPr>
        <w:pStyle w:val="BodyText"/>
      </w:pPr>
      <w:r>
        <w:t>Stakeholders generally agreed that the NABERS Energy for data centres (Infrastructure) tool is the most relevant. Stakeholders variously noted that the other tools are:</w:t>
      </w:r>
    </w:p>
    <w:p w14:paraId="00142CF9" w14:textId="77777777" w:rsidR="00ED0E85" w:rsidRDefault="00ED0E85" w:rsidP="00ED0E85">
      <w:pPr>
        <w:pStyle w:val="ListBullet"/>
      </w:pPr>
      <w:r>
        <w:t>difficult to use; and</w:t>
      </w:r>
    </w:p>
    <w:p w14:paraId="210E0627" w14:textId="77777777" w:rsidR="00ED0E85" w:rsidRDefault="00ED0E85" w:rsidP="00ED0E85">
      <w:pPr>
        <w:pStyle w:val="ListBullet"/>
      </w:pPr>
      <w:r>
        <w:t>unlikely to drive improved energy performance (most businesses choose their IT Equipment to meet their functional needs, rather than energy efficiency).</w:t>
      </w:r>
    </w:p>
    <w:p w14:paraId="320EDAC4" w14:textId="77777777" w:rsidR="00ED0E85" w:rsidRDefault="00ED0E85" w:rsidP="00ED0E85">
      <w:pPr>
        <w:pStyle w:val="Heading3"/>
        <w:numPr>
          <w:ilvl w:val="2"/>
          <w:numId w:val="5"/>
        </w:numPr>
      </w:pPr>
      <w:r>
        <w:t>Defining a data centre</w:t>
      </w:r>
    </w:p>
    <w:p w14:paraId="7EEB5516" w14:textId="77777777" w:rsidR="00ED0E85" w:rsidRPr="003E4E43" w:rsidRDefault="00ED0E85" w:rsidP="00ED0E85">
      <w:pPr>
        <w:pStyle w:val="BodyText"/>
      </w:pPr>
      <w:r>
        <w:t>In general, data centres are harder to define than other types of commercial buildings. At its broadest, the term ‘data centre’ could cover a range of facilities, including: computer rooms within office buildings (or other commercial buildings); separate buildings that house IT equipment and a range of other arrangements.</w:t>
      </w:r>
    </w:p>
    <w:p w14:paraId="252C1C90" w14:textId="77777777" w:rsidR="00ED0E85" w:rsidRDefault="00ED0E85" w:rsidP="00ED0E85">
      <w:pPr>
        <w:pStyle w:val="BodyText"/>
      </w:pPr>
      <w:r>
        <w:t>Given the large variation in the size of data centres (ranging from a small room within another building up to a designated building), setting an appropriate minimum threshold is likely to be important; the cost of obtaining a NABERS rating for very small data centres is likely to outweigh any potential energy savings.</w:t>
      </w:r>
    </w:p>
    <w:p w14:paraId="2850859F" w14:textId="77777777" w:rsidR="00ED0E85" w:rsidRDefault="00ED0E85" w:rsidP="00ED0E85">
      <w:pPr>
        <w:pStyle w:val="BodyText"/>
      </w:pPr>
      <w:r>
        <w:t>The threshold could be set in terms of either:</w:t>
      </w:r>
    </w:p>
    <w:p w14:paraId="3422FF47" w14:textId="77777777" w:rsidR="00ED0E85" w:rsidRDefault="00ED0E85" w:rsidP="00ED0E85">
      <w:pPr>
        <w:pStyle w:val="ListBullet"/>
      </w:pPr>
      <w:r>
        <w:t>energy consumption</w:t>
      </w:r>
    </w:p>
    <w:p w14:paraId="3DA80A74" w14:textId="77777777" w:rsidR="00ED0E85" w:rsidRDefault="00ED0E85" w:rsidP="00ED0E85">
      <w:pPr>
        <w:pStyle w:val="ListBullet"/>
      </w:pPr>
      <w:r>
        <w:t>storage capacity, or</w:t>
      </w:r>
    </w:p>
    <w:p w14:paraId="72A5DECD" w14:textId="77777777" w:rsidR="00ED0E85" w:rsidRDefault="00ED0E85" w:rsidP="00ED0E85">
      <w:pPr>
        <w:pStyle w:val="ListBullet"/>
      </w:pPr>
      <w:r>
        <w:t>processing capacity.</w:t>
      </w:r>
    </w:p>
    <w:p w14:paraId="6061566E" w14:textId="45FE13D8" w:rsidR="00ED0E85" w:rsidRDefault="00ED0E85" w:rsidP="00ED0E85">
      <w:pPr>
        <w:pStyle w:val="BodyText"/>
      </w:pPr>
      <w:r>
        <w:t>Some proposed standards for defining the size and density of data centres prepared by the Strategic Directions Group Pty Ltd in collaboration with the AFCOM Data Center Institute are outlined in table </w:t>
      </w:r>
      <w:r>
        <w:rPr>
          <w:noProof/>
        </w:rPr>
        <w:fldChar w:fldCharType="begin"/>
      </w:r>
      <w:r>
        <w:rPr>
          <w:noProof/>
        </w:rPr>
        <w:instrText xml:space="preserve"> REF _Caption4415 </w:instrText>
      </w:r>
      <w:r>
        <w:rPr>
          <w:noProof/>
        </w:rPr>
        <w:fldChar w:fldCharType="separate"/>
      </w:r>
      <w:r w:rsidR="00AD3561">
        <w:rPr>
          <w:noProof/>
        </w:rPr>
        <w:t>9</w:t>
      </w:r>
      <w:r w:rsidR="00AD3561" w:rsidRPr="00695C93">
        <w:rPr>
          <w:noProof/>
        </w:rPr>
        <w:t>.</w:t>
      </w:r>
      <w:r w:rsidR="00AD3561">
        <w:rPr>
          <w:noProof/>
        </w:rPr>
        <w:t>3</w:t>
      </w:r>
      <w:r>
        <w:rPr>
          <w:noProof/>
        </w:rPr>
        <w:fldChar w:fldCharType="end"/>
      </w:r>
      <w:r>
        <w:t xml:space="preserve"> and table </w:t>
      </w:r>
      <w:r w:rsidR="004550CB">
        <w:rPr>
          <w:noProof/>
        </w:rPr>
        <w:fldChar w:fldCharType="begin"/>
      </w:r>
      <w:r w:rsidR="004550CB">
        <w:rPr>
          <w:noProof/>
        </w:rPr>
        <w:instrText xml:space="preserve"> REF _Caption0939 </w:instrText>
      </w:r>
      <w:r w:rsidR="004550CB">
        <w:rPr>
          <w:noProof/>
        </w:rPr>
        <w:fldChar w:fldCharType="separate"/>
      </w:r>
      <w:r w:rsidR="00AD3561">
        <w:rPr>
          <w:noProof/>
        </w:rPr>
        <w:t>9</w:t>
      </w:r>
      <w:r w:rsidR="00AD3561" w:rsidRPr="00695C93">
        <w:rPr>
          <w:noProof/>
        </w:rPr>
        <w:t>.</w:t>
      </w:r>
      <w:r w:rsidR="00AD3561">
        <w:rPr>
          <w:noProof/>
        </w:rPr>
        <w:t>4</w:t>
      </w:r>
      <w:r w:rsidR="004550CB">
        <w:rPr>
          <w:noProof/>
        </w:rPr>
        <w:fldChar w:fldCharType="end"/>
      </w:r>
      <w:r>
        <w:t>.</w:t>
      </w:r>
    </w:p>
    <w:p w14:paraId="113DB2D3" w14:textId="7AC68BC6" w:rsidR="00ED0E85" w:rsidRDefault="00ED0E85" w:rsidP="00ED0E85">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w:instrText>
      </w:r>
      <w:r w:rsidRPr="00695C93">
        <w:fldChar w:fldCharType="separate"/>
      </w:r>
      <w:r w:rsidR="00AD3561">
        <w:rPr>
          <w:noProof/>
        </w:rPr>
        <w:instrText>9</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9</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3</w:instrText>
      </w:r>
      <w:r w:rsidRPr="00695C93">
        <w:fldChar w:fldCharType="end"/>
      </w:r>
      <w:r w:rsidRPr="00695C93">
        <w:instrText xml:space="preserve">" "" </w:instrText>
      </w:r>
      <w:r w:rsidRPr="00695C93">
        <w:fldChar w:fldCharType="separate"/>
      </w:r>
      <w:bookmarkStart w:id="6168" w:name="_Caption8097"/>
      <w:bookmarkStart w:id="6169" w:name="_Caption8142"/>
      <w:bookmarkStart w:id="6170" w:name="_Caption2272"/>
      <w:bookmarkStart w:id="6171" w:name="_Caption4487"/>
      <w:bookmarkStart w:id="6172" w:name="_Caption6366"/>
      <w:bookmarkStart w:id="6173" w:name="_Caption5907"/>
      <w:bookmarkStart w:id="6174" w:name="_Caption9513"/>
      <w:bookmarkStart w:id="6175" w:name="_Caption2871"/>
      <w:bookmarkStart w:id="6176" w:name="_Caption7444"/>
      <w:bookmarkStart w:id="6177" w:name="_Caption6890"/>
      <w:bookmarkStart w:id="6178" w:name="_Caption1299"/>
      <w:bookmarkStart w:id="6179" w:name="_Caption2680"/>
      <w:bookmarkStart w:id="6180" w:name="_Caption8254"/>
      <w:bookmarkStart w:id="6181" w:name="_Caption0699"/>
      <w:bookmarkStart w:id="6182" w:name="_Caption7874"/>
      <w:bookmarkStart w:id="6183" w:name="_Caption3749"/>
      <w:bookmarkStart w:id="6184" w:name="_Caption1502"/>
      <w:bookmarkStart w:id="6185" w:name="_Caption9294"/>
      <w:bookmarkStart w:id="6186" w:name="_Caption7973"/>
      <w:bookmarkStart w:id="6187" w:name="_Caption6614"/>
      <w:bookmarkStart w:id="6188" w:name="_Caption2593"/>
      <w:bookmarkStart w:id="6189" w:name="_Caption4644"/>
      <w:bookmarkStart w:id="6190" w:name="_Caption0961"/>
      <w:bookmarkStart w:id="6191" w:name="_Caption2852"/>
      <w:bookmarkStart w:id="6192" w:name="_Caption9695"/>
      <w:bookmarkStart w:id="6193" w:name="_Caption7046"/>
      <w:bookmarkStart w:id="6194" w:name="_Caption3643"/>
      <w:bookmarkStart w:id="6195" w:name="_Caption3095"/>
      <w:bookmarkStart w:id="6196" w:name="_Caption4415"/>
      <w:bookmarkStart w:id="6197" w:name="_Caption1970"/>
      <w:bookmarkStart w:id="6198" w:name="_Caption0111"/>
      <w:bookmarkStart w:id="6199" w:name="_Caption6655"/>
      <w:bookmarkStart w:id="6200" w:name="_Caption9304"/>
      <w:bookmarkStart w:id="6201" w:name="_Caption6264"/>
      <w:bookmarkStart w:id="6202" w:name="_Caption8702"/>
      <w:bookmarkStart w:id="6203" w:name="_Toc19275646"/>
      <w:bookmarkStart w:id="6204" w:name="_Toc19276256"/>
      <w:bookmarkStart w:id="6205" w:name="_Toc19280255"/>
      <w:r w:rsidR="00C353B5">
        <w:rPr>
          <w:noProof/>
        </w:rPr>
        <w:t>9</w:t>
      </w:r>
      <w:r w:rsidR="00C353B5" w:rsidRPr="00695C93">
        <w:rPr>
          <w:noProof/>
        </w:rPr>
        <w:t>.</w:t>
      </w:r>
      <w:r w:rsidR="00C353B5">
        <w:rPr>
          <w:noProof/>
        </w:rPr>
        <w:t>3</w:t>
      </w:r>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r w:rsidRPr="00695C93">
        <w:fldChar w:fldCharType="end"/>
      </w:r>
      <w:r w:rsidRPr="00695C93">
        <w:tab/>
      </w:r>
      <w:r>
        <w:t>Data centre size</w:t>
      </w:r>
      <w:bookmarkEnd w:id="6203"/>
      <w:bookmarkEnd w:id="6204"/>
      <w:bookmarkEnd w:id="6205"/>
    </w:p>
    <w:tbl>
      <w:tblPr>
        <w:tblW w:w="0" w:type="auto"/>
        <w:tblLayout w:type="fixed"/>
        <w:tblLook w:val="0000" w:firstRow="0" w:lastRow="0" w:firstColumn="0" w:lastColumn="0" w:noHBand="0" w:noVBand="0"/>
      </w:tblPr>
      <w:tblGrid>
        <w:gridCol w:w="2645"/>
        <w:gridCol w:w="2646"/>
        <w:gridCol w:w="2646"/>
      </w:tblGrid>
      <w:tr w:rsidR="00ED0E85" w14:paraId="4A4DBEFA" w14:textId="77777777" w:rsidTr="00ED0E85">
        <w:trPr>
          <w:tblHeader/>
        </w:trPr>
        <w:tc>
          <w:tcPr>
            <w:tcW w:w="2645" w:type="dxa"/>
            <w:tcBorders>
              <w:bottom w:val="single" w:sz="8" w:space="0" w:color="FFFFFF" w:themeColor="background1"/>
            </w:tcBorders>
            <w:shd w:val="clear" w:color="auto" w:fill="6F6652"/>
            <w:tcMar>
              <w:left w:w="57" w:type="dxa"/>
              <w:right w:w="57" w:type="dxa"/>
            </w:tcMar>
          </w:tcPr>
          <w:p w14:paraId="0701FB9B" w14:textId="77777777" w:rsidR="00ED0E85" w:rsidRDefault="00ED0E85" w:rsidP="00ED0E85">
            <w:pPr>
              <w:pStyle w:val="TableTextColumnHeading"/>
            </w:pPr>
            <w:r>
              <w:t>Size metric</w:t>
            </w:r>
          </w:p>
        </w:tc>
        <w:tc>
          <w:tcPr>
            <w:tcW w:w="2646" w:type="dxa"/>
            <w:tcBorders>
              <w:bottom w:val="single" w:sz="8" w:space="0" w:color="FFFFFF" w:themeColor="background1"/>
            </w:tcBorders>
            <w:shd w:val="clear" w:color="auto" w:fill="6F6652"/>
            <w:tcMar>
              <w:left w:w="57" w:type="dxa"/>
              <w:right w:w="57" w:type="dxa"/>
            </w:tcMar>
          </w:tcPr>
          <w:p w14:paraId="721E3090" w14:textId="77777777" w:rsidR="00ED0E85" w:rsidRDefault="00ED0E85" w:rsidP="00ED0E85">
            <w:pPr>
              <w:pStyle w:val="TableTextColumnHeading"/>
            </w:pPr>
            <w:r>
              <w:t>Rack yield</w:t>
            </w:r>
          </w:p>
        </w:tc>
        <w:tc>
          <w:tcPr>
            <w:tcW w:w="2646" w:type="dxa"/>
            <w:tcBorders>
              <w:bottom w:val="single" w:sz="8" w:space="0" w:color="FFFFFF" w:themeColor="background1"/>
            </w:tcBorders>
            <w:shd w:val="clear" w:color="auto" w:fill="6F6652"/>
            <w:tcMar>
              <w:left w:w="57" w:type="dxa"/>
              <w:right w:w="57" w:type="dxa"/>
            </w:tcMar>
          </w:tcPr>
          <w:p w14:paraId="0B39FA8E" w14:textId="77777777" w:rsidR="00ED0E85" w:rsidRDefault="00ED0E85" w:rsidP="00ED0E85">
            <w:pPr>
              <w:pStyle w:val="TableTextColumnHeading"/>
            </w:pPr>
            <w:r>
              <w:t>Compute space (m</w:t>
            </w:r>
            <w:r w:rsidRPr="009253DC">
              <w:rPr>
                <w:vertAlign w:val="superscript"/>
              </w:rPr>
              <w:t>2</w:t>
            </w:r>
            <w:r>
              <w:t>)</w:t>
            </w:r>
          </w:p>
        </w:tc>
      </w:tr>
      <w:tr w:rsidR="00ED0E85" w14:paraId="633BFF63" w14:textId="77777777" w:rsidTr="00ED0E85">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A448CD" w14:textId="77777777" w:rsidR="00ED0E85" w:rsidRDefault="00ED0E85" w:rsidP="00ED0E85">
            <w:pPr>
              <w:pStyle w:val="TableTextEntries"/>
              <w:spacing w:before="60" w:after="60"/>
            </w:pPr>
            <w:r>
              <w:t>Mega</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899AFD" w14:textId="77777777" w:rsidR="00ED0E85" w:rsidRDefault="00ED0E85" w:rsidP="00ED0E85">
            <w:pPr>
              <w:pStyle w:val="TableTextEntries"/>
              <w:spacing w:before="60" w:after="60"/>
            </w:pPr>
            <w:r>
              <w:t>&gt;=9001</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0BD6CA" w14:textId="77777777" w:rsidR="00ED0E85" w:rsidRDefault="00ED0E85" w:rsidP="00ED0E85">
            <w:pPr>
              <w:pStyle w:val="TableTextEntries"/>
              <w:spacing w:before="60" w:after="60"/>
            </w:pPr>
            <w:r>
              <w:t>&gt;=22 501</w:t>
            </w:r>
          </w:p>
        </w:tc>
      </w:tr>
      <w:tr w:rsidR="00ED0E85" w14:paraId="2455797F" w14:textId="77777777" w:rsidTr="00ED0E85">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C16A69" w14:textId="77777777" w:rsidR="00ED0E85" w:rsidRDefault="00ED0E85" w:rsidP="00ED0E85">
            <w:pPr>
              <w:pStyle w:val="TableTextEntries"/>
              <w:spacing w:before="60" w:after="60"/>
            </w:pPr>
            <w:r>
              <w:t>Massive</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1BF1C6" w14:textId="77777777" w:rsidR="00ED0E85" w:rsidRDefault="00ED0E85" w:rsidP="00ED0E85">
            <w:pPr>
              <w:pStyle w:val="TableTextEntries"/>
              <w:spacing w:before="60" w:after="60"/>
            </w:pPr>
            <w:r>
              <w:t>3001 — 9000</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16F22C" w14:textId="77777777" w:rsidR="00ED0E85" w:rsidRDefault="00ED0E85" w:rsidP="00ED0E85">
            <w:pPr>
              <w:pStyle w:val="TableTextEntries"/>
              <w:spacing w:before="60" w:after="60"/>
            </w:pPr>
            <w:r>
              <w:t>7501 — 22 500</w:t>
            </w:r>
          </w:p>
        </w:tc>
      </w:tr>
      <w:tr w:rsidR="00ED0E85" w14:paraId="11F56107" w14:textId="77777777" w:rsidTr="00ED0E85">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22CC2F" w14:textId="77777777" w:rsidR="00ED0E85" w:rsidRDefault="00ED0E85" w:rsidP="00ED0E85">
            <w:pPr>
              <w:pStyle w:val="TableTextEntries"/>
              <w:spacing w:before="60" w:after="60"/>
            </w:pPr>
            <w:r>
              <w:t>Large</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00191E" w14:textId="77777777" w:rsidR="00ED0E85" w:rsidRDefault="00ED0E85" w:rsidP="00ED0E85">
            <w:pPr>
              <w:pStyle w:val="TableTextEntries"/>
              <w:spacing w:before="60" w:after="60"/>
            </w:pPr>
            <w:r>
              <w:t>801 — 3000</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D0590E" w14:textId="77777777" w:rsidR="00ED0E85" w:rsidRDefault="00ED0E85" w:rsidP="00ED0E85">
            <w:pPr>
              <w:pStyle w:val="TableTextEntries"/>
              <w:spacing w:before="60" w:after="60"/>
            </w:pPr>
            <w:r>
              <w:t>2001 — 7500</w:t>
            </w:r>
          </w:p>
        </w:tc>
      </w:tr>
      <w:tr w:rsidR="00ED0E85" w14:paraId="521E36CD" w14:textId="77777777" w:rsidTr="00ED0E85">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981573" w14:textId="77777777" w:rsidR="00ED0E85" w:rsidRDefault="00ED0E85" w:rsidP="00ED0E85">
            <w:pPr>
              <w:pStyle w:val="TableTextEntries"/>
              <w:spacing w:before="60" w:after="60"/>
            </w:pPr>
            <w:r>
              <w:t>Medium</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7B9055" w14:textId="77777777" w:rsidR="00ED0E85" w:rsidRDefault="00ED0E85" w:rsidP="00ED0E85">
            <w:pPr>
              <w:pStyle w:val="TableTextEntries"/>
              <w:spacing w:before="60" w:after="60"/>
            </w:pPr>
            <w:r>
              <w:t>201 — 800</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5CBF29" w14:textId="77777777" w:rsidR="00ED0E85" w:rsidRDefault="00ED0E85" w:rsidP="00ED0E85">
            <w:pPr>
              <w:pStyle w:val="TableTextEntries"/>
              <w:spacing w:before="60" w:after="60"/>
            </w:pPr>
            <w:r>
              <w:t>501 — 2000</w:t>
            </w:r>
          </w:p>
        </w:tc>
      </w:tr>
      <w:tr w:rsidR="00ED0E85" w14:paraId="43F2AEC0" w14:textId="77777777" w:rsidTr="00ED0E85">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292512" w14:textId="77777777" w:rsidR="00ED0E85" w:rsidRDefault="00ED0E85" w:rsidP="00ED0E85">
            <w:pPr>
              <w:pStyle w:val="TableTextEntries"/>
              <w:spacing w:before="60" w:after="60"/>
            </w:pPr>
            <w:r>
              <w:t>Small</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801223" w14:textId="77777777" w:rsidR="00ED0E85" w:rsidRDefault="00ED0E85" w:rsidP="00ED0E85">
            <w:pPr>
              <w:pStyle w:val="TableTextEntries"/>
              <w:spacing w:before="60" w:after="60"/>
            </w:pPr>
            <w:r>
              <w:t>11 — 200</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448017" w14:textId="77777777" w:rsidR="00ED0E85" w:rsidRDefault="00ED0E85" w:rsidP="00ED0E85">
            <w:pPr>
              <w:pStyle w:val="TableTextEntries"/>
              <w:spacing w:before="60" w:after="60"/>
            </w:pPr>
            <w:r>
              <w:t>26 — 500</w:t>
            </w:r>
          </w:p>
        </w:tc>
      </w:tr>
      <w:tr w:rsidR="00ED0E85" w14:paraId="5D6FCDA5" w14:textId="77777777" w:rsidTr="00ED0E85">
        <w:tc>
          <w:tcPr>
            <w:tcW w:w="2645" w:type="dxa"/>
            <w:tcBorders>
              <w:top w:val="single" w:sz="8" w:space="0" w:color="FFFFFF" w:themeColor="background1"/>
              <w:bottom w:val="single" w:sz="6" w:space="0" w:color="6F6652"/>
            </w:tcBorders>
            <w:shd w:val="clear" w:color="auto" w:fill="E9E8E5" w:themeFill="background2"/>
            <w:tcMar>
              <w:left w:w="57" w:type="dxa"/>
              <w:right w:w="57" w:type="dxa"/>
            </w:tcMar>
          </w:tcPr>
          <w:p w14:paraId="5026CA29" w14:textId="77777777" w:rsidR="00ED0E85" w:rsidRDefault="00ED0E85" w:rsidP="00ED0E85">
            <w:pPr>
              <w:pStyle w:val="TableTextEntries"/>
              <w:spacing w:before="60" w:after="60"/>
            </w:pPr>
            <w:r>
              <w:t>Mini</w:t>
            </w:r>
          </w:p>
        </w:tc>
        <w:tc>
          <w:tcPr>
            <w:tcW w:w="2646" w:type="dxa"/>
            <w:tcBorders>
              <w:top w:val="single" w:sz="8" w:space="0" w:color="FFFFFF" w:themeColor="background1"/>
              <w:bottom w:val="single" w:sz="6" w:space="0" w:color="6F6652"/>
            </w:tcBorders>
            <w:shd w:val="clear" w:color="auto" w:fill="E9E8E5" w:themeFill="background2"/>
            <w:tcMar>
              <w:left w:w="57" w:type="dxa"/>
              <w:right w:w="57" w:type="dxa"/>
            </w:tcMar>
          </w:tcPr>
          <w:p w14:paraId="7B267749" w14:textId="77777777" w:rsidR="00ED0E85" w:rsidRDefault="00ED0E85" w:rsidP="00ED0E85">
            <w:pPr>
              <w:pStyle w:val="TableTextEntries"/>
              <w:spacing w:before="60" w:after="60"/>
            </w:pPr>
            <w:r>
              <w:t>1 — 10</w:t>
            </w:r>
          </w:p>
        </w:tc>
        <w:tc>
          <w:tcPr>
            <w:tcW w:w="2646" w:type="dxa"/>
            <w:tcBorders>
              <w:top w:val="single" w:sz="8" w:space="0" w:color="FFFFFF" w:themeColor="background1"/>
              <w:bottom w:val="single" w:sz="6" w:space="0" w:color="6F6652"/>
            </w:tcBorders>
            <w:shd w:val="clear" w:color="auto" w:fill="E9E8E5" w:themeFill="background2"/>
            <w:tcMar>
              <w:left w:w="57" w:type="dxa"/>
              <w:right w:w="57" w:type="dxa"/>
            </w:tcMar>
          </w:tcPr>
          <w:p w14:paraId="0DBB170C" w14:textId="77777777" w:rsidR="00ED0E85" w:rsidRDefault="00ED0E85" w:rsidP="00ED0E85">
            <w:pPr>
              <w:pStyle w:val="TableTextEntries"/>
              <w:spacing w:before="60" w:after="60"/>
            </w:pPr>
            <w:r>
              <w:t>1 — 25</w:t>
            </w:r>
          </w:p>
        </w:tc>
      </w:tr>
    </w:tbl>
    <w:p w14:paraId="25312C2D" w14:textId="77777777" w:rsidR="00ED0E85" w:rsidRDefault="00ED0E85" w:rsidP="00ED0E85">
      <w:pPr>
        <w:pStyle w:val="Source"/>
      </w:pPr>
      <w:r>
        <w:rPr>
          <w:i/>
        </w:rPr>
        <w:t>Source</w:t>
      </w:r>
      <w:r w:rsidRPr="00E4232C">
        <w:rPr>
          <w:i/>
        </w:rPr>
        <w:t>:</w:t>
      </w:r>
      <w:r>
        <w:t xml:space="preserve"> Strategic Directions, Data Centre Standards, Data Centre Size and Density, White Paper, Prepared by the Strategic Directions Group, 1 October 2014.</w:t>
      </w:r>
    </w:p>
    <w:p w14:paraId="6A789023" w14:textId="12BFA923"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w:instrText>
      </w:r>
      <w:r w:rsidRPr="00695C93">
        <w:fldChar w:fldCharType="separate"/>
      </w:r>
      <w:r w:rsidR="00AD3561">
        <w:rPr>
          <w:noProof/>
        </w:rPr>
        <w:instrText>9</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9</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4</w:instrText>
      </w:r>
      <w:r w:rsidRPr="00695C93">
        <w:fldChar w:fldCharType="end"/>
      </w:r>
      <w:r w:rsidRPr="00695C93">
        <w:instrText xml:space="preserve">" "" </w:instrText>
      </w:r>
      <w:r w:rsidRPr="00695C93">
        <w:fldChar w:fldCharType="separate"/>
      </w:r>
      <w:bookmarkStart w:id="6206" w:name="_Caption2035"/>
      <w:bookmarkStart w:id="6207" w:name="_Caption4565"/>
      <w:bookmarkStart w:id="6208" w:name="_Caption0949"/>
      <w:bookmarkStart w:id="6209" w:name="_Caption2911"/>
      <w:bookmarkStart w:id="6210" w:name="_Caption6219"/>
      <w:bookmarkStart w:id="6211" w:name="_Caption5067"/>
      <w:bookmarkStart w:id="6212" w:name="_Caption0220"/>
      <w:bookmarkStart w:id="6213" w:name="_Caption8963"/>
      <w:bookmarkStart w:id="6214" w:name="_Caption0648"/>
      <w:bookmarkStart w:id="6215" w:name="_Caption3767"/>
      <w:bookmarkStart w:id="6216" w:name="_Caption4798"/>
      <w:bookmarkStart w:id="6217" w:name="_Caption5097"/>
      <w:bookmarkStart w:id="6218" w:name="_Caption7826"/>
      <w:bookmarkStart w:id="6219" w:name="_Caption2542"/>
      <w:bookmarkStart w:id="6220" w:name="_Caption6205"/>
      <w:bookmarkStart w:id="6221" w:name="_Caption2747"/>
      <w:bookmarkStart w:id="6222" w:name="_Caption6095"/>
      <w:bookmarkStart w:id="6223" w:name="_Caption0474"/>
      <w:bookmarkStart w:id="6224" w:name="_Caption8695"/>
      <w:bookmarkStart w:id="6225" w:name="_Caption2356"/>
      <w:bookmarkStart w:id="6226" w:name="_Caption0939"/>
      <w:bookmarkStart w:id="6227" w:name="_Caption4693"/>
      <w:bookmarkStart w:id="6228" w:name="_Caption2386"/>
      <w:bookmarkStart w:id="6229" w:name="_Caption2066"/>
      <w:bookmarkStart w:id="6230" w:name="_Caption3182"/>
      <w:bookmarkStart w:id="6231" w:name="_Caption1839"/>
      <w:bookmarkStart w:id="6232" w:name="_Caption9030"/>
      <w:bookmarkStart w:id="6233" w:name="_Caption3480"/>
      <w:bookmarkStart w:id="6234" w:name="_Caption4284"/>
      <w:bookmarkStart w:id="6235" w:name="_Caption8676"/>
      <w:bookmarkStart w:id="6236" w:name="_Caption7178"/>
      <w:bookmarkStart w:id="6237" w:name="_Caption7042"/>
      <w:bookmarkStart w:id="6238" w:name="_Caption5717"/>
      <w:bookmarkStart w:id="6239" w:name="_Caption1604"/>
      <w:bookmarkStart w:id="6240" w:name="_Caption7035"/>
      <w:bookmarkStart w:id="6241" w:name="_Caption9355"/>
      <w:bookmarkStart w:id="6242" w:name="_Caption2315"/>
      <w:bookmarkStart w:id="6243" w:name="_Toc19275647"/>
      <w:bookmarkStart w:id="6244" w:name="_Toc19276257"/>
      <w:bookmarkStart w:id="6245" w:name="_Toc19280256"/>
      <w:r w:rsidR="00C353B5">
        <w:rPr>
          <w:noProof/>
        </w:rPr>
        <w:t>9</w:t>
      </w:r>
      <w:r w:rsidR="00C353B5" w:rsidRPr="00695C93">
        <w:rPr>
          <w:noProof/>
        </w:rPr>
        <w:t>.</w:t>
      </w:r>
      <w:r w:rsidR="00C353B5">
        <w:rPr>
          <w:noProof/>
        </w:rPr>
        <w:t>4</w:t>
      </w:r>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r w:rsidRPr="00695C93">
        <w:fldChar w:fldCharType="end"/>
      </w:r>
      <w:r w:rsidRPr="00695C93">
        <w:tab/>
      </w:r>
      <w:r>
        <w:t>Data centre density</w:t>
      </w:r>
      <w:bookmarkEnd w:id="6243"/>
      <w:bookmarkEnd w:id="6244"/>
      <w:bookmarkEnd w:id="6245"/>
    </w:p>
    <w:tbl>
      <w:tblPr>
        <w:tblW w:w="0" w:type="auto"/>
        <w:tblLayout w:type="fixed"/>
        <w:tblLook w:val="0000" w:firstRow="0" w:lastRow="0" w:firstColumn="0" w:lastColumn="0" w:noHBand="0" w:noVBand="0"/>
      </w:tblPr>
      <w:tblGrid>
        <w:gridCol w:w="2645"/>
        <w:gridCol w:w="2646"/>
        <w:gridCol w:w="2646"/>
      </w:tblGrid>
      <w:tr w:rsidR="00ED0E85" w14:paraId="48772BF6" w14:textId="77777777" w:rsidTr="00ED0E85">
        <w:trPr>
          <w:tblHeader/>
        </w:trPr>
        <w:tc>
          <w:tcPr>
            <w:tcW w:w="2645" w:type="dxa"/>
            <w:tcBorders>
              <w:bottom w:val="single" w:sz="8" w:space="0" w:color="FFFFFF" w:themeColor="background1"/>
            </w:tcBorders>
            <w:shd w:val="clear" w:color="auto" w:fill="6F6652"/>
            <w:tcMar>
              <w:left w:w="57" w:type="dxa"/>
              <w:right w:w="57" w:type="dxa"/>
            </w:tcMar>
          </w:tcPr>
          <w:p w14:paraId="2E3E8E18" w14:textId="77777777" w:rsidR="00ED0E85" w:rsidRDefault="00ED0E85" w:rsidP="00ED0E85">
            <w:pPr>
              <w:pStyle w:val="TableTextColumnHeading"/>
            </w:pPr>
            <w:r>
              <w:t>Density metric</w:t>
            </w:r>
          </w:p>
        </w:tc>
        <w:tc>
          <w:tcPr>
            <w:tcW w:w="2646" w:type="dxa"/>
            <w:tcBorders>
              <w:bottom w:val="single" w:sz="8" w:space="0" w:color="FFFFFF" w:themeColor="background1"/>
            </w:tcBorders>
            <w:shd w:val="clear" w:color="auto" w:fill="6F6652"/>
            <w:tcMar>
              <w:left w:w="57" w:type="dxa"/>
              <w:right w:w="57" w:type="dxa"/>
            </w:tcMar>
          </w:tcPr>
          <w:p w14:paraId="30DE0077" w14:textId="77777777" w:rsidR="00ED0E85" w:rsidRDefault="00ED0E85" w:rsidP="00ED0E85">
            <w:pPr>
              <w:pStyle w:val="TableTextColumnHeading"/>
            </w:pPr>
            <w:r>
              <w:t>Per rack (Kw)</w:t>
            </w:r>
          </w:p>
        </w:tc>
        <w:tc>
          <w:tcPr>
            <w:tcW w:w="2646" w:type="dxa"/>
            <w:tcBorders>
              <w:bottom w:val="single" w:sz="8" w:space="0" w:color="FFFFFF" w:themeColor="background1"/>
            </w:tcBorders>
            <w:shd w:val="clear" w:color="auto" w:fill="6F6652"/>
            <w:tcMar>
              <w:left w:w="57" w:type="dxa"/>
              <w:right w:w="57" w:type="dxa"/>
            </w:tcMar>
          </w:tcPr>
          <w:p w14:paraId="4FC4B596" w14:textId="77777777" w:rsidR="00ED0E85" w:rsidRDefault="00ED0E85" w:rsidP="00ED0E85">
            <w:pPr>
              <w:pStyle w:val="TableTextColumnHeading"/>
            </w:pPr>
            <w:r>
              <w:t>Compute space (Kw)</w:t>
            </w:r>
          </w:p>
        </w:tc>
      </w:tr>
      <w:tr w:rsidR="00ED0E85" w14:paraId="51FFFD87" w14:textId="77777777" w:rsidTr="00ED0E85">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DE487F" w14:textId="77777777" w:rsidR="00ED0E85" w:rsidRDefault="00ED0E85" w:rsidP="00ED0E85">
            <w:pPr>
              <w:pStyle w:val="TableTextEntries"/>
              <w:spacing w:before="60" w:after="60"/>
            </w:pPr>
            <w:r>
              <w:t>Extreme</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8FF897" w14:textId="77777777" w:rsidR="00ED0E85" w:rsidRDefault="00ED0E85" w:rsidP="00ED0E85">
            <w:pPr>
              <w:pStyle w:val="TableTextEntries"/>
              <w:spacing w:before="60" w:after="60"/>
            </w:pPr>
            <w:r>
              <w:t>&gt;= 16</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40AB7F" w14:textId="77777777" w:rsidR="00ED0E85" w:rsidRDefault="00ED0E85" w:rsidP="00ED0E85">
            <w:pPr>
              <w:pStyle w:val="TableTextEntries"/>
              <w:spacing w:before="60" w:after="60"/>
            </w:pPr>
            <w:r>
              <w:t>&gt;= 16</w:t>
            </w:r>
          </w:p>
        </w:tc>
      </w:tr>
      <w:tr w:rsidR="00ED0E85" w14:paraId="6E12FDD3" w14:textId="77777777" w:rsidTr="00ED0E85">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AE0E70" w14:textId="77777777" w:rsidR="00ED0E85" w:rsidRDefault="00ED0E85" w:rsidP="00ED0E85">
            <w:pPr>
              <w:pStyle w:val="TableTextEntries"/>
              <w:spacing w:before="60" w:after="60"/>
            </w:pPr>
            <w:r>
              <w:t>High</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6CDC32" w14:textId="77777777" w:rsidR="00ED0E85" w:rsidRDefault="00ED0E85" w:rsidP="00ED0E85">
            <w:pPr>
              <w:pStyle w:val="TableTextEntries"/>
              <w:spacing w:before="60" w:after="60"/>
            </w:pPr>
            <w:r>
              <w:t>9 — 15</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482727" w14:textId="77777777" w:rsidR="00ED0E85" w:rsidRDefault="00ED0E85" w:rsidP="00ED0E85">
            <w:pPr>
              <w:pStyle w:val="TableTextEntries"/>
              <w:spacing w:before="60" w:after="60"/>
            </w:pPr>
            <w:r>
              <w:t>9 — 15</w:t>
            </w:r>
          </w:p>
        </w:tc>
      </w:tr>
      <w:tr w:rsidR="00ED0E85" w14:paraId="3D1706F4" w14:textId="77777777" w:rsidTr="00ED0E85">
        <w:tc>
          <w:tcPr>
            <w:tcW w:w="264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A06EC0" w14:textId="77777777" w:rsidR="00ED0E85" w:rsidRDefault="00ED0E85" w:rsidP="00ED0E85">
            <w:pPr>
              <w:pStyle w:val="TableTextEntries"/>
              <w:spacing w:before="60" w:after="60"/>
            </w:pPr>
            <w:r>
              <w:t>Medium</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C5B98E" w14:textId="77777777" w:rsidR="00ED0E85" w:rsidRDefault="00ED0E85" w:rsidP="00ED0E85">
            <w:pPr>
              <w:pStyle w:val="TableTextEntries"/>
              <w:spacing w:before="60" w:after="60"/>
            </w:pPr>
            <w:r>
              <w:t>5 — 8</w:t>
            </w:r>
          </w:p>
        </w:tc>
        <w:tc>
          <w:tcPr>
            <w:tcW w:w="264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6C5574" w14:textId="77777777" w:rsidR="00ED0E85" w:rsidRDefault="00ED0E85" w:rsidP="00ED0E85">
            <w:pPr>
              <w:pStyle w:val="TableTextEntries"/>
              <w:spacing w:before="60" w:after="60"/>
            </w:pPr>
            <w:r>
              <w:t>5 — 8</w:t>
            </w:r>
          </w:p>
        </w:tc>
      </w:tr>
      <w:tr w:rsidR="00ED0E85" w14:paraId="55049E21" w14:textId="77777777" w:rsidTr="00ED0E85">
        <w:tc>
          <w:tcPr>
            <w:tcW w:w="2645" w:type="dxa"/>
            <w:tcBorders>
              <w:top w:val="single" w:sz="8" w:space="0" w:color="FFFFFF" w:themeColor="background1"/>
              <w:bottom w:val="single" w:sz="6" w:space="0" w:color="6F6652"/>
            </w:tcBorders>
            <w:shd w:val="clear" w:color="auto" w:fill="E9E8E5" w:themeFill="background2"/>
            <w:tcMar>
              <w:left w:w="57" w:type="dxa"/>
              <w:right w:w="57" w:type="dxa"/>
            </w:tcMar>
          </w:tcPr>
          <w:p w14:paraId="377280E1" w14:textId="77777777" w:rsidR="00ED0E85" w:rsidRDefault="00ED0E85" w:rsidP="00ED0E85">
            <w:pPr>
              <w:pStyle w:val="TableTextEntries"/>
              <w:spacing w:before="60" w:after="60"/>
            </w:pPr>
            <w:r>
              <w:t>Low</w:t>
            </w:r>
          </w:p>
        </w:tc>
        <w:tc>
          <w:tcPr>
            <w:tcW w:w="2646" w:type="dxa"/>
            <w:tcBorders>
              <w:top w:val="single" w:sz="8" w:space="0" w:color="FFFFFF" w:themeColor="background1"/>
              <w:bottom w:val="single" w:sz="6" w:space="0" w:color="6F6652"/>
            </w:tcBorders>
            <w:shd w:val="clear" w:color="auto" w:fill="E9E8E5" w:themeFill="background2"/>
            <w:tcMar>
              <w:left w:w="57" w:type="dxa"/>
              <w:right w:w="57" w:type="dxa"/>
            </w:tcMar>
          </w:tcPr>
          <w:p w14:paraId="3EC70118" w14:textId="77777777" w:rsidR="00ED0E85" w:rsidRDefault="00ED0E85" w:rsidP="00ED0E85">
            <w:pPr>
              <w:pStyle w:val="TableTextEntries"/>
              <w:spacing w:before="60" w:after="60"/>
            </w:pPr>
            <w:r>
              <w:t>0 — 4</w:t>
            </w:r>
          </w:p>
        </w:tc>
        <w:tc>
          <w:tcPr>
            <w:tcW w:w="2646" w:type="dxa"/>
            <w:tcBorders>
              <w:top w:val="single" w:sz="8" w:space="0" w:color="FFFFFF" w:themeColor="background1"/>
              <w:bottom w:val="single" w:sz="6" w:space="0" w:color="6F6652"/>
            </w:tcBorders>
            <w:shd w:val="clear" w:color="auto" w:fill="E9E8E5" w:themeFill="background2"/>
            <w:tcMar>
              <w:left w:w="57" w:type="dxa"/>
              <w:right w:w="57" w:type="dxa"/>
            </w:tcMar>
          </w:tcPr>
          <w:p w14:paraId="7381C8E3" w14:textId="77777777" w:rsidR="00ED0E85" w:rsidRDefault="00ED0E85" w:rsidP="00ED0E85">
            <w:pPr>
              <w:pStyle w:val="TableTextEntries"/>
              <w:spacing w:before="60" w:after="60"/>
            </w:pPr>
            <w:r>
              <w:t>0 — 4</w:t>
            </w:r>
          </w:p>
        </w:tc>
      </w:tr>
    </w:tbl>
    <w:p w14:paraId="2D3346F5" w14:textId="77777777" w:rsidR="00ED0E85" w:rsidRDefault="00ED0E85" w:rsidP="00ED0E85">
      <w:pPr>
        <w:pStyle w:val="Source"/>
      </w:pPr>
      <w:r>
        <w:rPr>
          <w:i/>
        </w:rPr>
        <w:t>Source</w:t>
      </w:r>
      <w:r w:rsidRPr="00E4232C">
        <w:rPr>
          <w:i/>
        </w:rPr>
        <w:t>:</w:t>
      </w:r>
      <w:r>
        <w:t xml:space="preserve"> Strategic Directions, Data Centre Standards, Data Centre Size and Density, White Paper, Prepared by the Strategic Directions Group, 1 October 2014.</w:t>
      </w:r>
    </w:p>
    <w:p w14:paraId="2335FF38" w14:textId="77777777" w:rsidR="00ED0E85" w:rsidRDefault="00ED0E85" w:rsidP="00ED0E85">
      <w:pPr>
        <w:pStyle w:val="BodyText"/>
      </w:pPr>
      <w:r>
        <w:t>The NABERS Energy for data centres rating is suitable for data centres with energy consumption greater than:</w:t>
      </w:r>
      <w:r>
        <w:rPr>
          <w:rStyle w:val="FootnoteReference"/>
        </w:rPr>
        <w:footnoteReference w:id="91"/>
      </w:r>
    </w:p>
    <w:p w14:paraId="698CD57E" w14:textId="77777777" w:rsidR="00ED0E85" w:rsidRDefault="00ED0E85" w:rsidP="00ED0E85">
      <w:pPr>
        <w:pStyle w:val="ListBullet"/>
      </w:pPr>
      <w:r>
        <w:t xml:space="preserve">10 000 kWh for a 40 day period for IT Equipment ratings; </w:t>
      </w:r>
    </w:p>
    <w:p w14:paraId="5AE72DEB" w14:textId="77777777" w:rsidR="00ED0E85" w:rsidRDefault="00ED0E85" w:rsidP="00ED0E85">
      <w:pPr>
        <w:pStyle w:val="ListBullet"/>
      </w:pPr>
      <w:r>
        <w:t>87 600 kWh for 1 year or with IT equipment greater than 10 kW for Infrastructure ratings;</w:t>
      </w:r>
    </w:p>
    <w:p w14:paraId="71D986D4" w14:textId="77777777" w:rsidR="00ED0E85" w:rsidRDefault="00ED0E85" w:rsidP="00ED0E85">
      <w:pPr>
        <w:pStyle w:val="ListBullet"/>
      </w:pPr>
      <w:r>
        <w:t>175 000 kWh for 1 year or with IT equipment greater than 10 kW for Whole Facility ratings.</w:t>
      </w:r>
    </w:p>
    <w:p w14:paraId="411679E3" w14:textId="77777777" w:rsidR="00ED0E85" w:rsidRDefault="00ED0E85" w:rsidP="00ED0E85">
      <w:pPr>
        <w:pStyle w:val="BodyText"/>
      </w:pPr>
      <w:r>
        <w:t>Whilst data centres with lower consumption can be rated, NABERS does not guarantee accuracy. As NABERS cannot guarantee accuracy, mandatory disclosure for smaller data centres would be inappropriate.</w:t>
      </w:r>
    </w:p>
    <w:p w14:paraId="164ED182" w14:textId="77777777" w:rsidR="00ED0E85" w:rsidRDefault="00ED0E85" w:rsidP="00ED0E85">
      <w:pPr>
        <w:pStyle w:val="BodyText"/>
      </w:pPr>
      <w:r>
        <w:t>One stakeholder suggested starting with a relatively high threshold that captures only the very large data centres. This could then be reduced if mandatory disclosure is effective at driving improved energy efficiency in those data centres covered by the mandatory disclosure requirements.</w:t>
      </w:r>
    </w:p>
    <w:p w14:paraId="68C82C1C" w14:textId="77777777" w:rsidR="00ED0E85" w:rsidRDefault="00ED0E85" w:rsidP="00ED0E85">
      <w:pPr>
        <w:pStyle w:val="BodyText"/>
      </w:pPr>
      <w:r>
        <w:t>However, focusing only on large data centres exclude ‘Edge’ data centres, which are expected to be an increasing share of the market. Furthermore, larger data centre owners may already have reporting obligations under NGERS (albeit, not necessarily at the facility level).</w:t>
      </w:r>
    </w:p>
    <w:p w14:paraId="62511DBD" w14:textId="77777777" w:rsidR="00ED0E85" w:rsidRDefault="00ED0E85" w:rsidP="00ED0E85">
      <w:pPr>
        <w:pStyle w:val="Heading3"/>
        <w:numPr>
          <w:ilvl w:val="2"/>
          <w:numId w:val="5"/>
        </w:numPr>
      </w:pPr>
      <w:r>
        <w:t>Trigger</w:t>
      </w:r>
    </w:p>
    <w:p w14:paraId="5CEEC741" w14:textId="77777777" w:rsidR="00ED0E85" w:rsidRDefault="00ED0E85" w:rsidP="00ED0E85">
      <w:pPr>
        <w:pStyle w:val="BodyText"/>
      </w:pPr>
      <w:r>
        <w:t>A sale or lease trigger is unlikely to be appropriate for data centres. The sale or lease trigger would not capture private data centres (unless sold).</w:t>
      </w:r>
    </w:p>
    <w:p w14:paraId="4F5F0285" w14:textId="77777777" w:rsidR="00ED0E85" w:rsidRDefault="00ED0E85" w:rsidP="00ED0E85">
      <w:pPr>
        <w:pStyle w:val="BodyText"/>
      </w:pPr>
      <w:r>
        <w:t>The main barriers that mandatory disclosure would overcome are behavioural failures, rather than an information asymmetry or split incentives. As such, a periodic trigger would be more appropriate.</w:t>
      </w:r>
    </w:p>
    <w:p w14:paraId="0AF09677" w14:textId="77777777" w:rsidR="00ED0E85" w:rsidRDefault="00ED0E85" w:rsidP="00ED0E85">
      <w:pPr>
        <w:pStyle w:val="Heading3"/>
        <w:numPr>
          <w:ilvl w:val="2"/>
          <w:numId w:val="5"/>
        </w:numPr>
      </w:pPr>
      <w:r>
        <w:t>Disclosure arrangements</w:t>
      </w:r>
    </w:p>
    <w:p w14:paraId="4AC90728" w14:textId="77777777" w:rsidR="00ED0E85" w:rsidRPr="00225C54" w:rsidRDefault="00ED0E85" w:rsidP="00ED0E85">
      <w:pPr>
        <w:pStyle w:val="BodyText"/>
      </w:pPr>
      <w:r>
        <w:t>Even with a periodic trigger, similar sale and lease disclosure requirements that currently apply for office buildings could be applied to colocation data centres.</w:t>
      </w:r>
    </w:p>
    <w:p w14:paraId="1D245EA7" w14:textId="77777777" w:rsidR="00ED0E85" w:rsidRDefault="00ED0E85" w:rsidP="00ED0E85">
      <w:pPr>
        <w:pStyle w:val="BodyText"/>
      </w:pPr>
      <w:r>
        <w:t>In relation to private data centres, the NABERS rating would largely be providing a ‘nudge’ for owners to improve performance (i.e. addressing behavioural failures). As such, there is no obvious need for that information to disclosed. That said, some stakeholders argue that disclosure has been important in driving behavioural change in the office market, due in part to the ‘embarrassment factor’ associated with disclosing a low rating.</w:t>
      </w:r>
    </w:p>
    <w:p w14:paraId="174FED55" w14:textId="77777777" w:rsidR="00ED0E85" w:rsidRDefault="00ED0E85" w:rsidP="00ED0E85">
      <w:pPr>
        <w:pStyle w:val="BodyText"/>
      </w:pPr>
      <w:r>
        <w:t>In the case of private data centres, disclosing the NABERS rating in the foyer of the data centre is unlikely to provide any additional motivation to improve performance as data centres would be less frequently visited than office buildings. The main option for disclosure is therefore on company websites and/or annual reports (where relevant).</w:t>
      </w:r>
    </w:p>
    <w:p w14:paraId="7050A659" w14:textId="77777777" w:rsidR="00ED0E85" w:rsidRDefault="00ED0E85" w:rsidP="00ED0E85">
      <w:pPr>
        <w:pStyle w:val="Heading3"/>
        <w:numPr>
          <w:ilvl w:val="2"/>
          <w:numId w:val="5"/>
        </w:numPr>
      </w:pPr>
      <w:r>
        <w:t>Other issues</w:t>
      </w:r>
    </w:p>
    <w:p w14:paraId="610AA7AE" w14:textId="77777777" w:rsidR="00ED0E85" w:rsidRDefault="00ED0E85" w:rsidP="00ED0E85">
      <w:pPr>
        <w:pStyle w:val="BodyText"/>
      </w:pPr>
      <w:r>
        <w:t>As little information is available on private data centres, enforcement is likely to be a key challenge. That said, some stakeholders suggested that the owners of larger private data centres are generally larger publicly</w:t>
      </w:r>
      <w:r>
        <w:noBreakHyphen/>
        <w:t>listed companies and may therefore choose to comply, even if an effective enforcement mechanism in place.</w:t>
      </w:r>
    </w:p>
    <w:p w14:paraId="70CFA815" w14:textId="77777777" w:rsidR="00ED0E85" w:rsidRDefault="00ED0E85" w:rsidP="00ED0E85">
      <w:pPr>
        <w:pStyle w:val="Heading2"/>
        <w:numPr>
          <w:ilvl w:val="1"/>
          <w:numId w:val="5"/>
        </w:numPr>
      </w:pPr>
      <w:bookmarkStart w:id="6246" w:name="_Toc16168130"/>
      <w:bookmarkStart w:id="6247" w:name="_Toc19275545"/>
      <w:bookmarkStart w:id="6248" w:name="_Toc19276155"/>
      <w:bookmarkStart w:id="6249" w:name="_Toc19280154"/>
      <w:r>
        <w:t>Evidence of market and behavioural failures</w:t>
      </w:r>
      <w:bookmarkEnd w:id="6246"/>
      <w:bookmarkEnd w:id="6247"/>
      <w:bookmarkEnd w:id="6248"/>
      <w:bookmarkEnd w:id="6249"/>
    </w:p>
    <w:p w14:paraId="697020B7" w14:textId="77777777" w:rsidR="00ED0E85" w:rsidRPr="004B0C5B" w:rsidRDefault="00ED0E85" w:rsidP="00ED0E85">
      <w:pPr>
        <w:pStyle w:val="Heading3"/>
        <w:numPr>
          <w:ilvl w:val="2"/>
          <w:numId w:val="5"/>
        </w:numPr>
      </w:pPr>
      <w:r>
        <w:t>Colocation data centres</w:t>
      </w:r>
    </w:p>
    <w:p w14:paraId="0DA40CB0" w14:textId="77777777" w:rsidR="00ED0E85" w:rsidRDefault="00ED0E85" w:rsidP="00ED0E85">
      <w:pPr>
        <w:pStyle w:val="BodyText"/>
      </w:pPr>
      <w:r>
        <w:t>As colocation data centre industry involves leasing, there is potential for information asymmetries to arise. That said, industry stakeholders had mixed views on the transparency around energy costs. To the extent that the transparency around energy costs is a problem, this may be best dealt with through explicit transparency requirements, rather than through mandatory NABERS ratings.</w:t>
      </w:r>
    </w:p>
    <w:p w14:paraId="6987673E" w14:textId="77777777" w:rsidR="00ED0E85" w:rsidRDefault="00ED0E85" w:rsidP="00ED0E85">
      <w:pPr>
        <w:pStyle w:val="BodyText"/>
      </w:pPr>
      <w:r>
        <w:t>Given the length of some leases (particularly in the wholesale market), split incentives can arise in relation to colocation data centres; some industry stakeholders provided anecdotal evidence of owners of colocation data centres being reluctant to invest in improving the energy efficiency of the heating and cooling infrastructure because the tenant would ultimately receive the benefits. However, split incentives that arise due to the structure of the lease would not necessarily be addressed through mandatory disclosure.</w:t>
      </w:r>
    </w:p>
    <w:p w14:paraId="0A90B548" w14:textId="77777777" w:rsidR="00ED0E85" w:rsidRDefault="00ED0E85" w:rsidP="00ED0E85">
      <w:pPr>
        <w:pStyle w:val="BodyText"/>
      </w:pPr>
      <w:r>
        <w:t>Some industry stakeholders also argued that behavioural failures are less likely in colocation data centres because energy is a much higher proportion of total costs (i.e. there is no insalience problem).</w:t>
      </w:r>
    </w:p>
    <w:p w14:paraId="6C873304" w14:textId="77777777" w:rsidR="00ED0E85" w:rsidRDefault="00ED0E85" w:rsidP="00ED0E85">
      <w:pPr>
        <w:pStyle w:val="ListBullet"/>
      </w:pPr>
      <w:r>
        <w:t>As the industry is highly competitive, energy costs must be managed to compete effectively.</w:t>
      </w:r>
    </w:p>
    <w:p w14:paraId="19BD1292" w14:textId="77777777" w:rsidR="00ED0E85" w:rsidRDefault="00ED0E85" w:rsidP="00ED0E85">
      <w:pPr>
        <w:pStyle w:val="ListBullet"/>
      </w:pPr>
      <w:r>
        <w:t>Metrics such as power usage effectiveness (PUE) are already monitored closely.</w:t>
      </w:r>
    </w:p>
    <w:p w14:paraId="057E3718" w14:textId="77777777" w:rsidR="00ED0E85" w:rsidRDefault="00ED0E85" w:rsidP="00ED0E85">
      <w:pPr>
        <w:pStyle w:val="BodyText"/>
      </w:pPr>
      <w:r>
        <w:t xml:space="preserve">This implies that colocation data centres are operated closer to maximum efficiency given the design of the building. </w:t>
      </w:r>
    </w:p>
    <w:p w14:paraId="56145534" w14:textId="27780D3A" w:rsidR="00ED0E85" w:rsidRDefault="00ED0E85" w:rsidP="00ED0E85">
      <w:pPr>
        <w:pStyle w:val="BodyText"/>
      </w:pPr>
      <w:r>
        <w:t>The objective evidence gathered tended to support this view. The NABERS Infrastructure star ratings that have been completed are generally in a relatively narrow range. All of the ratings to date have been in the 3 to 5 star range (2 out of the 3 ratings of 5 stars were IT Equipment ratings), with most in a relatively narrow range between 3.5 and 4.5 stars (chart </w:t>
      </w:r>
      <w:r>
        <w:rPr>
          <w:noProof/>
        </w:rPr>
        <w:fldChar w:fldCharType="begin"/>
      </w:r>
      <w:r>
        <w:rPr>
          <w:noProof/>
        </w:rPr>
        <w:instrText xml:space="preserve"> REF _Caption9737 </w:instrText>
      </w:r>
      <w:r>
        <w:rPr>
          <w:noProof/>
        </w:rPr>
        <w:fldChar w:fldCharType="separate"/>
      </w:r>
      <w:r w:rsidR="00AD3561">
        <w:rPr>
          <w:noProof/>
        </w:rPr>
        <w:t>9</w:t>
      </w:r>
      <w:r w:rsidR="00AD3561" w:rsidRPr="00695C93">
        <w:rPr>
          <w:noProof/>
        </w:rPr>
        <w:t>.</w:t>
      </w:r>
      <w:r w:rsidR="00AD3561">
        <w:rPr>
          <w:noProof/>
        </w:rPr>
        <w:t>5</w:t>
      </w:r>
      <w:r>
        <w:rPr>
          <w:noProof/>
        </w:rPr>
        <w:fldChar w:fldCharType="end"/>
      </w:r>
      <w:r>
        <w:t>).</w:t>
      </w:r>
    </w:p>
    <w:p w14:paraId="6515A2A6" w14:textId="10EE7152"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9</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sidR="00AD3561">
        <w:rPr>
          <w:noProof/>
        </w:rPr>
        <w:instrText>9</w:instrText>
      </w:r>
      <w:r>
        <w:rPr>
          <w:noProof/>
        </w:rPr>
        <w:fldChar w:fldCharType="end"/>
      </w:r>
      <w:r w:rsidRPr="00695C93">
        <w:instrText xml:space="preserve">." </w:instrText>
      </w:r>
      <w:r w:rsidRPr="00695C93">
        <w:fldChar w:fldCharType="separate"/>
      </w:r>
      <w:r w:rsidR="00AD3561">
        <w:rPr>
          <w:noProof/>
        </w:rPr>
        <w:instrText>9</w:instrText>
      </w:r>
      <w:r w:rsidR="00AD3561"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Pr>
          <w:noProof/>
        </w:rPr>
        <w:instrText>A</w:instrText>
      </w:r>
      <w:r>
        <w:rPr>
          <w:noProof/>
        </w:rPr>
        <w:fldChar w:fldCharType="end"/>
      </w:r>
      <w:r w:rsidRPr="00695C93">
        <w:instrText xml:space="preserve">." </w:instrText>
      </w:r>
      <w:r w:rsidRPr="00695C93">
        <w:fldChar w:fldCharType="separate"/>
      </w:r>
      <w:r w:rsidR="00C353B5">
        <w:rPr>
          <w:noProof/>
        </w:rPr>
        <w:instrText>9</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0</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sidR="00AD3561">
        <w:rPr>
          <w:noProof/>
        </w:rPr>
        <w:instrText>9</w:instrText>
      </w:r>
      <w:r>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5</w:instrText>
      </w:r>
      <w:r w:rsidRPr="00695C93">
        <w:fldChar w:fldCharType="end"/>
      </w:r>
      <w:r w:rsidRPr="00695C93">
        <w:instrText xml:space="preserve">" "" </w:instrText>
      </w:r>
      <w:r w:rsidRPr="00695C93">
        <w:fldChar w:fldCharType="separate"/>
      </w:r>
      <w:bookmarkStart w:id="6250" w:name="_Caption2454"/>
      <w:bookmarkStart w:id="6251" w:name="_Caption5648"/>
      <w:bookmarkStart w:id="6252" w:name="_Caption7447"/>
      <w:bookmarkStart w:id="6253" w:name="_Caption9611"/>
      <w:bookmarkStart w:id="6254" w:name="_Caption4005"/>
      <w:bookmarkStart w:id="6255" w:name="_Caption5936"/>
      <w:bookmarkStart w:id="6256" w:name="_Caption9270"/>
      <w:bookmarkStart w:id="6257" w:name="_Caption6812"/>
      <w:bookmarkStart w:id="6258" w:name="_Caption0064"/>
      <w:bookmarkStart w:id="6259" w:name="_Caption9855"/>
      <w:bookmarkStart w:id="6260" w:name="_Caption6857"/>
      <w:bookmarkStart w:id="6261" w:name="_Caption1627"/>
      <w:bookmarkStart w:id="6262" w:name="_Caption2334"/>
      <w:bookmarkStart w:id="6263" w:name="_Caption1540"/>
      <w:bookmarkStart w:id="6264" w:name="_Caption9500"/>
      <w:bookmarkStart w:id="6265" w:name="_Caption8408"/>
      <w:bookmarkStart w:id="6266" w:name="_Caption3951"/>
      <w:bookmarkStart w:id="6267" w:name="_Caption5361"/>
      <w:bookmarkStart w:id="6268" w:name="_Caption6661"/>
      <w:bookmarkStart w:id="6269" w:name="_Caption8795"/>
      <w:bookmarkStart w:id="6270" w:name="_Caption5082"/>
      <w:bookmarkStart w:id="6271" w:name="_Caption1538"/>
      <w:bookmarkStart w:id="6272" w:name="_Caption1273"/>
      <w:bookmarkStart w:id="6273" w:name="_Caption3677"/>
      <w:bookmarkStart w:id="6274" w:name="_Caption1885"/>
      <w:bookmarkStart w:id="6275" w:name="_Caption6406"/>
      <w:bookmarkStart w:id="6276" w:name="_Caption6233"/>
      <w:bookmarkStart w:id="6277" w:name="_Caption1799"/>
      <w:bookmarkStart w:id="6278" w:name="_Caption2920"/>
      <w:bookmarkStart w:id="6279" w:name="_Caption4733"/>
      <w:bookmarkStart w:id="6280" w:name="_Caption1092"/>
      <w:bookmarkStart w:id="6281" w:name="_Caption4830"/>
      <w:bookmarkStart w:id="6282" w:name="_Caption8870"/>
      <w:bookmarkStart w:id="6283" w:name="_Caption8807"/>
      <w:bookmarkStart w:id="6284" w:name="_Caption2111"/>
      <w:bookmarkStart w:id="6285" w:name="_Caption0243"/>
      <w:bookmarkStart w:id="6286" w:name="_Caption6681"/>
      <w:bookmarkStart w:id="6287" w:name="_Caption5689"/>
      <w:bookmarkStart w:id="6288" w:name="_Caption9434"/>
      <w:bookmarkStart w:id="6289" w:name="_Caption5132"/>
      <w:bookmarkStart w:id="6290" w:name="_Caption3924"/>
      <w:bookmarkStart w:id="6291" w:name="_Caption9737"/>
      <w:bookmarkStart w:id="6292" w:name="_Caption3935"/>
      <w:bookmarkStart w:id="6293" w:name="_Caption2779"/>
      <w:bookmarkStart w:id="6294" w:name="_Caption8286"/>
      <w:bookmarkStart w:id="6295" w:name="_Caption7387"/>
      <w:bookmarkStart w:id="6296" w:name="_Caption0507"/>
      <w:bookmarkStart w:id="6297" w:name="_Caption8181"/>
      <w:bookmarkStart w:id="6298" w:name="_Caption7066"/>
      <w:bookmarkStart w:id="6299" w:name="_Caption9490"/>
      <w:bookmarkStart w:id="6300" w:name="_Caption8586"/>
      <w:bookmarkStart w:id="6301" w:name="_Caption0369"/>
      <w:bookmarkStart w:id="6302" w:name="_Caption2940"/>
      <w:bookmarkStart w:id="6303" w:name="_Caption5538"/>
      <w:bookmarkStart w:id="6304" w:name="_Caption0175"/>
      <w:bookmarkStart w:id="6305" w:name="_Caption4400"/>
      <w:bookmarkStart w:id="6306" w:name="_Caption1657"/>
      <w:bookmarkStart w:id="6307" w:name="_Caption7163"/>
      <w:bookmarkStart w:id="6308" w:name="_Caption2343"/>
      <w:bookmarkStart w:id="6309" w:name="_Caption1915"/>
      <w:bookmarkStart w:id="6310" w:name="_Caption5203"/>
      <w:bookmarkStart w:id="6311" w:name="_Caption2458"/>
      <w:bookmarkStart w:id="6312" w:name="_Caption9057"/>
      <w:bookmarkStart w:id="6313" w:name="_Caption7962"/>
      <w:bookmarkStart w:id="6314" w:name="_Caption8551"/>
      <w:bookmarkStart w:id="6315" w:name="_Caption6668"/>
      <w:bookmarkStart w:id="6316" w:name="_Caption9002"/>
      <w:bookmarkStart w:id="6317" w:name="_Caption3176"/>
      <w:bookmarkStart w:id="6318" w:name="_Caption7466"/>
      <w:bookmarkStart w:id="6319" w:name="_Caption7152"/>
      <w:bookmarkStart w:id="6320" w:name="_Caption8817"/>
      <w:bookmarkStart w:id="6321" w:name="_Caption8350"/>
      <w:bookmarkStart w:id="6322" w:name="_Caption7565"/>
      <w:bookmarkStart w:id="6323" w:name="_Caption4714"/>
      <w:bookmarkStart w:id="6324" w:name="_Caption1408"/>
      <w:bookmarkStart w:id="6325" w:name="_Caption8563"/>
      <w:bookmarkStart w:id="6326" w:name="_Caption7455"/>
      <w:bookmarkStart w:id="6327" w:name="_Caption8744"/>
      <w:bookmarkStart w:id="6328" w:name="_Caption9409"/>
      <w:bookmarkStart w:id="6329" w:name="_Caption7631"/>
      <w:bookmarkStart w:id="6330" w:name="_Caption2561"/>
      <w:bookmarkStart w:id="6331" w:name="_Caption1684"/>
      <w:bookmarkStart w:id="6332" w:name="_Caption2900"/>
      <w:bookmarkStart w:id="6333" w:name="_Caption9690"/>
      <w:bookmarkStart w:id="6334" w:name="_Caption2375"/>
      <w:bookmarkStart w:id="6335" w:name="_Caption8801"/>
      <w:bookmarkStart w:id="6336" w:name="_Toc12633743"/>
      <w:bookmarkStart w:id="6337" w:name="_Toc19275648"/>
      <w:bookmarkStart w:id="6338" w:name="_Toc19276258"/>
      <w:bookmarkStart w:id="6339" w:name="_Toc19280257"/>
      <w:r w:rsidR="00C353B5">
        <w:rPr>
          <w:noProof/>
        </w:rPr>
        <w:t>9</w:t>
      </w:r>
      <w:r w:rsidR="00C353B5" w:rsidRPr="00695C93">
        <w:rPr>
          <w:noProof/>
        </w:rPr>
        <w:t>.</w:t>
      </w:r>
      <w:r w:rsidR="00C353B5">
        <w:rPr>
          <w:noProof/>
        </w:rPr>
        <w:t>5</w:t>
      </w:r>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r w:rsidRPr="00695C93">
        <w:fldChar w:fldCharType="end"/>
      </w:r>
      <w:r w:rsidRPr="00695C93">
        <w:tab/>
      </w:r>
      <w:r>
        <w:t>Distribution of NABERS star ratings</w:t>
      </w:r>
      <w:bookmarkEnd w:id="6336"/>
      <w:bookmarkEnd w:id="6337"/>
      <w:bookmarkEnd w:id="6338"/>
      <w:bookmarkEnd w:id="6339"/>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4B26457E" w14:textId="77777777" w:rsidTr="00ED0E85">
        <w:trPr>
          <w:cantSplit/>
        </w:trPr>
        <w:tc>
          <w:tcPr>
            <w:tcW w:w="7938" w:type="dxa"/>
            <w:shd w:val="clear" w:color="auto" w:fill="E9E8E5" w:themeFill="background2"/>
          </w:tcPr>
          <w:p w14:paraId="0A0DB6B0" w14:textId="77777777" w:rsidR="00ED0E85" w:rsidRDefault="00ED0E85" w:rsidP="00ED0E85">
            <w:pPr>
              <w:pStyle w:val="Chart"/>
            </w:pPr>
            <w:r>
              <w:t xml:space="preserve"> </w:t>
            </w:r>
            <w:r w:rsidRPr="00E163C0">
              <w:rPr>
                <w:noProof/>
                <w:lang w:eastAsia="en-AU"/>
              </w:rPr>
              <w:drawing>
                <wp:inline distT="0" distB="0" distL="0" distR="0" wp14:anchorId="36526C46" wp14:editId="13108CC1">
                  <wp:extent cx="5040630" cy="2436495"/>
                  <wp:effectExtent l="0" t="0" r="0" b="190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040630" cy="2436495"/>
                          </a:xfrm>
                          <a:prstGeom prst="rect">
                            <a:avLst/>
                          </a:prstGeom>
                          <a:noFill/>
                          <a:ln>
                            <a:noFill/>
                          </a:ln>
                        </pic:spPr>
                      </pic:pic>
                    </a:graphicData>
                  </a:graphic>
                </wp:inline>
              </w:drawing>
            </w:r>
          </w:p>
        </w:tc>
      </w:tr>
    </w:tbl>
    <w:p w14:paraId="1644DE86" w14:textId="77777777" w:rsidR="00ED0E85" w:rsidRDefault="00ED0E85" w:rsidP="00ED0E85">
      <w:pPr>
        <w:pStyle w:val="Source"/>
      </w:pPr>
      <w:r>
        <w:rPr>
          <w:i/>
        </w:rPr>
        <w:t>Data source</w:t>
      </w:r>
      <w:r w:rsidRPr="00A67576">
        <w:rPr>
          <w:i/>
        </w:rPr>
        <w:t>:</w:t>
      </w:r>
      <w:r>
        <w:t xml:space="preserve"> NABERS database.</w:t>
      </w:r>
    </w:p>
    <w:p w14:paraId="6B1975CC" w14:textId="77777777" w:rsidR="00ED0E85" w:rsidRDefault="00ED0E85" w:rsidP="00ED0E85">
      <w:pPr>
        <w:pStyle w:val="BodyText"/>
      </w:pPr>
      <w:r>
        <w:t xml:space="preserve">That said, it may be that the data centres that are currently rating voluntarily (and disclosing the rating) perform better than average, as there is little incentive for those that perform worse than average to disclose the rating by formally lodging it with NABERS. </w:t>
      </w:r>
    </w:p>
    <w:p w14:paraId="4AC8F903" w14:textId="77777777" w:rsidR="00ED0E85" w:rsidRDefault="00ED0E85" w:rsidP="00ED0E85">
      <w:pPr>
        <w:pStyle w:val="ListBullet"/>
      </w:pPr>
      <w:r>
        <w:t>The average across the sample of voluntary ratings (using the NABERS data centres infrastructure tool) is around 4 stars.</w:t>
      </w:r>
    </w:p>
    <w:p w14:paraId="1B05C321" w14:textId="77777777" w:rsidR="00ED0E85" w:rsidRDefault="00ED0E85" w:rsidP="00ED0E85">
      <w:pPr>
        <w:pStyle w:val="ListBullet"/>
      </w:pPr>
      <w:r>
        <w:t>This is higher than the average of the initial sample of data centres that were used to develop the NABERS tool (the star rating bands are set such that the average is 2.75 (the midpoint of the 2.5 to 3 star band).</w:t>
      </w:r>
    </w:p>
    <w:p w14:paraId="471B9710" w14:textId="2016EE70" w:rsidR="00ED0E85" w:rsidRDefault="00ED0E85" w:rsidP="00ED0E85">
      <w:pPr>
        <w:pStyle w:val="BodyText"/>
      </w:pPr>
      <w:r>
        <w:t>Chart </w:t>
      </w:r>
      <w:r w:rsidR="004550CB">
        <w:rPr>
          <w:noProof/>
        </w:rPr>
        <w:fldChar w:fldCharType="begin"/>
      </w:r>
      <w:r w:rsidR="004550CB">
        <w:rPr>
          <w:noProof/>
        </w:rPr>
        <w:instrText xml:space="preserve"> REF _Caption1390 </w:instrText>
      </w:r>
      <w:r w:rsidR="004550CB">
        <w:rPr>
          <w:noProof/>
        </w:rPr>
        <w:fldChar w:fldCharType="separate"/>
      </w:r>
      <w:r w:rsidR="00AD3561">
        <w:rPr>
          <w:noProof/>
        </w:rPr>
        <w:t>9</w:t>
      </w:r>
      <w:r w:rsidR="00AD3561" w:rsidRPr="00695C93">
        <w:rPr>
          <w:noProof/>
        </w:rPr>
        <w:t>.</w:t>
      </w:r>
      <w:r w:rsidR="00AD3561">
        <w:rPr>
          <w:noProof/>
        </w:rPr>
        <w:t>6</w:t>
      </w:r>
      <w:r w:rsidR="004550CB">
        <w:rPr>
          <w:noProof/>
        </w:rPr>
        <w:fldChar w:fldCharType="end"/>
      </w:r>
      <w:r>
        <w:t xml:space="preserve"> compares the distributions of the initial sample of data centres used to develop the NABERS tool (29 data centres) with the first rating of all office buildings that have had a NABERS rating.</w:t>
      </w:r>
    </w:p>
    <w:p w14:paraId="087F24FF" w14:textId="77777777" w:rsidR="00ED0E85" w:rsidRDefault="00ED0E85" w:rsidP="00ED0E85">
      <w:pPr>
        <w:pStyle w:val="ListBullet"/>
      </w:pPr>
      <w:r>
        <w:t>Most data centres are close to the average (2.5 to 4 stars), with relatively few in the ‘tails’ of the distribution (i.e. 4.5 stars and above or 2 stars and below).</w:t>
      </w:r>
    </w:p>
    <w:p w14:paraId="10BAF87F" w14:textId="77777777" w:rsidR="00ED0E85" w:rsidRDefault="00ED0E85" w:rsidP="00ED0E85">
      <w:pPr>
        <w:pStyle w:val="ListBullet"/>
      </w:pPr>
      <w:r>
        <w:t>By contrast, the initial rating of office buildings were much more dispersed.</w:t>
      </w:r>
    </w:p>
    <w:p w14:paraId="6FDBD9E7" w14:textId="65CE699C"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w:instrText>
      </w:r>
      <w:r w:rsidRPr="00695C93">
        <w:fldChar w:fldCharType="separate"/>
      </w:r>
      <w:r w:rsidR="00AD3561">
        <w:rPr>
          <w:noProof/>
        </w:rPr>
        <w:instrText>9</w:instrText>
      </w:r>
      <w:r w:rsidR="00AD3561"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rsidRPr="00695C93">
        <w:instrText xml:space="preserve">." </w:instrText>
      </w:r>
      <w:r w:rsidRPr="00695C93">
        <w:fldChar w:fldCharType="separate"/>
      </w:r>
      <w:r w:rsidR="00C353B5">
        <w:rPr>
          <w:noProof/>
        </w:rPr>
        <w:instrText>9</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6</w:instrText>
      </w:r>
      <w:r w:rsidRPr="00695C93">
        <w:fldChar w:fldCharType="end"/>
      </w:r>
      <w:r w:rsidRPr="00695C93">
        <w:instrText xml:space="preserve">" "" </w:instrText>
      </w:r>
      <w:r w:rsidRPr="00695C93">
        <w:fldChar w:fldCharType="separate"/>
      </w:r>
      <w:bookmarkStart w:id="6340" w:name="_Caption0811"/>
      <w:bookmarkStart w:id="6341" w:name="_Caption0030"/>
      <w:bookmarkStart w:id="6342" w:name="_Caption7554"/>
      <w:bookmarkStart w:id="6343" w:name="_Caption5445"/>
      <w:bookmarkStart w:id="6344" w:name="_Caption4712"/>
      <w:bookmarkStart w:id="6345" w:name="_Caption6231"/>
      <w:bookmarkStart w:id="6346" w:name="_Caption2818"/>
      <w:bookmarkStart w:id="6347" w:name="_Caption4889"/>
      <w:bookmarkStart w:id="6348" w:name="_Caption5578"/>
      <w:bookmarkStart w:id="6349" w:name="_Caption5450"/>
      <w:bookmarkStart w:id="6350" w:name="_Caption2091"/>
      <w:bookmarkStart w:id="6351" w:name="_Caption7634"/>
      <w:bookmarkStart w:id="6352" w:name="_Caption0385"/>
      <w:bookmarkStart w:id="6353" w:name="_Caption7695"/>
      <w:bookmarkStart w:id="6354" w:name="_Caption2598"/>
      <w:bookmarkStart w:id="6355" w:name="_Caption8853"/>
      <w:bookmarkStart w:id="6356" w:name="_Caption3203"/>
      <w:bookmarkStart w:id="6357" w:name="_Caption2731"/>
      <w:bookmarkStart w:id="6358" w:name="_Caption4164"/>
      <w:bookmarkStart w:id="6359" w:name="_Caption2968"/>
      <w:bookmarkStart w:id="6360" w:name="_Caption8606"/>
      <w:bookmarkStart w:id="6361" w:name="_Caption7626"/>
      <w:bookmarkStart w:id="6362" w:name="_Caption5306"/>
      <w:bookmarkStart w:id="6363" w:name="_Caption0599"/>
      <w:bookmarkStart w:id="6364" w:name="_Caption1390"/>
      <w:bookmarkStart w:id="6365" w:name="_Caption6749"/>
      <w:bookmarkStart w:id="6366" w:name="_Caption6544"/>
      <w:bookmarkStart w:id="6367" w:name="_Caption7616"/>
      <w:bookmarkStart w:id="6368" w:name="_Caption2410"/>
      <w:bookmarkStart w:id="6369" w:name="_Caption6066"/>
      <w:bookmarkStart w:id="6370" w:name="_Caption9929"/>
      <w:bookmarkStart w:id="6371" w:name="_Caption7265"/>
      <w:bookmarkStart w:id="6372" w:name="_Caption9868"/>
      <w:bookmarkStart w:id="6373" w:name="_Caption0817"/>
      <w:bookmarkStart w:id="6374" w:name="_Caption0875"/>
      <w:bookmarkStart w:id="6375" w:name="_Caption4893"/>
      <w:bookmarkStart w:id="6376" w:name="_Caption8821"/>
      <w:bookmarkStart w:id="6377" w:name="_Caption3098"/>
      <w:bookmarkStart w:id="6378" w:name="_Caption5072"/>
      <w:bookmarkStart w:id="6379" w:name="_Caption7252"/>
      <w:bookmarkStart w:id="6380" w:name="_Caption0436"/>
      <w:bookmarkStart w:id="6381" w:name="_Caption9366"/>
      <w:bookmarkStart w:id="6382" w:name="_Caption2280"/>
      <w:bookmarkStart w:id="6383" w:name="_Caption9035"/>
      <w:bookmarkStart w:id="6384" w:name="_Caption6611"/>
      <w:bookmarkStart w:id="6385" w:name="_Caption2837"/>
      <w:bookmarkStart w:id="6386" w:name="_Caption4651"/>
      <w:bookmarkStart w:id="6387" w:name="_Caption5533"/>
      <w:bookmarkStart w:id="6388" w:name="_Caption7898"/>
      <w:bookmarkStart w:id="6389" w:name="_Caption4761"/>
      <w:bookmarkStart w:id="6390" w:name="_Caption2276"/>
      <w:bookmarkStart w:id="6391" w:name="_Caption3294"/>
      <w:bookmarkStart w:id="6392" w:name="_Caption8546"/>
      <w:bookmarkStart w:id="6393" w:name="_Caption1044"/>
      <w:bookmarkStart w:id="6394" w:name="_Caption5712"/>
      <w:bookmarkStart w:id="6395" w:name="_Caption4884"/>
      <w:bookmarkStart w:id="6396" w:name="_Caption1578"/>
      <w:bookmarkStart w:id="6397" w:name="_Toc19275649"/>
      <w:bookmarkStart w:id="6398" w:name="_Toc19276259"/>
      <w:bookmarkStart w:id="6399" w:name="_Toc19280258"/>
      <w:r w:rsidR="00C353B5">
        <w:rPr>
          <w:noProof/>
        </w:rPr>
        <w:t>9</w:t>
      </w:r>
      <w:r w:rsidR="00C353B5" w:rsidRPr="00695C93">
        <w:rPr>
          <w:noProof/>
        </w:rPr>
        <w:t>.</w:t>
      </w:r>
      <w:r w:rsidR="00C353B5">
        <w:rPr>
          <w:noProof/>
        </w:rPr>
        <w:t>6</w:t>
      </w:r>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r w:rsidRPr="00695C93">
        <w:fldChar w:fldCharType="end"/>
      </w:r>
      <w:r w:rsidRPr="00695C93">
        <w:tab/>
      </w:r>
      <w:r>
        <w:t>Initial star rating — frequency distribution</w:t>
      </w:r>
      <w:bookmarkEnd w:id="6397"/>
      <w:bookmarkEnd w:id="6398"/>
      <w:bookmarkEnd w:id="6399"/>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16E65B1D" w14:textId="77777777" w:rsidTr="00ED0E85">
        <w:trPr>
          <w:cantSplit/>
        </w:trPr>
        <w:tc>
          <w:tcPr>
            <w:tcW w:w="7938" w:type="dxa"/>
            <w:shd w:val="clear" w:color="auto" w:fill="E9E8E5" w:themeFill="background2"/>
          </w:tcPr>
          <w:p w14:paraId="604374D8" w14:textId="77777777" w:rsidR="00ED0E85" w:rsidRDefault="00ED0E85" w:rsidP="001540E1">
            <w:pPr>
              <w:pStyle w:val="Chart"/>
              <w:spacing w:after="120"/>
            </w:pPr>
            <w:r>
              <w:t xml:space="preserve"> </w:t>
            </w:r>
            <w:r w:rsidRPr="00E74AB4">
              <w:rPr>
                <w:noProof/>
                <w:lang w:eastAsia="en-AU"/>
              </w:rPr>
              <w:drawing>
                <wp:inline distT="0" distB="0" distL="0" distR="0" wp14:anchorId="7CF47AFC" wp14:editId="4A1F2290">
                  <wp:extent cx="5040630" cy="243014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040630" cy="2430145"/>
                          </a:xfrm>
                          <a:prstGeom prst="rect">
                            <a:avLst/>
                          </a:prstGeom>
                          <a:noFill/>
                          <a:ln>
                            <a:noFill/>
                          </a:ln>
                        </pic:spPr>
                      </pic:pic>
                    </a:graphicData>
                  </a:graphic>
                </wp:inline>
              </w:drawing>
            </w:r>
          </w:p>
        </w:tc>
      </w:tr>
    </w:tbl>
    <w:p w14:paraId="1E421671" w14:textId="77777777" w:rsidR="00ED0E85" w:rsidRDefault="00ED0E85" w:rsidP="00ED0E85">
      <w:pPr>
        <w:pStyle w:val="Source"/>
      </w:pPr>
      <w:r>
        <w:rPr>
          <w:i/>
        </w:rPr>
        <w:t>Data source</w:t>
      </w:r>
      <w:r w:rsidRPr="00A67576">
        <w:rPr>
          <w:i/>
        </w:rPr>
        <w:t>:</w:t>
      </w:r>
      <w:r>
        <w:t xml:space="preserve"> CIE based on NABERS data.</w:t>
      </w:r>
    </w:p>
    <w:p w14:paraId="6863BBA6" w14:textId="77892D6D" w:rsidR="00ED0E85" w:rsidRDefault="00ED0E85" w:rsidP="00ED0E85">
      <w:pPr>
        <w:pStyle w:val="BodyText"/>
      </w:pPr>
      <w:r>
        <w:t>This suggests there is generally less scope for short</w:t>
      </w:r>
      <w:r>
        <w:noBreakHyphen/>
        <w:t>term improvements through low</w:t>
      </w:r>
      <w:r>
        <w:noBreakHyphen/>
        <w:t>cost operational changes (i.e. low hanging fruit). These types of changes have been a key driver of the improvements that have been achieved in the office market. In particular, we estimate that for the office market more than two</w:t>
      </w:r>
      <w:r>
        <w:noBreakHyphen/>
        <w:t>thirds of the net private benefits (excluding compliance costs) were achieved by buildings with a first NABERS rating of 2 stars or less, even though these buildings made up only 30 per cent of total floor space (chart </w:t>
      </w:r>
      <w:r w:rsidR="004550CB">
        <w:rPr>
          <w:noProof/>
        </w:rPr>
        <w:fldChar w:fldCharType="begin"/>
      </w:r>
      <w:r w:rsidR="004550CB">
        <w:rPr>
          <w:noProof/>
        </w:rPr>
        <w:instrText xml:space="preserve"> REF _Caption8327 </w:instrText>
      </w:r>
      <w:r w:rsidR="004550CB">
        <w:rPr>
          <w:noProof/>
        </w:rPr>
        <w:fldChar w:fldCharType="separate"/>
      </w:r>
      <w:r w:rsidR="00AD3561">
        <w:rPr>
          <w:noProof/>
        </w:rPr>
        <w:t>9</w:t>
      </w:r>
      <w:r w:rsidR="00AD3561" w:rsidRPr="00695C93">
        <w:rPr>
          <w:noProof/>
        </w:rPr>
        <w:t>.</w:t>
      </w:r>
      <w:r w:rsidR="00AD3561">
        <w:rPr>
          <w:noProof/>
        </w:rPr>
        <w:t>7</w:t>
      </w:r>
      <w:r w:rsidR="004550CB">
        <w:rPr>
          <w:noProof/>
        </w:rPr>
        <w:fldChar w:fldCharType="end"/>
      </w:r>
      <w:r>
        <w:t>).</w:t>
      </w:r>
    </w:p>
    <w:p w14:paraId="5522BDE6" w14:textId="67F929AE"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w:instrText>
      </w:r>
      <w:r w:rsidRPr="00695C93">
        <w:fldChar w:fldCharType="separate"/>
      </w:r>
      <w:r w:rsidR="00AD3561">
        <w:rPr>
          <w:noProof/>
        </w:rPr>
        <w:instrText>9</w:instrText>
      </w:r>
      <w:r w:rsidR="00AD3561"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rsidRPr="00695C93">
        <w:instrText xml:space="preserve">." </w:instrText>
      </w:r>
      <w:r w:rsidRPr="00695C93">
        <w:fldChar w:fldCharType="separate"/>
      </w:r>
      <w:r w:rsidR="00C353B5">
        <w:rPr>
          <w:noProof/>
        </w:rPr>
        <w:instrText>9</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7</w:instrText>
      </w:r>
      <w:r w:rsidRPr="00695C93">
        <w:fldChar w:fldCharType="end"/>
      </w:r>
      <w:r w:rsidRPr="00695C93">
        <w:instrText xml:space="preserve">" "" </w:instrText>
      </w:r>
      <w:r w:rsidRPr="00695C93">
        <w:fldChar w:fldCharType="separate"/>
      </w:r>
      <w:bookmarkStart w:id="6400" w:name="_Caption4936"/>
      <w:bookmarkStart w:id="6401" w:name="_Caption9588"/>
      <w:bookmarkStart w:id="6402" w:name="_Caption7234"/>
      <w:bookmarkStart w:id="6403" w:name="_Caption0598"/>
      <w:bookmarkStart w:id="6404" w:name="_Caption5974"/>
      <w:bookmarkStart w:id="6405" w:name="_Caption8327"/>
      <w:bookmarkStart w:id="6406" w:name="_Caption3730"/>
      <w:bookmarkStart w:id="6407" w:name="_Caption0512"/>
      <w:bookmarkStart w:id="6408" w:name="_Caption0395"/>
      <w:bookmarkStart w:id="6409" w:name="_Caption2945"/>
      <w:bookmarkStart w:id="6410" w:name="_Caption3624"/>
      <w:bookmarkStart w:id="6411" w:name="_Caption5191"/>
      <w:bookmarkStart w:id="6412" w:name="_Caption2204"/>
      <w:bookmarkStart w:id="6413" w:name="_Caption7895"/>
      <w:bookmarkStart w:id="6414" w:name="_Caption0091"/>
      <w:bookmarkStart w:id="6415" w:name="_Caption4965"/>
      <w:bookmarkStart w:id="6416" w:name="_Caption0470"/>
      <w:bookmarkStart w:id="6417" w:name="_Toc320545098"/>
      <w:bookmarkStart w:id="6418" w:name="_Toc19275650"/>
      <w:bookmarkStart w:id="6419" w:name="_Toc19276260"/>
      <w:bookmarkStart w:id="6420" w:name="_Toc19280259"/>
      <w:r w:rsidR="00C353B5">
        <w:rPr>
          <w:noProof/>
        </w:rPr>
        <w:t>9</w:t>
      </w:r>
      <w:r w:rsidR="00C353B5" w:rsidRPr="00695C93">
        <w:rPr>
          <w:noProof/>
        </w:rPr>
        <w:t>.</w:t>
      </w:r>
      <w:r w:rsidR="00C353B5">
        <w:rPr>
          <w:noProof/>
        </w:rPr>
        <w:t>7</w:t>
      </w:r>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r w:rsidRPr="00695C93">
        <w:fldChar w:fldCharType="end"/>
      </w:r>
      <w:r w:rsidRPr="00695C93">
        <w:tab/>
      </w:r>
      <w:bookmarkEnd w:id="6417"/>
      <w:r>
        <w:t>Net private benefits for office building by first NABERS rating</w:t>
      </w:r>
      <w:bookmarkEnd w:id="6418"/>
      <w:bookmarkEnd w:id="6419"/>
      <w:bookmarkEnd w:id="6420"/>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02B73FA4" w14:textId="77777777" w:rsidTr="00ED0E85">
        <w:trPr>
          <w:cantSplit/>
        </w:trPr>
        <w:tc>
          <w:tcPr>
            <w:tcW w:w="7938" w:type="dxa"/>
            <w:shd w:val="clear" w:color="auto" w:fill="E9E8E5" w:themeFill="background2"/>
          </w:tcPr>
          <w:p w14:paraId="30DBFE4B" w14:textId="77777777" w:rsidR="00ED0E85" w:rsidRDefault="00ED0E85" w:rsidP="001540E1">
            <w:pPr>
              <w:pStyle w:val="Chart"/>
              <w:spacing w:after="120"/>
            </w:pPr>
            <w:r w:rsidRPr="00E74AB4">
              <w:rPr>
                <w:noProof/>
                <w:lang w:eastAsia="en-AU"/>
              </w:rPr>
              <w:drawing>
                <wp:inline distT="0" distB="0" distL="0" distR="0" wp14:anchorId="277DC275" wp14:editId="1E99DBAC">
                  <wp:extent cx="5040630" cy="2431415"/>
                  <wp:effectExtent l="0" t="0" r="7620" b="698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040630" cy="2431415"/>
                          </a:xfrm>
                          <a:prstGeom prst="rect">
                            <a:avLst/>
                          </a:prstGeom>
                          <a:noFill/>
                          <a:ln>
                            <a:noFill/>
                          </a:ln>
                        </pic:spPr>
                      </pic:pic>
                    </a:graphicData>
                  </a:graphic>
                </wp:inline>
              </w:drawing>
            </w:r>
          </w:p>
        </w:tc>
      </w:tr>
    </w:tbl>
    <w:p w14:paraId="4B11397D" w14:textId="77777777" w:rsidR="00ED0E85" w:rsidRDefault="00ED0E85" w:rsidP="00ED0E85">
      <w:pPr>
        <w:pStyle w:val="Source"/>
      </w:pPr>
      <w:r>
        <w:rPr>
          <w:i/>
        </w:rPr>
        <w:t>Data source</w:t>
      </w:r>
      <w:r w:rsidRPr="00A67576">
        <w:rPr>
          <w:i/>
        </w:rPr>
        <w:t>:</w:t>
      </w:r>
      <w:r>
        <w:t xml:space="preserve"> CIE estimates</w:t>
      </w:r>
      <w:r w:rsidR="001540E1">
        <w:t>.</w:t>
      </w:r>
    </w:p>
    <w:p w14:paraId="6ED7521E" w14:textId="77777777" w:rsidR="00ED0E85" w:rsidRDefault="00ED0E85" w:rsidP="00ED0E85">
      <w:pPr>
        <w:pStyle w:val="Heading3"/>
        <w:numPr>
          <w:ilvl w:val="2"/>
          <w:numId w:val="5"/>
        </w:numPr>
      </w:pPr>
      <w:r>
        <w:t>Market and behavioural failures relating to private data centres</w:t>
      </w:r>
    </w:p>
    <w:p w14:paraId="55763458" w14:textId="77777777" w:rsidR="00ED0E85" w:rsidRDefault="00ED0E85" w:rsidP="00ED0E85">
      <w:pPr>
        <w:pStyle w:val="BodyText"/>
      </w:pPr>
      <w:r>
        <w:t>That said, some industry stakeholders argued that mandatory disclosure could encourage owners/managers to make more energy efficient decisions in the longer</w:t>
      </w:r>
      <w:r>
        <w:noBreakHyphen/>
        <w:t>term, through end</w:t>
      </w:r>
      <w:r>
        <w:noBreakHyphen/>
        <w:t>of</w:t>
      </w:r>
      <w:r>
        <w:noBreakHyphen/>
        <w:t>life equipment replacements. Some assessors provided anecdotal evidence of ‘like</w:t>
      </w:r>
      <w:r>
        <w:noBreakHyphen/>
        <w:t>for</w:t>
      </w:r>
      <w:r>
        <w:noBreakHyphen/>
        <w:t>like’ replacements, rather than more energy efficient options that would have a very short payback period. However, other stakeholders argued that there are often valid reasons why energy efficiency opportunities are not implemented (see below).</w:t>
      </w:r>
    </w:p>
    <w:p w14:paraId="32C30017" w14:textId="77777777" w:rsidR="00ED0E85" w:rsidRDefault="00ED0E85" w:rsidP="00ED0E85">
      <w:pPr>
        <w:pStyle w:val="BodyText"/>
      </w:pPr>
      <w:r>
        <w:t>Several stakeholders argued that although there are no information asymmetries or split incentives (i.e. they are owner</w:t>
      </w:r>
      <w:r>
        <w:noBreakHyphen/>
        <w:t>operated), behavioural failures are likely to be more prevalent in private data centres.</w:t>
      </w:r>
    </w:p>
    <w:p w14:paraId="7DE75050" w14:textId="77777777" w:rsidR="00ED0E85" w:rsidRDefault="00ED0E85" w:rsidP="00ED0E85">
      <w:pPr>
        <w:pStyle w:val="ListBullet"/>
      </w:pPr>
      <w:r>
        <w:t>Although data centres are energy intensive, the energy used by a private data centres is likely to be a small share of overall business costs for large organisations. This can potentially lead to the insalience problem.</w:t>
      </w:r>
    </w:p>
    <w:p w14:paraId="2E0104B9" w14:textId="77777777" w:rsidR="00ED0E85" w:rsidRDefault="00ED0E85" w:rsidP="00ED0E85">
      <w:pPr>
        <w:pStyle w:val="ListBullet"/>
      </w:pPr>
      <w:r>
        <w:t>As private data centres are generally embedded in large organisations, they are not subject to the same competitive pressures as colocation data centres that must keep energy costs low to compete effectively in the market.</w:t>
      </w:r>
    </w:p>
    <w:p w14:paraId="781F0A31" w14:textId="77777777" w:rsidR="00ED0E85" w:rsidRDefault="00ED0E85" w:rsidP="00ED0E85">
      <w:pPr>
        <w:pStyle w:val="BodyText"/>
      </w:pPr>
      <w:r>
        <w:t>This view is supported by anecdotal evidence from assessors who have encountered some very inefficient private data centres (including data centres owned by government agencies).</w:t>
      </w:r>
    </w:p>
    <w:p w14:paraId="59D6E399" w14:textId="75F88E8C" w:rsidR="00ED0E85" w:rsidRDefault="00ED0E85" w:rsidP="00ED0E85">
      <w:pPr>
        <w:pStyle w:val="BodyText"/>
      </w:pPr>
      <w:r>
        <w:t>On the other hand, based on the sample of data centres gathered to develop the NABERS tool, there does not appear to be a systematic difference between the performance of private and colocation data centres. This sample included: 11 colocation data centres; and 18 private data centres. The average PUE across the two samples was about the same (see chart </w:t>
      </w:r>
      <w:r w:rsidR="004550CB">
        <w:rPr>
          <w:noProof/>
        </w:rPr>
        <w:fldChar w:fldCharType="begin"/>
      </w:r>
      <w:r w:rsidR="004550CB">
        <w:rPr>
          <w:noProof/>
        </w:rPr>
        <w:instrText xml:space="preserve"> REF _Caption0299 </w:instrText>
      </w:r>
      <w:r w:rsidR="004550CB">
        <w:rPr>
          <w:noProof/>
        </w:rPr>
        <w:fldChar w:fldCharType="separate"/>
      </w:r>
      <w:r w:rsidR="00AD3561">
        <w:rPr>
          <w:noProof/>
        </w:rPr>
        <w:t>9</w:t>
      </w:r>
      <w:r w:rsidR="00AD3561" w:rsidRPr="00695C93">
        <w:rPr>
          <w:noProof/>
        </w:rPr>
        <w:t>.</w:t>
      </w:r>
      <w:r w:rsidR="00AD3561">
        <w:rPr>
          <w:noProof/>
        </w:rPr>
        <w:t>8</w:t>
      </w:r>
      <w:r w:rsidR="004550CB">
        <w:rPr>
          <w:noProof/>
        </w:rPr>
        <w:fldChar w:fldCharType="end"/>
      </w:r>
      <w:r>
        <w:t>).</w:t>
      </w:r>
    </w:p>
    <w:p w14:paraId="23E650B5" w14:textId="3A91FB58"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w:instrText>
      </w:r>
      <w:r w:rsidRPr="00695C93">
        <w:fldChar w:fldCharType="separate"/>
      </w:r>
      <w:r w:rsidR="00AD3561">
        <w:rPr>
          <w:noProof/>
        </w:rPr>
        <w:instrText>9</w:instrText>
      </w:r>
      <w:r w:rsidR="00AD3561"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rsidRPr="00695C93">
        <w:instrText xml:space="preserve">." </w:instrText>
      </w:r>
      <w:r w:rsidRPr="00695C93">
        <w:fldChar w:fldCharType="separate"/>
      </w:r>
      <w:r w:rsidR="00C353B5">
        <w:rPr>
          <w:noProof/>
        </w:rPr>
        <w:instrText>9</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8</w:instrText>
      </w:r>
      <w:r w:rsidRPr="00695C93">
        <w:fldChar w:fldCharType="end"/>
      </w:r>
      <w:r w:rsidRPr="00695C93">
        <w:instrText xml:space="preserve">" "" </w:instrText>
      </w:r>
      <w:r w:rsidRPr="00695C93">
        <w:fldChar w:fldCharType="separate"/>
      </w:r>
      <w:bookmarkStart w:id="6421" w:name="_Caption2560"/>
      <w:bookmarkStart w:id="6422" w:name="_Caption7989"/>
      <w:bookmarkStart w:id="6423" w:name="_Caption1079"/>
      <w:bookmarkStart w:id="6424" w:name="_Caption3722"/>
      <w:bookmarkStart w:id="6425" w:name="_Caption0780"/>
      <w:bookmarkStart w:id="6426" w:name="_Caption3967"/>
      <w:bookmarkStart w:id="6427" w:name="_Caption8733"/>
      <w:bookmarkStart w:id="6428" w:name="_Caption1738"/>
      <w:bookmarkStart w:id="6429" w:name="_Caption0171"/>
      <w:bookmarkStart w:id="6430" w:name="_Caption5170"/>
      <w:bookmarkStart w:id="6431" w:name="_Caption6389"/>
      <w:bookmarkStart w:id="6432" w:name="_Caption2268"/>
      <w:bookmarkStart w:id="6433" w:name="_Caption3575"/>
      <w:bookmarkStart w:id="6434" w:name="_Caption0299"/>
      <w:bookmarkStart w:id="6435" w:name="_Caption5961"/>
      <w:bookmarkStart w:id="6436" w:name="_Caption6783"/>
      <w:bookmarkStart w:id="6437" w:name="_Caption5446"/>
      <w:bookmarkStart w:id="6438" w:name="_Caption7965"/>
      <w:bookmarkStart w:id="6439" w:name="_Caption9733"/>
      <w:bookmarkStart w:id="6440" w:name="_Caption3217"/>
      <w:bookmarkStart w:id="6441" w:name="_Caption9675"/>
      <w:bookmarkStart w:id="6442" w:name="_Caption4160"/>
      <w:bookmarkStart w:id="6443" w:name="_Caption1634"/>
      <w:bookmarkStart w:id="6444" w:name="_Caption8229"/>
      <w:bookmarkStart w:id="6445" w:name="_Caption4053"/>
      <w:bookmarkStart w:id="6446" w:name="_Caption8698"/>
      <w:bookmarkStart w:id="6447" w:name="_Caption7053"/>
      <w:bookmarkStart w:id="6448" w:name="_Caption7272"/>
      <w:bookmarkStart w:id="6449" w:name="_Caption5501"/>
      <w:bookmarkStart w:id="6450" w:name="_Caption8042"/>
      <w:bookmarkStart w:id="6451" w:name="_Caption1494"/>
      <w:bookmarkStart w:id="6452" w:name="_Caption0059"/>
      <w:bookmarkStart w:id="6453" w:name="_Caption0256"/>
      <w:bookmarkStart w:id="6454" w:name="_Toc19275651"/>
      <w:bookmarkStart w:id="6455" w:name="_Toc19276261"/>
      <w:bookmarkStart w:id="6456" w:name="_Toc19280260"/>
      <w:r w:rsidR="00C353B5">
        <w:rPr>
          <w:noProof/>
        </w:rPr>
        <w:t>9</w:t>
      </w:r>
      <w:r w:rsidR="00C353B5" w:rsidRPr="00695C93">
        <w:rPr>
          <w:noProof/>
        </w:rPr>
        <w:t>.</w:t>
      </w:r>
      <w:r w:rsidR="00C353B5">
        <w:rPr>
          <w:noProof/>
        </w:rPr>
        <w:t>8</w:t>
      </w:r>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r w:rsidRPr="00695C93">
        <w:fldChar w:fldCharType="end"/>
      </w:r>
      <w:r w:rsidRPr="00695C93">
        <w:tab/>
      </w:r>
      <w:r>
        <w:t>Frequency distribution of PUE</w:t>
      </w:r>
      <w:bookmarkEnd w:id="6454"/>
      <w:bookmarkEnd w:id="6455"/>
      <w:bookmarkEnd w:id="6456"/>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4B6238FE" w14:textId="77777777" w:rsidTr="00ED0E85">
        <w:trPr>
          <w:cantSplit/>
        </w:trPr>
        <w:tc>
          <w:tcPr>
            <w:tcW w:w="7938" w:type="dxa"/>
            <w:shd w:val="clear" w:color="auto" w:fill="E9E8E5" w:themeFill="background2"/>
          </w:tcPr>
          <w:p w14:paraId="55B2E75A" w14:textId="77777777" w:rsidR="00ED0E85" w:rsidRDefault="00ED0E85" w:rsidP="001540E1">
            <w:pPr>
              <w:pStyle w:val="Chart"/>
              <w:spacing w:after="120"/>
              <w:jc w:val="center"/>
            </w:pPr>
            <w:r w:rsidRPr="003708C6">
              <w:rPr>
                <w:noProof/>
                <w:lang w:eastAsia="en-AU"/>
              </w:rPr>
              <w:drawing>
                <wp:inline distT="0" distB="0" distL="0" distR="0" wp14:anchorId="0F8D0ECF" wp14:editId="317DCCF4">
                  <wp:extent cx="5040630" cy="2430145"/>
                  <wp:effectExtent l="0" t="0" r="762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40630" cy="2430145"/>
                          </a:xfrm>
                          <a:prstGeom prst="rect">
                            <a:avLst/>
                          </a:prstGeom>
                          <a:noFill/>
                          <a:ln>
                            <a:noFill/>
                          </a:ln>
                        </pic:spPr>
                      </pic:pic>
                    </a:graphicData>
                  </a:graphic>
                </wp:inline>
              </w:drawing>
            </w:r>
          </w:p>
        </w:tc>
      </w:tr>
    </w:tbl>
    <w:p w14:paraId="12314530" w14:textId="77777777" w:rsidR="00ED0E85" w:rsidRDefault="00ED0E85" w:rsidP="00ED0E85">
      <w:pPr>
        <w:pStyle w:val="Source"/>
      </w:pPr>
      <w:r>
        <w:rPr>
          <w:i/>
        </w:rPr>
        <w:t>Data source</w:t>
      </w:r>
      <w:r w:rsidRPr="00A67576">
        <w:rPr>
          <w:i/>
        </w:rPr>
        <w:t>:</w:t>
      </w:r>
      <w:r>
        <w:t xml:space="preserve"> NABERS.</w:t>
      </w:r>
    </w:p>
    <w:p w14:paraId="0737FEE9" w14:textId="77777777" w:rsidR="00ED0E85" w:rsidRDefault="00ED0E85" w:rsidP="00ED0E85">
      <w:pPr>
        <w:pStyle w:val="Heading2"/>
        <w:numPr>
          <w:ilvl w:val="1"/>
          <w:numId w:val="5"/>
        </w:numPr>
      </w:pPr>
      <w:bookmarkStart w:id="6457" w:name="_Toc16168131"/>
      <w:bookmarkStart w:id="6458" w:name="_Toc19275546"/>
      <w:bookmarkStart w:id="6459" w:name="_Toc19276156"/>
      <w:bookmarkStart w:id="6460" w:name="_Toc19280155"/>
      <w:r>
        <w:t>Would mandatory disclosure drive behavioural change?</w:t>
      </w:r>
      <w:bookmarkEnd w:id="6457"/>
      <w:bookmarkEnd w:id="6458"/>
      <w:bookmarkEnd w:id="6459"/>
      <w:bookmarkEnd w:id="6460"/>
    </w:p>
    <w:p w14:paraId="0A3AD42A" w14:textId="77777777" w:rsidR="00ED0E85" w:rsidRDefault="00ED0E85" w:rsidP="00ED0E85">
      <w:pPr>
        <w:pStyle w:val="BodyText"/>
      </w:pPr>
      <w:r>
        <w:t>There is little evidence to suggest that mandatory disclosure would drive energy efficiency improvements in data centres.</w:t>
      </w:r>
    </w:p>
    <w:p w14:paraId="0DEA067C" w14:textId="77777777" w:rsidR="00ED0E85" w:rsidRPr="003E7960" w:rsidRDefault="00ED0E85" w:rsidP="00ED0E85">
      <w:pPr>
        <w:pStyle w:val="Heading3"/>
        <w:numPr>
          <w:ilvl w:val="2"/>
          <w:numId w:val="5"/>
        </w:numPr>
      </w:pPr>
      <w:r>
        <w:t>Limited appetite for rated data centres</w:t>
      </w:r>
    </w:p>
    <w:p w14:paraId="66077180" w14:textId="77777777" w:rsidR="00ED0E85" w:rsidRDefault="00ED0E85" w:rsidP="00ED0E85">
      <w:pPr>
        <w:pStyle w:val="BodyText"/>
      </w:pPr>
      <w:r>
        <w:t>The low uptake of voluntary NABERS ratings suggest a limited appetite for rated data centres. In general, it would be reasonable to expect that were there demand from data centre clients for NABERS-rated data centres, the market would respond with greater uptake of the voluntary NABERS tool and improving ratings over time.</w:t>
      </w:r>
    </w:p>
    <w:p w14:paraId="469A2D04" w14:textId="77777777" w:rsidR="00ED0E85" w:rsidRDefault="00ED0E85" w:rsidP="00ED0E85">
      <w:pPr>
        <w:pStyle w:val="Heading3"/>
        <w:numPr>
          <w:ilvl w:val="2"/>
          <w:numId w:val="5"/>
        </w:numPr>
      </w:pPr>
      <w:r>
        <w:t>Evidence from voluntary NABERS ratings</w:t>
      </w:r>
    </w:p>
    <w:p w14:paraId="23BDD36A" w14:textId="1A7951A3" w:rsidR="00ED0E85" w:rsidRDefault="00ED0E85" w:rsidP="00ED0E85">
      <w:pPr>
        <w:pStyle w:val="BodyText"/>
      </w:pPr>
      <w:r>
        <w:t>There is little evidence of a systematic improvement in performance over time for those data centres with multiple NABERS ratings. In total, there are 12 data centres with multiple ratings (ranging from 2 up to 5 ratings). Comparing the first and last rating, there was no change in the star rating for 9 of these data centres, with the remaining 3 improving by half a star (chart </w:t>
      </w:r>
      <w:r w:rsidR="004550CB">
        <w:rPr>
          <w:noProof/>
        </w:rPr>
        <w:fldChar w:fldCharType="begin"/>
      </w:r>
      <w:r w:rsidR="004550CB">
        <w:rPr>
          <w:noProof/>
        </w:rPr>
        <w:instrText xml:space="preserve"> REF _Caption1088 </w:instrText>
      </w:r>
      <w:r w:rsidR="004550CB">
        <w:rPr>
          <w:noProof/>
        </w:rPr>
        <w:fldChar w:fldCharType="separate"/>
      </w:r>
      <w:r w:rsidR="00AD3561">
        <w:rPr>
          <w:noProof/>
        </w:rPr>
        <w:t>9</w:t>
      </w:r>
      <w:r w:rsidR="00AD3561" w:rsidRPr="00695C93">
        <w:rPr>
          <w:noProof/>
        </w:rPr>
        <w:t>.</w:t>
      </w:r>
      <w:r w:rsidR="00AD3561">
        <w:rPr>
          <w:noProof/>
        </w:rPr>
        <w:t>9</w:t>
      </w:r>
      <w:r w:rsidR="004550CB">
        <w:rPr>
          <w:noProof/>
        </w:rPr>
        <w:fldChar w:fldCharType="end"/>
      </w:r>
      <w:r>
        <w:t>).</w:t>
      </w:r>
    </w:p>
    <w:p w14:paraId="44643EA2" w14:textId="6F57AD7D"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w:instrText>
      </w:r>
      <w:r w:rsidRPr="00695C93">
        <w:fldChar w:fldCharType="separate"/>
      </w:r>
      <w:r w:rsidR="00AD3561">
        <w:rPr>
          <w:noProof/>
        </w:rPr>
        <w:instrText>9</w:instrText>
      </w:r>
      <w:r w:rsidR="00AD3561"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rsidRPr="00695C93">
        <w:instrText xml:space="preserve">." </w:instrText>
      </w:r>
      <w:r w:rsidRPr="00695C93">
        <w:fldChar w:fldCharType="separate"/>
      </w:r>
      <w:r w:rsidR="00C353B5">
        <w:rPr>
          <w:noProof/>
        </w:rPr>
        <w:instrText>9</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9</w:instrText>
      </w:r>
      <w:r w:rsidRPr="00695C93">
        <w:fldChar w:fldCharType="end"/>
      </w:r>
      <w:r w:rsidRPr="00695C93">
        <w:instrText xml:space="preserve">" "" </w:instrText>
      </w:r>
      <w:r w:rsidRPr="00695C93">
        <w:fldChar w:fldCharType="separate"/>
      </w:r>
      <w:bookmarkStart w:id="6461" w:name="_Caption3588"/>
      <w:bookmarkStart w:id="6462" w:name="_Caption1370"/>
      <w:bookmarkStart w:id="6463" w:name="_Caption6659"/>
      <w:bookmarkStart w:id="6464" w:name="_Caption9449"/>
      <w:bookmarkStart w:id="6465" w:name="_Caption9620"/>
      <w:bookmarkStart w:id="6466" w:name="_Caption3915"/>
      <w:bookmarkStart w:id="6467" w:name="_Caption2192"/>
      <w:bookmarkStart w:id="6468" w:name="_Caption8961"/>
      <w:bookmarkStart w:id="6469" w:name="_Caption4642"/>
      <w:bookmarkStart w:id="6470" w:name="_Caption8828"/>
      <w:bookmarkStart w:id="6471" w:name="_Caption8805"/>
      <w:bookmarkStart w:id="6472" w:name="_Caption4925"/>
      <w:bookmarkStart w:id="6473" w:name="_Caption1973"/>
      <w:bookmarkStart w:id="6474" w:name="_Caption8270"/>
      <w:bookmarkStart w:id="6475" w:name="_Caption6495"/>
      <w:bookmarkStart w:id="6476" w:name="_Caption6463"/>
      <w:bookmarkStart w:id="6477" w:name="_Caption1560"/>
      <w:bookmarkStart w:id="6478" w:name="_Caption9608"/>
      <w:bookmarkStart w:id="6479" w:name="_Caption2403"/>
      <w:bookmarkStart w:id="6480" w:name="_Caption1264"/>
      <w:bookmarkStart w:id="6481" w:name="_Caption3198"/>
      <w:bookmarkStart w:id="6482" w:name="_Caption9361"/>
      <w:bookmarkStart w:id="6483" w:name="_Caption8094"/>
      <w:bookmarkStart w:id="6484" w:name="_Caption1088"/>
      <w:bookmarkStart w:id="6485" w:name="_Caption8135"/>
      <w:bookmarkStart w:id="6486" w:name="_Caption0782"/>
      <w:bookmarkStart w:id="6487" w:name="_Caption9006"/>
      <w:bookmarkStart w:id="6488" w:name="_Caption4213"/>
      <w:bookmarkStart w:id="6489" w:name="_Caption6375"/>
      <w:bookmarkStart w:id="6490" w:name="_Caption6105"/>
      <w:bookmarkStart w:id="6491" w:name="_Caption1617"/>
      <w:bookmarkStart w:id="6492" w:name="_Caption8187"/>
      <w:bookmarkStart w:id="6493" w:name="_Caption3280"/>
      <w:bookmarkStart w:id="6494" w:name="_Caption7563"/>
      <w:bookmarkStart w:id="6495" w:name="_Caption0062"/>
      <w:bookmarkStart w:id="6496" w:name="_Caption3204"/>
      <w:bookmarkStart w:id="6497" w:name="_Caption3447"/>
      <w:bookmarkStart w:id="6498" w:name="_Caption8214"/>
      <w:bookmarkStart w:id="6499" w:name="_Caption5858"/>
      <w:bookmarkStart w:id="6500" w:name="_Caption4466"/>
      <w:bookmarkStart w:id="6501" w:name="_Caption4540"/>
      <w:bookmarkStart w:id="6502" w:name="_Caption5033"/>
      <w:bookmarkStart w:id="6503" w:name="_Caption5697"/>
      <w:bookmarkStart w:id="6504" w:name="_Caption5438"/>
      <w:bookmarkStart w:id="6505" w:name="_Caption8092"/>
      <w:bookmarkStart w:id="6506" w:name="_Caption6560"/>
      <w:bookmarkStart w:id="6507" w:name="_Caption4587"/>
      <w:bookmarkStart w:id="6508" w:name="_Caption6750"/>
      <w:bookmarkStart w:id="6509" w:name="_Caption9724"/>
      <w:bookmarkStart w:id="6510" w:name="_Caption1652"/>
      <w:bookmarkStart w:id="6511" w:name="_Caption1269"/>
      <w:bookmarkStart w:id="6512" w:name="_Caption9685"/>
      <w:bookmarkStart w:id="6513" w:name="_Caption2363"/>
      <w:bookmarkStart w:id="6514" w:name="_Caption7603"/>
      <w:bookmarkStart w:id="6515" w:name="_Caption5119"/>
      <w:bookmarkStart w:id="6516" w:name="_Toc19275652"/>
      <w:bookmarkStart w:id="6517" w:name="_Toc19276262"/>
      <w:bookmarkStart w:id="6518" w:name="_Toc19280261"/>
      <w:r w:rsidR="00C353B5">
        <w:rPr>
          <w:noProof/>
        </w:rPr>
        <w:t>9</w:t>
      </w:r>
      <w:r w:rsidR="00C353B5" w:rsidRPr="00695C93">
        <w:rPr>
          <w:noProof/>
        </w:rPr>
        <w:t>.</w:t>
      </w:r>
      <w:r w:rsidR="00C353B5">
        <w:rPr>
          <w:noProof/>
        </w:rPr>
        <w:t>9</w:t>
      </w:r>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r w:rsidRPr="00695C93">
        <w:fldChar w:fldCharType="end"/>
      </w:r>
      <w:r w:rsidRPr="00695C93">
        <w:tab/>
      </w:r>
      <w:r>
        <w:t>Change in star rating — frequency distribution</w:t>
      </w:r>
      <w:bookmarkEnd w:id="6516"/>
      <w:bookmarkEnd w:id="6517"/>
      <w:bookmarkEnd w:id="6518"/>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6F9F9453" w14:textId="77777777" w:rsidTr="00ED0E85">
        <w:trPr>
          <w:cantSplit/>
        </w:trPr>
        <w:tc>
          <w:tcPr>
            <w:tcW w:w="7938" w:type="dxa"/>
            <w:shd w:val="clear" w:color="auto" w:fill="E9E8E5" w:themeFill="background2"/>
          </w:tcPr>
          <w:p w14:paraId="54C39E5F" w14:textId="77777777" w:rsidR="00ED0E85" w:rsidRDefault="00ED0E85" w:rsidP="001540E1">
            <w:pPr>
              <w:pStyle w:val="Chart"/>
              <w:spacing w:after="120"/>
              <w:jc w:val="center"/>
            </w:pPr>
            <w:r w:rsidRPr="003708C6">
              <w:rPr>
                <w:noProof/>
                <w:lang w:eastAsia="en-AU"/>
              </w:rPr>
              <w:drawing>
                <wp:inline distT="0" distB="0" distL="0" distR="0" wp14:anchorId="422C777F" wp14:editId="3EF10839">
                  <wp:extent cx="5040630" cy="2430145"/>
                  <wp:effectExtent l="0" t="0" r="0" b="825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040630" cy="2430145"/>
                          </a:xfrm>
                          <a:prstGeom prst="rect">
                            <a:avLst/>
                          </a:prstGeom>
                          <a:noFill/>
                          <a:ln>
                            <a:noFill/>
                          </a:ln>
                        </pic:spPr>
                      </pic:pic>
                    </a:graphicData>
                  </a:graphic>
                </wp:inline>
              </w:drawing>
            </w:r>
          </w:p>
        </w:tc>
      </w:tr>
    </w:tbl>
    <w:p w14:paraId="580A30FB" w14:textId="77777777" w:rsidR="00ED0E85" w:rsidRDefault="00ED0E85" w:rsidP="00ED0E85">
      <w:pPr>
        <w:pStyle w:val="Source"/>
      </w:pPr>
      <w:r>
        <w:rPr>
          <w:i/>
        </w:rPr>
        <w:t>Data source</w:t>
      </w:r>
      <w:r w:rsidRPr="00A67576">
        <w:rPr>
          <w:i/>
        </w:rPr>
        <w:t>:</w:t>
      </w:r>
      <w:r>
        <w:t xml:space="preserve"> CIE based on NABERS data.</w:t>
      </w:r>
    </w:p>
    <w:p w14:paraId="1A05FEB4" w14:textId="77777777" w:rsidR="00ED0E85" w:rsidRDefault="00ED0E85" w:rsidP="00ED0E85">
      <w:pPr>
        <w:pStyle w:val="BodyText"/>
      </w:pPr>
      <w:r>
        <w:t>This tends to support the view of most stakeholders that most colocation data centres are operating close to maximum efficiency given the design of the building and the technology in place (see below). As noted above, this suggests there may be limited opportunities for low</w:t>
      </w:r>
      <w:r>
        <w:noBreakHyphen/>
        <w:t>cost operational changes that have been a significant driver of the net benefits achieved in the office sector.</w:t>
      </w:r>
    </w:p>
    <w:p w14:paraId="7308F9FB" w14:textId="77777777" w:rsidR="00ED0E85" w:rsidRDefault="00ED0E85" w:rsidP="00ED0E85">
      <w:pPr>
        <w:pStyle w:val="BodyText"/>
      </w:pPr>
      <w:r>
        <w:t>Power usage effectiveness (PUE) is an industry measure of the efficiency of a data centre’s infrastructure. It is the ratio of total facility energy consumption to the energy consumption of the IT equipment (implying a PUE of 1 if the data centre uses no energy on infrastructure). The NABERS data centre infrastructure rating is largely based on PUE (with some adjustments). The average change in PUE between the first and last rating was -0.02 (i.e. a small improvement in performance).</w:t>
      </w:r>
    </w:p>
    <w:p w14:paraId="3A6B1409" w14:textId="78547F3C" w:rsidR="00ED0E85" w:rsidRDefault="00ED0E85" w:rsidP="00ED0E85">
      <w:pPr>
        <w:pStyle w:val="ListBullet"/>
      </w:pPr>
      <w:r>
        <w:t>8 data centres reduced PUE (i.e. improved performance), with the largest reduction -0.11 (chart </w:t>
      </w:r>
      <w:r w:rsidR="004550CB">
        <w:rPr>
          <w:noProof/>
        </w:rPr>
        <w:fldChar w:fldCharType="begin"/>
      </w:r>
      <w:r w:rsidR="004550CB">
        <w:rPr>
          <w:noProof/>
        </w:rPr>
        <w:instrText xml:space="preserve"> REF _Caption5959 </w:instrText>
      </w:r>
      <w:r w:rsidR="004550CB">
        <w:rPr>
          <w:noProof/>
        </w:rPr>
        <w:fldChar w:fldCharType="separate"/>
      </w:r>
      <w:r w:rsidR="00AD3561">
        <w:rPr>
          <w:noProof/>
        </w:rPr>
        <w:t>9</w:t>
      </w:r>
      <w:r w:rsidR="00AD3561" w:rsidRPr="00695C93">
        <w:rPr>
          <w:noProof/>
        </w:rPr>
        <w:t>.</w:t>
      </w:r>
      <w:r w:rsidR="00AD3561">
        <w:rPr>
          <w:noProof/>
        </w:rPr>
        <w:t>10</w:t>
      </w:r>
      <w:r w:rsidR="004550CB">
        <w:rPr>
          <w:noProof/>
        </w:rPr>
        <w:fldChar w:fldCharType="end"/>
      </w:r>
      <w:r>
        <w:t>).</w:t>
      </w:r>
    </w:p>
    <w:p w14:paraId="38EC6EDE" w14:textId="77777777" w:rsidR="00ED0E85" w:rsidRDefault="00ED0E85" w:rsidP="00ED0E85">
      <w:pPr>
        <w:pStyle w:val="ListBullet"/>
      </w:pPr>
      <w:r>
        <w:t>For the remaining 4 data centres with multiple ratings, PUE increased between the first and last rating.</w:t>
      </w:r>
    </w:p>
    <w:p w14:paraId="61660D11" w14:textId="2EA40739"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w:instrText>
      </w:r>
      <w:r w:rsidRPr="00695C93">
        <w:fldChar w:fldCharType="separate"/>
      </w:r>
      <w:r w:rsidR="00AD3561">
        <w:rPr>
          <w:noProof/>
        </w:rPr>
        <w:instrText>9</w:instrText>
      </w:r>
      <w:r w:rsidR="00AD3561"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rsidRPr="00695C93">
        <w:instrText xml:space="preserve">." </w:instrText>
      </w:r>
      <w:r w:rsidRPr="00695C93">
        <w:fldChar w:fldCharType="separate"/>
      </w:r>
      <w:r w:rsidR="00C353B5">
        <w:rPr>
          <w:noProof/>
        </w:rPr>
        <w:instrText>9</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10</w:instrText>
      </w:r>
      <w:r w:rsidRPr="00695C93">
        <w:fldChar w:fldCharType="end"/>
      </w:r>
      <w:r w:rsidRPr="00695C93">
        <w:instrText xml:space="preserve">" "" </w:instrText>
      </w:r>
      <w:r w:rsidRPr="00695C93">
        <w:fldChar w:fldCharType="separate"/>
      </w:r>
      <w:bookmarkStart w:id="6519" w:name="_Caption3949"/>
      <w:bookmarkStart w:id="6520" w:name="_Caption6015"/>
      <w:bookmarkStart w:id="6521" w:name="_Caption9517"/>
      <w:bookmarkStart w:id="6522" w:name="_Caption9928"/>
      <w:bookmarkStart w:id="6523" w:name="_Caption2971"/>
      <w:bookmarkStart w:id="6524" w:name="_Caption9816"/>
      <w:bookmarkStart w:id="6525" w:name="_Caption4969"/>
      <w:bookmarkStart w:id="6526" w:name="_Caption0442"/>
      <w:bookmarkStart w:id="6527" w:name="_Caption8193"/>
      <w:bookmarkStart w:id="6528" w:name="_Caption8349"/>
      <w:bookmarkStart w:id="6529" w:name="_Caption4212"/>
      <w:bookmarkStart w:id="6530" w:name="_Caption9905"/>
      <w:bookmarkStart w:id="6531" w:name="_Caption6779"/>
      <w:bookmarkStart w:id="6532" w:name="_Caption4358"/>
      <w:bookmarkStart w:id="6533" w:name="_Caption2355"/>
      <w:bookmarkStart w:id="6534" w:name="_Caption3192"/>
      <w:bookmarkStart w:id="6535" w:name="_Caption5126"/>
      <w:bookmarkStart w:id="6536" w:name="_Caption7217"/>
      <w:bookmarkStart w:id="6537" w:name="_Caption8584"/>
      <w:bookmarkStart w:id="6538" w:name="_Caption7490"/>
      <w:bookmarkStart w:id="6539" w:name="_Caption2516"/>
      <w:bookmarkStart w:id="6540" w:name="_Caption9468"/>
      <w:bookmarkStart w:id="6541" w:name="_Caption5464"/>
      <w:bookmarkStart w:id="6542" w:name="_Caption5959"/>
      <w:bookmarkStart w:id="6543" w:name="_Caption3614"/>
      <w:bookmarkStart w:id="6544" w:name="_Caption8594"/>
      <w:bookmarkStart w:id="6545" w:name="_Caption2010"/>
      <w:bookmarkStart w:id="6546" w:name="_Caption5214"/>
      <w:bookmarkStart w:id="6547" w:name="_Caption3671"/>
      <w:bookmarkStart w:id="6548" w:name="_Caption5330"/>
      <w:bookmarkStart w:id="6549" w:name="_Caption2887"/>
      <w:bookmarkStart w:id="6550" w:name="_Caption5442"/>
      <w:bookmarkStart w:id="6551" w:name="_Caption5190"/>
      <w:bookmarkStart w:id="6552" w:name="_Caption5715"/>
      <w:bookmarkStart w:id="6553" w:name="_Caption9602"/>
      <w:bookmarkStart w:id="6554" w:name="_Caption9308"/>
      <w:bookmarkStart w:id="6555" w:name="_Caption5898"/>
      <w:bookmarkStart w:id="6556" w:name="_Caption4065"/>
      <w:bookmarkStart w:id="6557" w:name="_Caption2712"/>
      <w:bookmarkStart w:id="6558" w:name="_Caption2241"/>
      <w:bookmarkStart w:id="6559" w:name="_Caption9926"/>
      <w:bookmarkStart w:id="6560" w:name="_Caption8068"/>
      <w:bookmarkStart w:id="6561" w:name="_Caption3245"/>
      <w:bookmarkStart w:id="6562" w:name="_Caption0085"/>
      <w:bookmarkStart w:id="6563" w:name="_Caption9286"/>
      <w:bookmarkStart w:id="6564" w:name="_Caption8724"/>
      <w:bookmarkStart w:id="6565" w:name="_Caption5437"/>
      <w:bookmarkStart w:id="6566" w:name="_Caption3240"/>
      <w:bookmarkStart w:id="6567" w:name="_Caption5313"/>
      <w:bookmarkStart w:id="6568" w:name="_Caption4852"/>
      <w:bookmarkStart w:id="6569" w:name="_Caption1789"/>
      <w:bookmarkStart w:id="6570" w:name="_Caption9577"/>
      <w:bookmarkStart w:id="6571" w:name="_Caption2236"/>
      <w:bookmarkStart w:id="6572" w:name="_Toc19275653"/>
      <w:bookmarkStart w:id="6573" w:name="_Toc19276263"/>
      <w:bookmarkStart w:id="6574" w:name="_Toc19280262"/>
      <w:r w:rsidR="00C353B5">
        <w:rPr>
          <w:noProof/>
        </w:rPr>
        <w:t>9</w:t>
      </w:r>
      <w:r w:rsidR="00C353B5" w:rsidRPr="00695C93">
        <w:rPr>
          <w:noProof/>
        </w:rPr>
        <w:t>.</w:t>
      </w:r>
      <w:r w:rsidR="00C353B5">
        <w:rPr>
          <w:noProof/>
        </w:rPr>
        <w:t>10</w:t>
      </w:r>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r w:rsidRPr="00695C93">
        <w:fldChar w:fldCharType="end"/>
      </w:r>
      <w:r w:rsidRPr="00695C93">
        <w:tab/>
      </w:r>
      <w:r>
        <w:t>Change in PUE — frequency distribution</w:t>
      </w:r>
      <w:bookmarkEnd w:id="6572"/>
      <w:bookmarkEnd w:id="6573"/>
      <w:bookmarkEnd w:id="6574"/>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4122F8D8" w14:textId="77777777" w:rsidTr="00ED0E85">
        <w:trPr>
          <w:cantSplit/>
        </w:trPr>
        <w:tc>
          <w:tcPr>
            <w:tcW w:w="7938" w:type="dxa"/>
            <w:shd w:val="clear" w:color="auto" w:fill="E9E8E5" w:themeFill="background2"/>
          </w:tcPr>
          <w:p w14:paraId="23103DE3" w14:textId="77777777" w:rsidR="00ED0E85" w:rsidRDefault="00ED0E85" w:rsidP="00ED0E85">
            <w:pPr>
              <w:pStyle w:val="Chart"/>
              <w:jc w:val="center"/>
            </w:pPr>
            <w:r w:rsidRPr="003708C6">
              <w:rPr>
                <w:noProof/>
                <w:lang w:eastAsia="en-AU"/>
              </w:rPr>
              <w:drawing>
                <wp:inline distT="0" distB="0" distL="0" distR="0" wp14:anchorId="3FD53851" wp14:editId="71DE4B72">
                  <wp:extent cx="5040630" cy="2430145"/>
                  <wp:effectExtent l="0" t="0" r="762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40630" cy="2430145"/>
                          </a:xfrm>
                          <a:prstGeom prst="rect">
                            <a:avLst/>
                          </a:prstGeom>
                          <a:noFill/>
                          <a:ln>
                            <a:noFill/>
                          </a:ln>
                        </pic:spPr>
                      </pic:pic>
                    </a:graphicData>
                  </a:graphic>
                </wp:inline>
              </w:drawing>
            </w:r>
          </w:p>
        </w:tc>
      </w:tr>
    </w:tbl>
    <w:p w14:paraId="75B145F7" w14:textId="77777777" w:rsidR="00ED0E85" w:rsidRDefault="00ED0E85" w:rsidP="00ED0E85">
      <w:pPr>
        <w:pStyle w:val="Source"/>
      </w:pPr>
      <w:r>
        <w:rPr>
          <w:i/>
        </w:rPr>
        <w:t>Data source</w:t>
      </w:r>
      <w:r w:rsidRPr="00A67576">
        <w:rPr>
          <w:i/>
        </w:rPr>
        <w:t>:</w:t>
      </w:r>
      <w:r>
        <w:t xml:space="preserve"> CIE based on NABERS data.</w:t>
      </w:r>
    </w:p>
    <w:p w14:paraId="2CD60A38" w14:textId="77777777" w:rsidR="00ED0E85" w:rsidRDefault="00ED0E85" w:rsidP="00ED0E85">
      <w:pPr>
        <w:pStyle w:val="Heading3"/>
        <w:numPr>
          <w:ilvl w:val="2"/>
          <w:numId w:val="5"/>
        </w:numPr>
      </w:pPr>
      <w:r>
        <w:t>Barriers to improving the energy efficiency of existing data centres</w:t>
      </w:r>
    </w:p>
    <w:p w14:paraId="2A52D8FE" w14:textId="77777777" w:rsidR="00ED0E85" w:rsidRPr="00F406FD" w:rsidRDefault="00ED0E85" w:rsidP="00ED0E85">
      <w:pPr>
        <w:pStyle w:val="BodyText"/>
        <w:rPr>
          <w:lang w:val="en-GB"/>
        </w:rPr>
      </w:pPr>
      <w:r>
        <w:t xml:space="preserve">Many stakeholders agreed that there is limited scope for to improve the energy efficiency </w:t>
      </w:r>
      <w:r w:rsidRPr="00C15BBB">
        <w:t xml:space="preserve">of existing data centres. A key industry stakeholder outlined a range of barriers that may prevent any significant improvement in the energy efficiency of existing data centres. In particular, the cost structure of data centres </w:t>
      </w:r>
      <w:r w:rsidRPr="00C15BBB">
        <w:rPr>
          <w:lang w:val="en-GB"/>
        </w:rPr>
        <w:t>(including both</w:t>
      </w:r>
      <w:r w:rsidRPr="00F406FD">
        <w:rPr>
          <w:lang w:val="en-GB"/>
        </w:rPr>
        <w:t xml:space="preserve"> privately owned </w:t>
      </w:r>
      <w:r w:rsidRPr="00C15BBB">
        <w:rPr>
          <w:lang w:val="en-GB"/>
        </w:rPr>
        <w:t>and</w:t>
      </w:r>
      <w:r w:rsidRPr="00F406FD">
        <w:rPr>
          <w:lang w:val="en-GB"/>
        </w:rPr>
        <w:t xml:space="preserve"> colocation facilities</w:t>
      </w:r>
      <w:r w:rsidRPr="00C15BBB">
        <w:rPr>
          <w:lang w:val="en-GB"/>
        </w:rPr>
        <w:t>)</w:t>
      </w:r>
      <w:r w:rsidRPr="00F406FD">
        <w:rPr>
          <w:lang w:val="en-GB"/>
        </w:rPr>
        <w:t xml:space="preserve"> </w:t>
      </w:r>
      <w:r w:rsidRPr="00C15BBB">
        <w:rPr>
          <w:lang w:val="en-GB"/>
        </w:rPr>
        <w:t>are significantly different</w:t>
      </w:r>
      <w:r w:rsidRPr="00F406FD">
        <w:rPr>
          <w:lang w:val="en-GB"/>
        </w:rPr>
        <w:t xml:space="preserve"> to most other commercial buildings. </w:t>
      </w:r>
      <w:r w:rsidRPr="00C15BBB">
        <w:rPr>
          <w:lang w:val="en-GB"/>
        </w:rPr>
        <w:t>T</w:t>
      </w:r>
      <w:r w:rsidRPr="00F406FD">
        <w:rPr>
          <w:lang w:val="en-GB"/>
        </w:rPr>
        <w:t xml:space="preserve">he following </w:t>
      </w:r>
      <w:r w:rsidRPr="00C15BBB">
        <w:rPr>
          <w:lang w:val="en-GB"/>
        </w:rPr>
        <w:t>‘rule of thumb’</w:t>
      </w:r>
      <w:r w:rsidRPr="00F406FD">
        <w:rPr>
          <w:lang w:val="en-GB"/>
        </w:rPr>
        <w:t xml:space="preserve"> </w:t>
      </w:r>
      <w:r w:rsidRPr="00C15BBB">
        <w:rPr>
          <w:lang w:val="en-GB"/>
        </w:rPr>
        <w:t xml:space="preserve">was provided </w:t>
      </w:r>
      <w:r w:rsidRPr="00F406FD">
        <w:rPr>
          <w:lang w:val="en-GB"/>
        </w:rPr>
        <w:t>to explain the difference</w:t>
      </w:r>
      <w:r w:rsidRPr="00C15BBB">
        <w:rPr>
          <w:lang w:val="en-GB"/>
        </w:rPr>
        <w:t xml:space="preserve"> in cost structure.</w:t>
      </w:r>
      <w:r w:rsidRPr="00F406FD">
        <w:rPr>
          <w:lang w:val="en-GB"/>
        </w:rPr>
        <w:t xml:space="preserve"> </w:t>
      </w:r>
    </w:p>
    <w:p w14:paraId="475B4929" w14:textId="77777777" w:rsidR="00ED0E85" w:rsidRPr="00F406FD" w:rsidRDefault="00ED0E85" w:rsidP="00ED0E85">
      <w:pPr>
        <w:pStyle w:val="ListBullet"/>
        <w:rPr>
          <w:lang w:val="en-GB"/>
        </w:rPr>
      </w:pPr>
      <w:r w:rsidRPr="00F406FD">
        <w:rPr>
          <w:lang w:val="en-GB"/>
        </w:rPr>
        <w:t>In a typical commercial building</w:t>
      </w:r>
      <w:r w:rsidRPr="00C15BBB">
        <w:rPr>
          <w:lang w:val="en-GB"/>
        </w:rPr>
        <w:t>,</w:t>
      </w:r>
      <w:r w:rsidRPr="00F406FD">
        <w:rPr>
          <w:lang w:val="en-GB"/>
        </w:rPr>
        <w:t xml:space="preserve"> </w:t>
      </w:r>
      <w:r w:rsidRPr="00C15BBB">
        <w:rPr>
          <w:lang w:val="en-GB"/>
        </w:rPr>
        <w:t xml:space="preserve">around </w:t>
      </w:r>
      <w:r w:rsidRPr="00F406FD">
        <w:rPr>
          <w:lang w:val="en-GB"/>
        </w:rPr>
        <w:t>80</w:t>
      </w:r>
      <w:r w:rsidRPr="00C15BBB">
        <w:rPr>
          <w:lang w:val="en-GB"/>
        </w:rPr>
        <w:t> per cent</w:t>
      </w:r>
      <w:r w:rsidRPr="00F406FD">
        <w:rPr>
          <w:lang w:val="en-GB"/>
        </w:rPr>
        <w:t xml:space="preserve"> of the cost relates to the land and building, and 20</w:t>
      </w:r>
      <w:r w:rsidRPr="00C15BBB">
        <w:rPr>
          <w:lang w:val="en-GB"/>
        </w:rPr>
        <w:t> per cent</w:t>
      </w:r>
      <w:r w:rsidRPr="00F406FD">
        <w:rPr>
          <w:lang w:val="en-GB"/>
        </w:rPr>
        <w:t xml:space="preserve"> relates to infrastructure (power, cooling, security, etc)</w:t>
      </w:r>
      <w:r w:rsidRPr="00C15BBB">
        <w:rPr>
          <w:lang w:val="en-GB"/>
        </w:rPr>
        <w:t>.</w:t>
      </w:r>
    </w:p>
    <w:p w14:paraId="14128F47" w14:textId="77777777" w:rsidR="00ED0E85" w:rsidRPr="00F406FD" w:rsidRDefault="00ED0E85" w:rsidP="00ED0E85">
      <w:pPr>
        <w:pStyle w:val="ListBullet"/>
        <w:rPr>
          <w:lang w:val="en-GB"/>
        </w:rPr>
      </w:pPr>
      <w:r w:rsidRPr="00C15BBB">
        <w:rPr>
          <w:lang w:val="en-GB"/>
        </w:rPr>
        <w:t>By contrast, i</w:t>
      </w:r>
      <w:r w:rsidRPr="00F406FD">
        <w:rPr>
          <w:lang w:val="en-GB"/>
        </w:rPr>
        <w:t xml:space="preserve">n a typical data centre, </w:t>
      </w:r>
      <w:r w:rsidRPr="00C15BBB">
        <w:rPr>
          <w:lang w:val="en-GB"/>
        </w:rPr>
        <w:t xml:space="preserve">around </w:t>
      </w:r>
      <w:r w:rsidRPr="00F406FD">
        <w:rPr>
          <w:lang w:val="en-GB"/>
        </w:rPr>
        <w:t>80</w:t>
      </w:r>
      <w:r w:rsidRPr="00C15BBB">
        <w:rPr>
          <w:lang w:val="en-GB"/>
        </w:rPr>
        <w:t> per cent</w:t>
      </w:r>
      <w:r w:rsidRPr="00F406FD">
        <w:rPr>
          <w:lang w:val="en-GB"/>
        </w:rPr>
        <w:t xml:space="preserve"> of the cost relates to infrastructure (power, cooling, security, etc) and 20</w:t>
      </w:r>
      <w:r w:rsidRPr="00C15BBB">
        <w:rPr>
          <w:lang w:val="en-GB"/>
        </w:rPr>
        <w:t> per cent relates</w:t>
      </w:r>
      <w:r w:rsidRPr="00F406FD">
        <w:rPr>
          <w:lang w:val="en-GB"/>
        </w:rPr>
        <w:t xml:space="preserve"> to land and building. </w:t>
      </w:r>
    </w:p>
    <w:p w14:paraId="270F410E" w14:textId="77777777" w:rsidR="00ED0E85" w:rsidRPr="00F406FD" w:rsidRDefault="00ED0E85" w:rsidP="00ED0E85">
      <w:pPr>
        <w:pStyle w:val="BodyText"/>
        <w:rPr>
          <w:lang w:val="en-GB"/>
        </w:rPr>
      </w:pPr>
      <w:r w:rsidRPr="00C15BBB">
        <w:rPr>
          <w:lang w:val="en-GB"/>
        </w:rPr>
        <w:t xml:space="preserve">The difference in cost structure of data centres means that there are a range of valid reasons </w:t>
      </w:r>
      <w:r w:rsidRPr="00F406FD">
        <w:rPr>
          <w:lang w:val="en-GB"/>
        </w:rPr>
        <w:t xml:space="preserve">for ‘like for like’ </w:t>
      </w:r>
      <w:r w:rsidRPr="00C15BBB">
        <w:rPr>
          <w:lang w:val="en-GB"/>
        </w:rPr>
        <w:t>replacement of infrastructure, even when more energy efficient alternatives are available (i.e. the failure to replace infrastructure at end of life with the most energy efficient alternative is not necessarily a ‘behavioural failure’)</w:t>
      </w:r>
      <w:r w:rsidRPr="00F406FD">
        <w:rPr>
          <w:lang w:val="en-GB"/>
        </w:rPr>
        <w:t xml:space="preserve">. </w:t>
      </w:r>
    </w:p>
    <w:p w14:paraId="0F3F7AA6" w14:textId="77777777" w:rsidR="00ED0E85" w:rsidRPr="00F406FD" w:rsidRDefault="00ED0E85" w:rsidP="00ED0E85">
      <w:pPr>
        <w:pStyle w:val="ListBullet"/>
        <w:rPr>
          <w:lang w:val="en-GB"/>
        </w:rPr>
      </w:pPr>
      <w:r w:rsidRPr="00C15BBB">
        <w:rPr>
          <w:lang w:val="en-GB"/>
        </w:rPr>
        <w:t>A</w:t>
      </w:r>
      <w:r w:rsidRPr="00F406FD">
        <w:rPr>
          <w:lang w:val="en-GB"/>
        </w:rPr>
        <w:t xml:space="preserve"> data centre</w:t>
      </w:r>
      <w:r w:rsidRPr="00C15BBB">
        <w:rPr>
          <w:lang w:val="en-GB"/>
        </w:rPr>
        <w:t>’s</w:t>
      </w:r>
      <w:r w:rsidRPr="00F406FD">
        <w:rPr>
          <w:lang w:val="en-GB"/>
        </w:rPr>
        <w:t xml:space="preserve"> infrastructure </w:t>
      </w:r>
      <w:r w:rsidRPr="00C15BBB">
        <w:rPr>
          <w:lang w:val="en-GB"/>
        </w:rPr>
        <w:t>is</w:t>
      </w:r>
      <w:r w:rsidRPr="00F406FD">
        <w:rPr>
          <w:lang w:val="en-GB"/>
        </w:rPr>
        <w:t xml:space="preserve"> built around aligned subsystems that were originally selected to meet operational, spatial, interoperability, fire risk management, high availability and maintainability objectives</w:t>
      </w:r>
      <w:r w:rsidRPr="00C15BBB">
        <w:rPr>
          <w:lang w:val="en-GB"/>
        </w:rPr>
        <w:t xml:space="preserve">. In many cases, </w:t>
      </w:r>
      <w:r w:rsidRPr="00F406FD">
        <w:rPr>
          <w:lang w:val="en-GB"/>
        </w:rPr>
        <w:t>more</w:t>
      </w:r>
      <w:r w:rsidRPr="00C15BBB">
        <w:rPr>
          <w:lang w:val="en-GB"/>
        </w:rPr>
        <w:t xml:space="preserve"> </w:t>
      </w:r>
      <w:r w:rsidRPr="00F406FD">
        <w:rPr>
          <w:lang w:val="en-GB"/>
        </w:rPr>
        <w:t>efficient cooling systems cannot</w:t>
      </w:r>
      <w:r w:rsidRPr="00C15BBB">
        <w:rPr>
          <w:lang w:val="en-GB"/>
        </w:rPr>
        <w:t xml:space="preserve"> simply</w:t>
      </w:r>
      <w:r w:rsidRPr="00F406FD">
        <w:rPr>
          <w:lang w:val="en-GB"/>
        </w:rPr>
        <w:t xml:space="preserve"> be retrofitted into existing buildings</w:t>
      </w:r>
      <w:r w:rsidRPr="00C15BBB">
        <w:rPr>
          <w:lang w:val="en-GB"/>
        </w:rPr>
        <w:t>. F</w:t>
      </w:r>
      <w:r w:rsidRPr="00F406FD">
        <w:rPr>
          <w:lang w:val="en-GB"/>
        </w:rPr>
        <w:t>or example</w:t>
      </w:r>
      <w:r w:rsidRPr="00C15BBB">
        <w:rPr>
          <w:lang w:val="en-GB"/>
        </w:rPr>
        <w:t>,</w:t>
      </w:r>
      <w:r w:rsidRPr="00F406FD">
        <w:rPr>
          <w:lang w:val="en-GB"/>
        </w:rPr>
        <w:t xml:space="preserve"> moving to a free-air cooling system might require substantial building works, electrical system redesign, control systems redesign and update. The total cost </w:t>
      </w:r>
      <w:r w:rsidRPr="00C15BBB">
        <w:rPr>
          <w:lang w:val="en-GB"/>
        </w:rPr>
        <w:t>of upgrading to a more efficient cooling system may therefore be significantly higher than it appears</w:t>
      </w:r>
      <w:r w:rsidRPr="00F406FD">
        <w:rPr>
          <w:lang w:val="en-GB"/>
        </w:rPr>
        <w:t xml:space="preserve">. </w:t>
      </w:r>
    </w:p>
    <w:p w14:paraId="1150ED80" w14:textId="77777777" w:rsidR="00ED0E85" w:rsidRPr="00F406FD" w:rsidRDefault="00ED0E85" w:rsidP="00ED0E85">
      <w:pPr>
        <w:pStyle w:val="ListBullet"/>
        <w:rPr>
          <w:lang w:val="en-GB"/>
        </w:rPr>
      </w:pPr>
      <w:r w:rsidRPr="00C15BBB">
        <w:rPr>
          <w:lang w:val="en-GB"/>
        </w:rPr>
        <w:t>As data centres are central to supporting their clients core business operations, service availability is critical. For example, banks (to support ATM and POS services), hospital and police and emergency services require their systems to be available all of the time</w:t>
      </w:r>
      <w:r w:rsidRPr="00F406FD">
        <w:rPr>
          <w:lang w:val="en-GB"/>
        </w:rPr>
        <w:t>. Service availability therefore takes precedent over energy efficiency for many data centre clients. Any risk of reducing the availability or performance of the data centre through a change in core systems (power or cooling infrastructure) to improve efficiency is unlikely to be palatable to either the data centre owner or the tenants/customers.</w:t>
      </w:r>
      <w:r w:rsidRPr="00C15BBB">
        <w:rPr>
          <w:lang w:val="en-GB"/>
        </w:rPr>
        <w:t xml:space="preserve"> Anecdotal evidence was provided of both</w:t>
      </w:r>
      <w:r w:rsidRPr="00F406FD">
        <w:rPr>
          <w:lang w:val="en-GB"/>
        </w:rPr>
        <w:t xml:space="preserve"> </w:t>
      </w:r>
      <w:r w:rsidRPr="00C15BBB">
        <w:rPr>
          <w:lang w:val="en-GB"/>
        </w:rPr>
        <w:t>g</w:t>
      </w:r>
      <w:r w:rsidRPr="00F406FD">
        <w:rPr>
          <w:lang w:val="en-GB"/>
        </w:rPr>
        <w:t xml:space="preserve">overnment and </w:t>
      </w:r>
      <w:r w:rsidRPr="00C15BBB">
        <w:rPr>
          <w:lang w:val="en-GB"/>
        </w:rPr>
        <w:t>business</w:t>
      </w:r>
      <w:r w:rsidRPr="00F406FD">
        <w:rPr>
          <w:lang w:val="en-GB"/>
        </w:rPr>
        <w:t xml:space="preserve"> customers </w:t>
      </w:r>
      <w:r w:rsidRPr="00C15BBB">
        <w:rPr>
          <w:lang w:val="en-GB"/>
        </w:rPr>
        <w:t>of</w:t>
      </w:r>
      <w:r w:rsidRPr="00F406FD">
        <w:rPr>
          <w:lang w:val="en-GB"/>
        </w:rPr>
        <w:t xml:space="preserve"> colocation facilities refusing to have redundant systems closed down or placed into ‘standby’ mode in order for the facility to become more efficient</w:t>
      </w:r>
      <w:r w:rsidRPr="00C15BBB">
        <w:rPr>
          <w:lang w:val="en-GB"/>
        </w:rPr>
        <w:t xml:space="preserve"> (i.e. </w:t>
      </w:r>
      <w:r w:rsidRPr="00F406FD">
        <w:rPr>
          <w:lang w:val="en-GB"/>
        </w:rPr>
        <w:t xml:space="preserve">customers were not willing to accept </w:t>
      </w:r>
      <w:r w:rsidRPr="00C15BBB">
        <w:rPr>
          <w:lang w:val="en-GB"/>
        </w:rPr>
        <w:t>the trade</w:t>
      </w:r>
      <w:r w:rsidRPr="00C15BBB">
        <w:rPr>
          <w:lang w:val="en-GB"/>
        </w:rPr>
        <w:noBreakHyphen/>
        <w:t xml:space="preserve">off </w:t>
      </w:r>
      <w:r>
        <w:rPr>
          <w:lang w:val="en-GB"/>
        </w:rPr>
        <w:t xml:space="preserve">between </w:t>
      </w:r>
      <w:r w:rsidRPr="00F406FD">
        <w:rPr>
          <w:lang w:val="en-GB"/>
        </w:rPr>
        <w:t xml:space="preserve">lower operational availability/uptime of systems supporting their core business services </w:t>
      </w:r>
      <w:r w:rsidRPr="00C15BBB">
        <w:rPr>
          <w:lang w:val="en-GB"/>
        </w:rPr>
        <w:t>for improved energy efficiency)</w:t>
      </w:r>
      <w:r>
        <w:rPr>
          <w:lang w:val="en-GB"/>
        </w:rPr>
        <w:t xml:space="preserve">. That said, there may be options to work around these risks (such as using Variable Air Valves to provide redundancy for HVAC to racks), but willingness to consider change may require greater liaison between policy makers and data centre operators to identify and address any information gaps.  </w:t>
      </w:r>
    </w:p>
    <w:p w14:paraId="68B40E01" w14:textId="77777777" w:rsidR="00ED0E85" w:rsidRDefault="00ED0E85" w:rsidP="00ED0E85">
      <w:pPr>
        <w:pStyle w:val="BodyText"/>
      </w:pPr>
      <w:r>
        <w:rPr>
          <w:lang w:val="en-GB"/>
        </w:rPr>
        <w:t xml:space="preserve">These barriers to improving energy efficiency in existing data centres </w:t>
      </w:r>
      <w:r>
        <w:t>suggest that mandatory disclosure is likely to have a limited impact on energy performance.</w:t>
      </w:r>
    </w:p>
    <w:p w14:paraId="5E8A39A4" w14:textId="77777777" w:rsidR="00ED0E85" w:rsidRDefault="00ED0E85" w:rsidP="00ED0E85">
      <w:pPr>
        <w:pStyle w:val="Heading2"/>
        <w:numPr>
          <w:ilvl w:val="1"/>
          <w:numId w:val="5"/>
        </w:numPr>
      </w:pPr>
      <w:bookmarkStart w:id="6575" w:name="_Toc19275547"/>
      <w:bookmarkStart w:id="6576" w:name="_Toc19276157"/>
      <w:bookmarkStart w:id="6577" w:name="_Toc19280156"/>
      <w:r>
        <w:t>Stakeholder views</w:t>
      </w:r>
      <w:bookmarkEnd w:id="6575"/>
      <w:bookmarkEnd w:id="6576"/>
      <w:bookmarkEnd w:id="6577"/>
    </w:p>
    <w:p w14:paraId="77D23D63" w14:textId="77777777" w:rsidR="00ED0E85" w:rsidRDefault="00ED0E85" w:rsidP="00ED0E85">
      <w:pPr>
        <w:pStyle w:val="BodyText"/>
      </w:pPr>
      <w:r>
        <w:t>There have been mixed views among stakeholders on the expansion of the CBD Program to data centres.</w:t>
      </w:r>
    </w:p>
    <w:p w14:paraId="578A05FC" w14:textId="77777777" w:rsidR="00ED0E85" w:rsidRDefault="00ED0E85" w:rsidP="00ED0E85">
      <w:pPr>
        <w:pStyle w:val="ListBullet"/>
      </w:pPr>
      <w:r>
        <w:t>A number of stakeholders supported expanding mandatory disclosure requirements to data centres based on:</w:t>
      </w:r>
    </w:p>
    <w:p w14:paraId="65147AAC" w14:textId="77777777" w:rsidR="00ED0E85" w:rsidRDefault="00ED0E85" w:rsidP="00ED0E85">
      <w:pPr>
        <w:pStyle w:val="ListBullet2"/>
      </w:pPr>
      <w:r>
        <w:t>general support for the principle of mandatory disclosure</w:t>
      </w:r>
    </w:p>
    <w:p w14:paraId="5DB3086D" w14:textId="77777777" w:rsidR="00ED0E85" w:rsidRDefault="00ED0E85" w:rsidP="00ED0E85">
      <w:pPr>
        <w:pStyle w:val="ListBullet2"/>
      </w:pPr>
      <w:r>
        <w:t>the observation that mandatory disclosure for office buildings has helped to drive behavioural change in the office market.</w:t>
      </w:r>
    </w:p>
    <w:p w14:paraId="385725AD" w14:textId="77777777" w:rsidR="00ED0E85" w:rsidRDefault="00ED0E85" w:rsidP="00ED0E85">
      <w:pPr>
        <w:pStyle w:val="ListBullet"/>
      </w:pPr>
      <w:r>
        <w:t>Some industry stakeholders also supported expanding mandatory disclosure to data centres (although this support largely came from data centre owners that already rated).</w:t>
      </w:r>
    </w:p>
    <w:p w14:paraId="024D1CCB" w14:textId="77777777" w:rsidR="00ED0E85" w:rsidRPr="00327170" w:rsidRDefault="00ED0E85" w:rsidP="00ED0E85">
      <w:pPr>
        <w:pStyle w:val="ListBullet"/>
      </w:pPr>
      <w:r>
        <w:t>Other industry stakeholders did not support mandatory disclosure on the basis that mandatory disclosure is unlikely to drive significant behavioural change and mandatory disclosure requirements would be an unnecessary impost on data centres.</w:t>
      </w:r>
    </w:p>
    <w:p w14:paraId="63563B09" w14:textId="77777777" w:rsidR="00ED0E85" w:rsidRDefault="00ED0E85" w:rsidP="00ED0E85">
      <w:pPr>
        <w:pStyle w:val="Heading2"/>
        <w:numPr>
          <w:ilvl w:val="1"/>
          <w:numId w:val="5"/>
        </w:numPr>
      </w:pPr>
      <w:bookmarkStart w:id="6578" w:name="_Toc19275548"/>
      <w:bookmarkStart w:id="6579" w:name="_Toc19276158"/>
      <w:bookmarkStart w:id="6580" w:name="_Toc19280157"/>
      <w:r>
        <w:t xml:space="preserve">Information on </w:t>
      </w:r>
      <w:bookmarkStart w:id="6581" w:name="_Toc16168132"/>
      <w:r>
        <w:t>costs and benefits</w:t>
      </w:r>
      <w:bookmarkEnd w:id="6578"/>
      <w:bookmarkEnd w:id="6579"/>
      <w:bookmarkEnd w:id="6580"/>
      <w:bookmarkEnd w:id="6581"/>
    </w:p>
    <w:p w14:paraId="7E23B750" w14:textId="77777777" w:rsidR="00ED0E85" w:rsidRDefault="00ED0E85" w:rsidP="00ED0E85">
      <w:pPr>
        <w:pStyle w:val="BodyText"/>
      </w:pPr>
      <w:r>
        <w:t>In general, there is insufficient information available to complete a rigorous CBA of options to expand mandatory disclosure requirements to data centres under the CBD Program.</w:t>
      </w:r>
    </w:p>
    <w:p w14:paraId="3B3C7040" w14:textId="36F5EC53" w:rsidR="00ED0E85" w:rsidRPr="001540E1" w:rsidRDefault="00ED0E85" w:rsidP="00ED0E85">
      <w:pPr>
        <w:pStyle w:val="BodyText"/>
        <w:rPr>
          <w:spacing w:val="-3"/>
        </w:rPr>
      </w:pPr>
      <w:r w:rsidRPr="001540E1">
        <w:rPr>
          <w:spacing w:val="-3"/>
        </w:rPr>
        <w:t>We estimate the cost of obtaining a NABERS Data Centre (Infrastructure) rating would be around $6600 per rating (table </w:t>
      </w:r>
      <w:r w:rsidRPr="001540E1">
        <w:rPr>
          <w:spacing w:val="-3"/>
        </w:rPr>
        <w:fldChar w:fldCharType="begin"/>
      </w:r>
      <w:r w:rsidRPr="001540E1">
        <w:rPr>
          <w:spacing w:val="-3"/>
        </w:rPr>
        <w:instrText xml:space="preserve"> REF _Caption5636 </w:instrText>
      </w:r>
      <w:r w:rsidRPr="001540E1">
        <w:rPr>
          <w:spacing w:val="-3"/>
        </w:rPr>
        <w:fldChar w:fldCharType="separate"/>
      </w:r>
      <w:r w:rsidR="00AD3561">
        <w:rPr>
          <w:noProof/>
        </w:rPr>
        <w:t>9</w:t>
      </w:r>
      <w:r w:rsidR="00AD3561" w:rsidRPr="00695C93">
        <w:rPr>
          <w:noProof/>
        </w:rPr>
        <w:t>.</w:t>
      </w:r>
      <w:r w:rsidR="00AD3561">
        <w:rPr>
          <w:noProof/>
        </w:rPr>
        <w:t>11</w:t>
      </w:r>
      <w:r w:rsidRPr="001540E1">
        <w:rPr>
          <w:noProof/>
          <w:spacing w:val="-3"/>
        </w:rPr>
        <w:fldChar w:fldCharType="end"/>
      </w:r>
      <w:r w:rsidRPr="001540E1">
        <w:rPr>
          <w:spacing w:val="-3"/>
        </w:rPr>
        <w:t>). This estimate is based on the following information.</w:t>
      </w:r>
    </w:p>
    <w:p w14:paraId="18AB0837" w14:textId="77777777" w:rsidR="00ED0E85" w:rsidRPr="001540E1" w:rsidRDefault="00ED0E85" w:rsidP="001540E1">
      <w:pPr>
        <w:pStyle w:val="ListBullet"/>
        <w:spacing w:before="50"/>
        <w:rPr>
          <w:spacing w:val="-3"/>
        </w:rPr>
      </w:pPr>
      <w:r w:rsidRPr="001540E1">
        <w:rPr>
          <w:spacing w:val="-3"/>
        </w:rPr>
        <w:t>Only 3 respondents to our survey of assessors indicated they had completed a NABERS Data Centre (Infrastructure) rating (no respondents indicated they had completed an IT Equipment or Whole Facility rating). The average cost across these respondents was around $4500.</w:t>
      </w:r>
    </w:p>
    <w:p w14:paraId="7466EBF6" w14:textId="77777777" w:rsidR="00ED0E85" w:rsidRPr="001540E1" w:rsidRDefault="00ED0E85" w:rsidP="001540E1">
      <w:pPr>
        <w:pStyle w:val="ListBullet"/>
        <w:spacing w:before="50"/>
        <w:rPr>
          <w:spacing w:val="-3"/>
        </w:rPr>
      </w:pPr>
      <w:r w:rsidRPr="001540E1">
        <w:rPr>
          <w:spacing w:val="-3"/>
        </w:rPr>
        <w:t>NABERS fees are as set out on their website.</w:t>
      </w:r>
      <w:r w:rsidRPr="001540E1">
        <w:rPr>
          <w:rStyle w:val="FootnoteReference"/>
          <w:rFonts w:asciiTheme="minorHAnsi" w:hAnsiTheme="minorHAnsi"/>
          <w:spacing w:val="-3"/>
        </w:rPr>
        <w:footnoteReference w:id="92"/>
      </w:r>
    </w:p>
    <w:p w14:paraId="2B772F3C" w14:textId="77777777" w:rsidR="00ED0E85" w:rsidRPr="001540E1" w:rsidRDefault="00ED0E85" w:rsidP="001540E1">
      <w:pPr>
        <w:pStyle w:val="ListBullet"/>
        <w:spacing w:before="50"/>
        <w:rPr>
          <w:spacing w:val="-3"/>
        </w:rPr>
      </w:pPr>
      <w:r w:rsidRPr="001540E1">
        <w:rPr>
          <w:spacing w:val="-3"/>
        </w:rPr>
        <w:t>We previously estimated internal costs of arranging a NABERS rating for office buildings at around $1000. We assume a similar cost would apply to data centres.</w:t>
      </w:r>
    </w:p>
    <w:p w14:paraId="165BD5CF" w14:textId="4947D967" w:rsidR="00ED0E85" w:rsidRDefault="00ED0E85" w:rsidP="001540E1">
      <w:pPr>
        <w:pStyle w:val="Caption"/>
        <w:spacing w:before="240"/>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w:instrText>
      </w:r>
      <w:r w:rsidRPr="00695C93">
        <w:fldChar w:fldCharType="separate"/>
      </w:r>
      <w:r w:rsidR="00AD3561">
        <w:rPr>
          <w:noProof/>
        </w:rPr>
        <w:instrText>9</w:instrText>
      </w:r>
      <w:r w:rsidR="00AD3561" w:rsidRPr="00695C93">
        <w:rPr>
          <w:noProof/>
        </w:rPr>
        <w:instrText>.</w:instrText>
      </w:r>
      <w:r w:rsidRPr="00695C93">
        <w:fldChar w:fldCharType="end"/>
      </w:r>
      <w:r w:rsidRPr="00695C93">
        <w:instrText>" "</w:instrText>
      </w:r>
      <w:r w:rsidR="00C353B5">
        <w:fldChar w:fldCharType="begin"/>
      </w:r>
      <w:r w:rsidR="00C353B5">
        <w:instrText xml:space="preserve"> STYLEREF "Heading 6" \l \n </w:instrText>
      </w:r>
      <w:r w:rsidR="00C353B5">
        <w:fldChar w:fldCharType="separate"/>
      </w:r>
      <w:r w:rsidRPr="00695C93">
        <w:instrText>B</w:instrText>
      </w:r>
      <w:r w:rsidR="00C353B5">
        <w:fldChar w:fldCharType="end"/>
      </w:r>
      <w:r w:rsidRPr="00695C93">
        <w:instrText xml:space="preserve">." </w:instrText>
      </w:r>
      <w:r w:rsidRPr="00695C93">
        <w:fldChar w:fldCharType="separate"/>
      </w:r>
      <w:r w:rsidR="00C353B5">
        <w:rPr>
          <w:noProof/>
        </w:rPr>
        <w:instrText>9</w:instrText>
      </w:r>
      <w:r w:rsidR="00C353B5"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9</w:instrText>
      </w:r>
      <w:r w:rsidR="004550CB">
        <w:rPr>
          <w:noProof/>
        </w:rPr>
        <w:fldChar w:fldCharType="end"/>
      </w:r>
      <w:r w:rsidRPr="00695C93">
        <w:instrText xml:space="preserve"> = 0 "" "1" </w:instrText>
      </w:r>
      <w:r w:rsidRPr="00695C93">
        <w:fldChar w:fldCharType="separate"/>
      </w:r>
      <w:r w:rsidR="00C353B5" w:rsidRPr="00695C93">
        <w:rPr>
          <w:noProof/>
        </w:rPr>
        <w:instrText>1</w:instrText>
      </w:r>
      <w:r w:rsidRPr="00695C93">
        <w:fldChar w:fldCharType="end"/>
      </w:r>
      <w:r w:rsidRPr="00695C93">
        <w:instrText xml:space="preserve">" "6" </w:instrText>
      </w:r>
      <w:r w:rsidRPr="00695C93">
        <w:fldChar w:fldCharType="separate"/>
      </w:r>
      <w:r w:rsidR="00C353B5" w:rsidRPr="00695C93">
        <w:rPr>
          <w:noProof/>
        </w:rPr>
        <w:instrText>1</w:instrText>
      </w:r>
      <w:r w:rsidRPr="00695C93">
        <w:fldChar w:fldCharType="end"/>
      </w:r>
      <w:r w:rsidRPr="00695C93">
        <w:instrText xml:space="preserve"> </w:instrText>
      </w:r>
      <w:r w:rsidRPr="00695C93">
        <w:fldChar w:fldCharType="separate"/>
      </w:r>
      <w:r w:rsidR="00AD3561">
        <w:rPr>
          <w:noProof/>
        </w:rPr>
        <w:instrText>11</w:instrText>
      </w:r>
      <w:r w:rsidRPr="00695C93">
        <w:fldChar w:fldCharType="end"/>
      </w:r>
      <w:r w:rsidRPr="00695C93">
        <w:instrText xml:space="preserve">" "" </w:instrText>
      </w:r>
      <w:r w:rsidRPr="00695C93">
        <w:fldChar w:fldCharType="separate"/>
      </w:r>
      <w:bookmarkStart w:id="6582" w:name="_Caption6526"/>
      <w:bookmarkStart w:id="6583" w:name="_Caption3760"/>
      <w:bookmarkStart w:id="6584" w:name="_Caption9341"/>
      <w:bookmarkStart w:id="6585" w:name="_Caption9715"/>
      <w:bookmarkStart w:id="6586" w:name="_Caption2478"/>
      <w:bookmarkStart w:id="6587" w:name="_Caption7801"/>
      <w:bookmarkStart w:id="6588" w:name="_Caption1512"/>
      <w:bookmarkStart w:id="6589" w:name="_Caption6666"/>
      <w:bookmarkStart w:id="6590" w:name="_Caption3854"/>
      <w:bookmarkStart w:id="6591" w:name="_Caption4864"/>
      <w:bookmarkStart w:id="6592" w:name="_Caption0024"/>
      <w:bookmarkStart w:id="6593" w:name="_Caption9478"/>
      <w:bookmarkStart w:id="6594" w:name="_Caption2359"/>
      <w:bookmarkStart w:id="6595" w:name="_Caption6823"/>
      <w:bookmarkStart w:id="6596" w:name="_Caption6506"/>
      <w:bookmarkStart w:id="6597" w:name="_Caption4581"/>
      <w:bookmarkStart w:id="6598" w:name="_Caption9678"/>
      <w:bookmarkStart w:id="6599" w:name="_Caption2639"/>
      <w:bookmarkStart w:id="6600" w:name="_Caption3818"/>
      <w:bookmarkStart w:id="6601" w:name="_Caption5636"/>
      <w:bookmarkStart w:id="6602" w:name="_Caption3966"/>
      <w:bookmarkStart w:id="6603" w:name="_Caption3895"/>
      <w:bookmarkStart w:id="6604" w:name="_Caption0466"/>
      <w:bookmarkStart w:id="6605" w:name="_Caption8871"/>
      <w:bookmarkStart w:id="6606" w:name="_Caption4781"/>
      <w:bookmarkStart w:id="6607" w:name="_Caption1089"/>
      <w:bookmarkStart w:id="6608" w:name="_Caption6229"/>
      <w:bookmarkStart w:id="6609" w:name="_Caption7295"/>
      <w:bookmarkStart w:id="6610" w:name="_Caption3046"/>
      <w:bookmarkStart w:id="6611" w:name="_Caption6282"/>
      <w:bookmarkStart w:id="6612" w:name="_Caption6300"/>
      <w:bookmarkStart w:id="6613" w:name="_Caption8631"/>
      <w:bookmarkStart w:id="6614" w:name="_Caption3512"/>
      <w:bookmarkStart w:id="6615" w:name="_Caption0796"/>
      <w:bookmarkStart w:id="6616" w:name="_Caption6199"/>
      <w:bookmarkStart w:id="6617" w:name="_Toc19275654"/>
      <w:bookmarkStart w:id="6618" w:name="_Toc19276264"/>
      <w:bookmarkStart w:id="6619" w:name="_Toc19280263"/>
      <w:r w:rsidR="00C353B5">
        <w:rPr>
          <w:noProof/>
        </w:rPr>
        <w:t>9</w:t>
      </w:r>
      <w:r w:rsidR="00C353B5" w:rsidRPr="00695C93">
        <w:rPr>
          <w:noProof/>
        </w:rPr>
        <w:t>.</w:t>
      </w:r>
      <w:r w:rsidR="00C353B5">
        <w:rPr>
          <w:noProof/>
        </w:rPr>
        <w:t>11</w:t>
      </w:r>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r w:rsidRPr="00695C93">
        <w:fldChar w:fldCharType="end"/>
      </w:r>
      <w:r w:rsidRPr="00695C93">
        <w:tab/>
      </w:r>
      <w:r>
        <w:t>Cost of a NABERS rating for data centres</w:t>
      </w:r>
      <w:bookmarkEnd w:id="6617"/>
      <w:bookmarkEnd w:id="6618"/>
      <w:bookmarkEnd w:id="6619"/>
    </w:p>
    <w:tbl>
      <w:tblPr>
        <w:tblW w:w="0" w:type="auto"/>
        <w:tblLayout w:type="fixed"/>
        <w:tblLook w:val="0000" w:firstRow="0" w:lastRow="0" w:firstColumn="0" w:lastColumn="0" w:noHBand="0" w:noVBand="0"/>
      </w:tblPr>
      <w:tblGrid>
        <w:gridCol w:w="4383"/>
        <w:gridCol w:w="3554"/>
      </w:tblGrid>
      <w:tr w:rsidR="00ED0E85" w14:paraId="08C2106B" w14:textId="77777777" w:rsidTr="00ED0E85">
        <w:trPr>
          <w:trHeight w:val="230"/>
        </w:trPr>
        <w:tc>
          <w:tcPr>
            <w:tcW w:w="4383" w:type="dxa"/>
            <w:shd w:val="clear" w:color="auto" w:fill="6F6652"/>
            <w:tcMar>
              <w:left w:w="57" w:type="dxa"/>
              <w:right w:w="57" w:type="dxa"/>
            </w:tcMar>
          </w:tcPr>
          <w:p w14:paraId="5C2624D6" w14:textId="77777777" w:rsidR="00ED0E85" w:rsidRDefault="00ED0E85" w:rsidP="00ED0E85">
            <w:pPr>
              <w:pStyle w:val="TableDataColumnHeading"/>
              <w:jc w:val="left"/>
              <w:rPr>
                <w:lang w:val="en-GB"/>
              </w:rPr>
            </w:pPr>
          </w:p>
        </w:tc>
        <w:tc>
          <w:tcPr>
            <w:tcW w:w="3554" w:type="dxa"/>
            <w:shd w:val="clear" w:color="auto" w:fill="6F6652"/>
            <w:tcMar>
              <w:left w:w="57" w:type="dxa"/>
              <w:right w:w="57" w:type="dxa"/>
            </w:tcMar>
          </w:tcPr>
          <w:p w14:paraId="3E602040" w14:textId="77777777" w:rsidR="00ED0E85" w:rsidRDefault="00ED0E85" w:rsidP="00ED0E85">
            <w:pPr>
              <w:pStyle w:val="TableDataColumnHeading"/>
              <w:rPr>
                <w:lang w:val="en-GB"/>
              </w:rPr>
            </w:pPr>
            <w:r>
              <w:rPr>
                <w:lang w:val="en-GB"/>
              </w:rPr>
              <w:t>Estimated cost</w:t>
            </w:r>
          </w:p>
        </w:tc>
      </w:tr>
      <w:tr w:rsidR="00ED0E85" w14:paraId="2B97B73A" w14:textId="77777777" w:rsidTr="00ED0E85">
        <w:trPr>
          <w:trHeight w:val="230"/>
        </w:trPr>
        <w:tc>
          <w:tcPr>
            <w:tcW w:w="4383" w:type="dxa"/>
            <w:tcBorders>
              <w:bottom w:val="single" w:sz="8" w:space="0" w:color="FFFFFF" w:themeColor="background1"/>
            </w:tcBorders>
            <w:shd w:val="clear" w:color="auto" w:fill="auto"/>
            <w:tcMar>
              <w:left w:w="57" w:type="dxa"/>
              <w:right w:w="57" w:type="dxa"/>
            </w:tcMar>
          </w:tcPr>
          <w:p w14:paraId="17FC9232" w14:textId="77777777" w:rsidR="00ED0E85" w:rsidRDefault="00ED0E85" w:rsidP="00ED0E85">
            <w:pPr>
              <w:pStyle w:val="TableUnit"/>
              <w:jc w:val="left"/>
              <w:rPr>
                <w:lang w:val="en-GB"/>
              </w:rPr>
            </w:pPr>
          </w:p>
        </w:tc>
        <w:tc>
          <w:tcPr>
            <w:tcW w:w="3554" w:type="dxa"/>
            <w:tcBorders>
              <w:bottom w:val="single" w:sz="8" w:space="0" w:color="FFFFFF" w:themeColor="background1"/>
            </w:tcBorders>
            <w:shd w:val="clear" w:color="auto" w:fill="auto"/>
            <w:tcMar>
              <w:left w:w="57" w:type="dxa"/>
              <w:right w:w="57" w:type="dxa"/>
            </w:tcMar>
          </w:tcPr>
          <w:p w14:paraId="4F8139EA" w14:textId="77777777" w:rsidR="00ED0E85" w:rsidRDefault="00ED0E85" w:rsidP="00ED0E85">
            <w:pPr>
              <w:pStyle w:val="TableUnit"/>
              <w:rPr>
                <w:lang w:val="en-GB"/>
              </w:rPr>
            </w:pPr>
            <w:r>
              <w:rPr>
                <w:lang w:val="en-GB"/>
              </w:rPr>
              <w:t>$</w:t>
            </w:r>
          </w:p>
        </w:tc>
      </w:tr>
      <w:tr w:rsidR="00ED0E85" w14:paraId="15E1A22E" w14:textId="77777777" w:rsidTr="00ED0E85">
        <w:trPr>
          <w:trHeight w:val="230"/>
        </w:trPr>
        <w:tc>
          <w:tcPr>
            <w:tcW w:w="43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5CF127" w14:textId="77777777" w:rsidR="00ED0E85" w:rsidRDefault="00ED0E85" w:rsidP="00ED0E85">
            <w:pPr>
              <w:pStyle w:val="TableDataEntries"/>
              <w:jc w:val="left"/>
              <w:rPr>
                <w:lang w:val="en-GB"/>
              </w:rPr>
            </w:pPr>
            <w:r>
              <w:rPr>
                <w:lang w:val="en-GB"/>
              </w:rPr>
              <w:t>Consulting fees</w:t>
            </w:r>
          </w:p>
        </w:tc>
        <w:tc>
          <w:tcPr>
            <w:tcW w:w="35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9C5123" w14:textId="77777777" w:rsidR="00ED0E85" w:rsidRDefault="00ED0E85" w:rsidP="00ED0E85">
            <w:pPr>
              <w:pStyle w:val="TableDataEntries"/>
              <w:rPr>
                <w:lang w:val="en-GB"/>
              </w:rPr>
            </w:pPr>
            <w:r>
              <w:rPr>
                <w:lang w:val="en-GB"/>
              </w:rPr>
              <w:t>4 504</w:t>
            </w:r>
          </w:p>
        </w:tc>
      </w:tr>
      <w:tr w:rsidR="00ED0E85" w14:paraId="1BD574D5" w14:textId="77777777" w:rsidTr="00ED0E85">
        <w:trPr>
          <w:trHeight w:val="230"/>
        </w:trPr>
        <w:tc>
          <w:tcPr>
            <w:tcW w:w="43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1778DC" w14:textId="77777777" w:rsidR="00ED0E85" w:rsidRDefault="00ED0E85" w:rsidP="00ED0E85">
            <w:pPr>
              <w:pStyle w:val="TableDataEntries"/>
              <w:jc w:val="left"/>
              <w:rPr>
                <w:lang w:val="en-GB"/>
              </w:rPr>
            </w:pPr>
            <w:r>
              <w:rPr>
                <w:lang w:val="en-GB"/>
              </w:rPr>
              <w:t>NABERS fees</w:t>
            </w:r>
          </w:p>
        </w:tc>
        <w:tc>
          <w:tcPr>
            <w:tcW w:w="35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844199" w14:textId="77777777" w:rsidR="00ED0E85" w:rsidRDefault="00ED0E85" w:rsidP="00ED0E85">
            <w:pPr>
              <w:pStyle w:val="TableDataEntries"/>
              <w:rPr>
                <w:lang w:val="en-GB"/>
              </w:rPr>
            </w:pPr>
            <w:r>
              <w:rPr>
                <w:lang w:val="en-GB"/>
              </w:rPr>
              <w:t>1 108</w:t>
            </w:r>
          </w:p>
        </w:tc>
      </w:tr>
      <w:tr w:rsidR="00ED0E85" w14:paraId="1BA601E6" w14:textId="77777777" w:rsidTr="00ED0E85">
        <w:trPr>
          <w:trHeight w:val="230"/>
        </w:trPr>
        <w:tc>
          <w:tcPr>
            <w:tcW w:w="438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EFD8BB" w14:textId="77777777" w:rsidR="00ED0E85" w:rsidRDefault="00ED0E85" w:rsidP="00ED0E85">
            <w:pPr>
              <w:pStyle w:val="TableDataEntries"/>
              <w:jc w:val="left"/>
              <w:rPr>
                <w:lang w:val="en-GB"/>
              </w:rPr>
            </w:pPr>
            <w:r>
              <w:rPr>
                <w:lang w:val="en-GB"/>
              </w:rPr>
              <w:t>Internal administration costs</w:t>
            </w:r>
          </w:p>
        </w:tc>
        <w:tc>
          <w:tcPr>
            <w:tcW w:w="355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5A7778" w14:textId="77777777" w:rsidR="00ED0E85" w:rsidRDefault="00ED0E85" w:rsidP="00ED0E85">
            <w:pPr>
              <w:pStyle w:val="TableDataEntries"/>
              <w:rPr>
                <w:lang w:val="en-GB"/>
              </w:rPr>
            </w:pPr>
            <w:r>
              <w:rPr>
                <w:lang w:val="en-GB"/>
              </w:rPr>
              <w:t>1 000</w:t>
            </w:r>
          </w:p>
        </w:tc>
      </w:tr>
      <w:tr w:rsidR="00ED0E85" w:rsidRPr="00F3369C" w14:paraId="5CEA7E6E" w14:textId="77777777" w:rsidTr="00ED0E85">
        <w:trPr>
          <w:trHeight w:val="230"/>
        </w:trPr>
        <w:tc>
          <w:tcPr>
            <w:tcW w:w="438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4AA39D16" w14:textId="77777777" w:rsidR="00ED0E85" w:rsidRPr="00F3369C" w:rsidRDefault="00ED0E85" w:rsidP="00ED0E85">
            <w:pPr>
              <w:pStyle w:val="TableDataEntries"/>
              <w:jc w:val="left"/>
              <w:rPr>
                <w:rFonts w:ascii="Franklin Gothic Demi" w:hAnsi="Franklin Gothic Demi"/>
                <w:lang w:val="en-GB"/>
              </w:rPr>
            </w:pPr>
            <w:r w:rsidRPr="00F3369C">
              <w:rPr>
                <w:rFonts w:ascii="Franklin Gothic Demi" w:hAnsi="Franklin Gothic Demi"/>
                <w:lang w:val="en-GB"/>
              </w:rPr>
              <w:t>Total</w:t>
            </w:r>
          </w:p>
        </w:tc>
        <w:tc>
          <w:tcPr>
            <w:tcW w:w="355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1CE283E" w14:textId="77777777" w:rsidR="00ED0E85" w:rsidRPr="00F3369C" w:rsidRDefault="00ED0E85" w:rsidP="00ED0E85">
            <w:pPr>
              <w:pStyle w:val="TableDataEntries"/>
              <w:rPr>
                <w:rFonts w:ascii="Franklin Gothic Demi" w:hAnsi="Franklin Gothic Demi"/>
                <w:lang w:val="en-GB"/>
              </w:rPr>
            </w:pPr>
            <w:r w:rsidRPr="00F3369C">
              <w:rPr>
                <w:rFonts w:ascii="Franklin Gothic Demi" w:hAnsi="Franklin Gothic Demi"/>
                <w:lang w:val="en-GB"/>
              </w:rPr>
              <w:t>6 612</w:t>
            </w:r>
          </w:p>
        </w:tc>
      </w:tr>
    </w:tbl>
    <w:p w14:paraId="2B012CBD" w14:textId="77777777" w:rsidR="00ED0E85" w:rsidRDefault="00ED0E85" w:rsidP="00ED0E85">
      <w:pPr>
        <w:pStyle w:val="Source"/>
      </w:pPr>
      <w:r>
        <w:rPr>
          <w:i/>
        </w:rPr>
        <w:t>Source</w:t>
      </w:r>
      <w:r w:rsidRPr="00E4232C">
        <w:rPr>
          <w:i/>
        </w:rPr>
        <w:t>:</w:t>
      </w:r>
      <w:r>
        <w:t xml:space="preserve"> CIE survey of assessors, NABERS website</w:t>
      </w:r>
      <w:r w:rsidRPr="00BC6E50">
        <w:t xml:space="preserve">, </w:t>
      </w:r>
      <w:hyperlink r:id="rId121" w:history="1">
        <w:r w:rsidRPr="00BC6E50">
          <w:rPr>
            <w:lang w:eastAsia="en-AU"/>
          </w:rPr>
          <w:t>https://www.nabers.gov.au/pricing</w:t>
        </w:r>
      </w:hyperlink>
      <w:r>
        <w:rPr>
          <w:lang w:eastAsia="en-AU"/>
        </w:rPr>
        <w:t>, accessed 9 August 2019.</w:t>
      </w:r>
    </w:p>
    <w:p w14:paraId="671E12EB" w14:textId="77777777" w:rsidR="00ED0E85" w:rsidRPr="001540E1" w:rsidRDefault="00ED0E85" w:rsidP="00ED0E85">
      <w:pPr>
        <w:pStyle w:val="BodyText"/>
        <w:rPr>
          <w:spacing w:val="-3"/>
        </w:rPr>
      </w:pPr>
      <w:r w:rsidRPr="001540E1">
        <w:rPr>
          <w:spacing w:val="-3"/>
        </w:rPr>
        <w:t>The cost of changing the metering arrangements to allow a NABERS rating could be significant. Some stakeholders reported these costs could be as high as $50 000 for some facilities.</w:t>
      </w:r>
    </w:p>
    <w:p w14:paraId="07C8AD6C" w14:textId="77777777" w:rsidR="00ED0E85" w:rsidRPr="001540E1" w:rsidRDefault="00ED0E85" w:rsidP="00ED0E85">
      <w:pPr>
        <w:pStyle w:val="BodyText"/>
        <w:rPr>
          <w:spacing w:val="-3"/>
        </w:rPr>
      </w:pPr>
      <w:r w:rsidRPr="001540E1">
        <w:rPr>
          <w:spacing w:val="-3"/>
        </w:rPr>
        <w:t>On the other hand, there is little reliable evidence on:</w:t>
      </w:r>
    </w:p>
    <w:p w14:paraId="38B1B8DD" w14:textId="77777777" w:rsidR="00ED0E85" w:rsidRPr="001540E1" w:rsidRDefault="00ED0E85" w:rsidP="001540E1">
      <w:pPr>
        <w:pStyle w:val="ListBullet"/>
        <w:spacing w:before="50"/>
        <w:rPr>
          <w:spacing w:val="-3"/>
        </w:rPr>
      </w:pPr>
      <w:r w:rsidRPr="001540E1">
        <w:rPr>
          <w:spacing w:val="-3"/>
        </w:rPr>
        <w:t>the number of private data centres or their energy consumption</w:t>
      </w:r>
    </w:p>
    <w:p w14:paraId="150DCBB5" w14:textId="77777777" w:rsidR="00ED0E85" w:rsidRPr="001540E1" w:rsidRDefault="00ED0E85" w:rsidP="001540E1">
      <w:pPr>
        <w:pStyle w:val="ListBullet"/>
        <w:spacing w:before="50"/>
        <w:rPr>
          <w:spacing w:val="-3"/>
        </w:rPr>
      </w:pPr>
      <w:r w:rsidRPr="001540E1">
        <w:rPr>
          <w:spacing w:val="-3"/>
        </w:rPr>
        <w:t>the extent to which mandatory disclosure could drive improved performance (there have been insufficient voluntary ratings to assess the impact that the use of NABERS tools has on energy performance)</w:t>
      </w:r>
    </w:p>
    <w:p w14:paraId="4D4C94ED" w14:textId="77777777" w:rsidR="00ED0E85" w:rsidRPr="001540E1" w:rsidRDefault="00ED0E85" w:rsidP="001540E1">
      <w:pPr>
        <w:pStyle w:val="ListBullet"/>
        <w:spacing w:before="50"/>
        <w:rPr>
          <w:spacing w:val="-3"/>
        </w:rPr>
      </w:pPr>
      <w:r w:rsidRPr="001540E1">
        <w:rPr>
          <w:spacing w:val="-3"/>
        </w:rPr>
        <w:t>the cost of improving the energy efficiency of data centres (although anecdotal evidence suggests this is likely to be significantly higher than office buildings)</w:t>
      </w:r>
    </w:p>
    <w:p w14:paraId="0DFA2E74" w14:textId="77777777" w:rsidR="00ED0E85" w:rsidRPr="001540E1" w:rsidRDefault="00ED0E85" w:rsidP="001540E1">
      <w:pPr>
        <w:pStyle w:val="ListBullet"/>
        <w:spacing w:before="50"/>
        <w:rPr>
          <w:spacing w:val="-3"/>
        </w:rPr>
      </w:pPr>
      <w:r w:rsidRPr="001540E1">
        <w:rPr>
          <w:spacing w:val="-3"/>
        </w:rPr>
        <w:t>the average cost of changing metering arrangements to facilitate a NABERS rating.</w:t>
      </w:r>
    </w:p>
    <w:p w14:paraId="51D4D043" w14:textId="77777777" w:rsidR="00ED0E85" w:rsidRDefault="00ED0E85" w:rsidP="001540E1">
      <w:pPr>
        <w:pStyle w:val="Heading2"/>
        <w:numPr>
          <w:ilvl w:val="1"/>
          <w:numId w:val="5"/>
        </w:numPr>
        <w:spacing w:before="480"/>
      </w:pPr>
      <w:bookmarkStart w:id="6620" w:name="_Toc19275549"/>
      <w:bookmarkStart w:id="6621" w:name="_Toc19276159"/>
      <w:bookmarkStart w:id="6622" w:name="_Toc19280158"/>
      <w:r>
        <w:t>Feedback on our draft recommendations</w:t>
      </w:r>
      <w:bookmarkEnd w:id="6620"/>
      <w:bookmarkEnd w:id="6621"/>
      <w:bookmarkEnd w:id="6622"/>
    </w:p>
    <w:p w14:paraId="6C46760D" w14:textId="77777777" w:rsidR="00ED0E85" w:rsidRPr="001540E1" w:rsidRDefault="00ED0E85" w:rsidP="00ED0E85">
      <w:pPr>
        <w:pStyle w:val="BodyText"/>
        <w:rPr>
          <w:spacing w:val="-3"/>
        </w:rPr>
      </w:pPr>
      <w:r w:rsidRPr="001540E1">
        <w:rPr>
          <w:spacing w:val="-3"/>
        </w:rPr>
        <w:t>For data centres, feedback that would assist with developing our final recommendations includes:</w:t>
      </w:r>
    </w:p>
    <w:p w14:paraId="662BB726" w14:textId="77777777" w:rsidR="00ED0E85" w:rsidRPr="001540E1" w:rsidRDefault="00ED0E85" w:rsidP="001540E1">
      <w:pPr>
        <w:pStyle w:val="ListBullet"/>
        <w:spacing w:before="50"/>
        <w:rPr>
          <w:spacing w:val="-3"/>
        </w:rPr>
      </w:pPr>
      <w:r w:rsidRPr="001540E1">
        <w:rPr>
          <w:spacing w:val="-3"/>
        </w:rPr>
        <w:t>any information on the number of private data centres (and the size)</w:t>
      </w:r>
    </w:p>
    <w:p w14:paraId="361E1255" w14:textId="77777777" w:rsidR="00ED0E85" w:rsidRPr="001540E1" w:rsidRDefault="00ED0E85" w:rsidP="001540E1">
      <w:pPr>
        <w:pStyle w:val="ListBullet"/>
        <w:spacing w:before="50"/>
        <w:rPr>
          <w:spacing w:val="-3"/>
        </w:rPr>
      </w:pPr>
      <w:r w:rsidRPr="001540E1">
        <w:rPr>
          <w:spacing w:val="-3"/>
        </w:rPr>
        <w:t>feedback for data centre owners and clients on how NABERS ratings would be used</w:t>
      </w:r>
    </w:p>
    <w:p w14:paraId="3AB22570" w14:textId="77777777" w:rsidR="00ED0E85" w:rsidRPr="001540E1" w:rsidRDefault="00ED0E85" w:rsidP="001540E1">
      <w:pPr>
        <w:pStyle w:val="ListBullet"/>
        <w:spacing w:before="50"/>
        <w:rPr>
          <w:spacing w:val="-3"/>
        </w:rPr>
      </w:pPr>
      <w:r w:rsidRPr="001540E1">
        <w:rPr>
          <w:spacing w:val="-3"/>
        </w:rPr>
        <w:t>any information on the cost of obtaining the first NABERS ratings (including the cost of any necessary metering changes)</w:t>
      </w:r>
    </w:p>
    <w:p w14:paraId="5F531C5E" w14:textId="77777777" w:rsidR="00ED0E85" w:rsidRPr="001540E1" w:rsidRDefault="00ED0E85" w:rsidP="001540E1">
      <w:pPr>
        <w:pStyle w:val="ListBullet"/>
        <w:spacing w:before="50"/>
        <w:rPr>
          <w:spacing w:val="-3"/>
        </w:rPr>
      </w:pPr>
      <w:r w:rsidRPr="001540E1">
        <w:rPr>
          <w:spacing w:val="-3"/>
        </w:rPr>
        <w:t>any information on the costs and benefits of energy efficiency upgrades for data centres.</w:t>
      </w:r>
    </w:p>
    <w:p w14:paraId="12742475" w14:textId="77777777" w:rsidR="00ED0E85" w:rsidRDefault="00ED0E85" w:rsidP="00ED0E85">
      <w:pPr>
        <w:pStyle w:val="Heading1"/>
        <w:numPr>
          <w:ilvl w:val="0"/>
          <w:numId w:val="5"/>
        </w:numPr>
      </w:pPr>
      <w:bookmarkStart w:id="6623" w:name="_Toc19275550"/>
      <w:bookmarkStart w:id="6624" w:name="_Toc19276160"/>
      <w:bookmarkStart w:id="6625" w:name="_Toc19280159"/>
      <w:bookmarkStart w:id="6626" w:name="_Toc499847031"/>
      <w:bookmarkStart w:id="6627" w:name="_Toc505120627"/>
      <w:bookmarkStart w:id="6628" w:name="_Toc507523779"/>
      <w:bookmarkStart w:id="6629" w:name="_Ref508112277"/>
      <w:bookmarkStart w:id="6630" w:name="_Toc509220828"/>
      <w:bookmarkStart w:id="6631" w:name="_Toc530476945"/>
      <w:r>
        <w:t>Other issues</w:t>
      </w:r>
      <w:bookmarkEnd w:id="6623"/>
      <w:bookmarkEnd w:id="6624"/>
      <w:bookmarkEnd w:id="6625"/>
    </w:p>
    <w:p w14:paraId="0CA75BF9" w14:textId="77777777" w:rsidR="00ED0E85" w:rsidRDefault="00ED0E85" w:rsidP="00ED0E85">
      <w:pPr>
        <w:pStyle w:val="Heading2"/>
        <w:numPr>
          <w:ilvl w:val="1"/>
          <w:numId w:val="5"/>
        </w:numPr>
      </w:pPr>
      <w:bookmarkStart w:id="6632" w:name="_Toc19275551"/>
      <w:bookmarkStart w:id="6633" w:name="_Toc19276161"/>
      <w:bookmarkStart w:id="6634" w:name="_Toc19280160"/>
      <w:r>
        <w:t>Sectors not reviewed in detail</w:t>
      </w:r>
      <w:bookmarkEnd w:id="6632"/>
      <w:bookmarkEnd w:id="6633"/>
      <w:bookmarkEnd w:id="6634"/>
    </w:p>
    <w:p w14:paraId="0B800D2B" w14:textId="77777777" w:rsidR="00ED0E85" w:rsidRPr="001540E1" w:rsidRDefault="00ED0E85" w:rsidP="001540E1">
      <w:pPr>
        <w:pStyle w:val="BodyText"/>
        <w:spacing w:before="80"/>
        <w:ind w:right="-1"/>
        <w:rPr>
          <w:spacing w:val="-3"/>
        </w:rPr>
      </w:pPr>
      <w:r w:rsidRPr="001540E1">
        <w:rPr>
          <w:spacing w:val="-3"/>
        </w:rPr>
        <w:t>The review terms of reference focuses on commercial building disclosure, in particular, the expansion to sectors covered above. A number of stakeholders have raised apartments (the common areas only) as a possibility for mandatory disclosure. We have not looked at this in detail but make the following observations.</w:t>
      </w:r>
    </w:p>
    <w:p w14:paraId="4A85D674" w14:textId="77777777" w:rsidR="00ED0E85" w:rsidRPr="001540E1" w:rsidRDefault="00ED0E85" w:rsidP="001540E1">
      <w:pPr>
        <w:pStyle w:val="BodyText"/>
        <w:spacing w:before="80"/>
        <w:ind w:right="-1"/>
        <w:rPr>
          <w:spacing w:val="-3"/>
        </w:rPr>
      </w:pPr>
      <w:r w:rsidRPr="001540E1">
        <w:rPr>
          <w:spacing w:val="-3"/>
        </w:rPr>
        <w:t>Apartments present an opportunity to reduce energy use and associated greenhouse gas emissions. There are 8.7 million dwellings in Australia as at 2016, of which 13.1 per cent are apartments.</w:t>
      </w:r>
      <w:r w:rsidRPr="001540E1">
        <w:rPr>
          <w:rStyle w:val="FootnoteReference"/>
          <w:rFonts w:asciiTheme="minorHAnsi" w:hAnsiTheme="minorHAnsi"/>
          <w:spacing w:val="-3"/>
        </w:rPr>
        <w:footnoteReference w:id="93"/>
      </w:r>
      <w:r w:rsidRPr="001540E1">
        <w:rPr>
          <w:spacing w:val="-3"/>
        </w:rPr>
        <w:t xml:space="preserve"> These apartments are home to around 10 per cent of the population.</w:t>
      </w:r>
      <w:r w:rsidRPr="001540E1">
        <w:rPr>
          <w:rStyle w:val="FootnoteReference"/>
          <w:rFonts w:asciiTheme="minorHAnsi" w:hAnsiTheme="minorHAnsi"/>
          <w:spacing w:val="-3"/>
        </w:rPr>
        <w:footnoteReference w:id="94"/>
      </w:r>
      <w:r w:rsidRPr="001540E1">
        <w:rPr>
          <w:spacing w:val="-3"/>
        </w:rPr>
        <w:t xml:space="preserve">  </w:t>
      </w:r>
    </w:p>
    <w:p w14:paraId="0B8103F3" w14:textId="3CE88328" w:rsidR="00ED0E85" w:rsidRPr="001540E1" w:rsidRDefault="00ED0E85" w:rsidP="001540E1">
      <w:pPr>
        <w:pStyle w:val="BodyText"/>
        <w:spacing w:before="80"/>
        <w:ind w:right="-427"/>
        <w:rPr>
          <w:spacing w:val="-3"/>
        </w:rPr>
      </w:pPr>
      <w:r w:rsidRPr="001540E1">
        <w:rPr>
          <w:spacing w:val="-3"/>
        </w:rPr>
        <w:t>The growth in the number of occupied apartments (dwellings) over the past 25 years has increased by 78 per cent</w:t>
      </w:r>
      <w:r w:rsidRPr="001540E1">
        <w:rPr>
          <w:rStyle w:val="FootnoteReference"/>
          <w:rFonts w:asciiTheme="minorHAnsi" w:hAnsiTheme="minorHAnsi"/>
          <w:spacing w:val="-3"/>
        </w:rPr>
        <w:footnoteReference w:id="95"/>
      </w:r>
      <w:r w:rsidRPr="001540E1">
        <w:rPr>
          <w:spacing w:val="-3"/>
        </w:rPr>
        <w:t xml:space="preserve"> with most growth coming from higher density apartments (chart </w:t>
      </w:r>
      <w:r w:rsidRPr="001540E1">
        <w:rPr>
          <w:spacing w:val="-3"/>
        </w:rPr>
        <w:fldChar w:fldCharType="begin"/>
      </w:r>
      <w:r w:rsidRPr="001540E1">
        <w:rPr>
          <w:spacing w:val="-3"/>
        </w:rPr>
        <w:instrText xml:space="preserve"> REF _Caption7411 </w:instrText>
      </w:r>
      <w:r w:rsidR="001540E1">
        <w:rPr>
          <w:spacing w:val="-3"/>
        </w:rPr>
        <w:instrText xml:space="preserve"> \* MERGEFORMAT </w:instrText>
      </w:r>
      <w:r w:rsidRPr="001540E1">
        <w:rPr>
          <w:spacing w:val="-3"/>
        </w:rPr>
        <w:fldChar w:fldCharType="separate"/>
      </w:r>
      <w:r w:rsidR="00AD3561" w:rsidRPr="00AD3561">
        <w:rPr>
          <w:noProof/>
          <w:spacing w:val="-3"/>
        </w:rPr>
        <w:t>10.1</w:t>
      </w:r>
      <w:r w:rsidRPr="001540E1">
        <w:rPr>
          <w:noProof/>
          <w:spacing w:val="-3"/>
        </w:rPr>
        <w:fldChar w:fldCharType="end"/>
      </w:r>
      <w:r w:rsidRPr="001540E1">
        <w:rPr>
          <w:spacing w:val="-3"/>
        </w:rPr>
        <w:t>).</w:t>
      </w:r>
    </w:p>
    <w:bookmarkStart w:id="6635" w:name="_Hlk17211583"/>
    <w:p w14:paraId="6F8132A7" w14:textId="69D3D270" w:rsidR="00ED0E85" w:rsidRDefault="00ED0E85" w:rsidP="001540E1">
      <w:pPr>
        <w:pStyle w:val="Caption"/>
        <w:spacing w:before="200"/>
      </w:pPr>
      <w:r>
        <w:fldChar w:fldCharType="begin"/>
      </w:r>
      <w:r>
        <w:instrText xml:space="preserve"> IF 1 = 1 "</w:instrText>
      </w:r>
      <w:r>
        <w:fldChar w:fldCharType="begin"/>
      </w:r>
      <w:r>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instrText xml:space="preserve"> = 0 "</w:instrText>
      </w:r>
      <w:r>
        <w:fldChar w:fldCharType="begin"/>
      </w:r>
      <w:r>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10</w:instrText>
      </w:r>
      <w:r w:rsidR="004550CB">
        <w:rPr>
          <w:noProof/>
        </w:rPr>
        <w:fldChar w:fldCharType="end"/>
      </w:r>
      <w:r>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10</w:instrText>
      </w:r>
      <w:r w:rsidR="004550CB">
        <w:rPr>
          <w:noProof/>
        </w:rPr>
        <w:fldChar w:fldCharType="end"/>
      </w:r>
      <w:r>
        <w:instrText xml:space="preserve">." </w:instrText>
      </w:r>
      <w:r>
        <w:fldChar w:fldCharType="separate"/>
      </w:r>
      <w:r w:rsidR="00AD3561">
        <w:rPr>
          <w:noProof/>
        </w:rPr>
        <w:instrText>10.</w:instrText>
      </w:r>
      <w:r>
        <w:fldChar w:fldCharType="end"/>
      </w:r>
      <w:r>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instrText xml:space="preserve">." </w:instrText>
      </w:r>
      <w:r>
        <w:fldChar w:fldCharType="separate"/>
      </w:r>
      <w:r w:rsidR="00C353B5">
        <w:rPr>
          <w:noProof/>
        </w:rPr>
        <w:instrText>10.</w:instrText>
      </w:r>
      <w:r>
        <w:fldChar w:fldCharType="end"/>
      </w:r>
      <w:r>
        <w:fldChar w:fldCharType="begin"/>
      </w:r>
      <w:r>
        <w:instrText xml:space="preserve"> SEQ Item \* ARABIC \s </w:instrText>
      </w:r>
      <w:r>
        <w:fldChar w:fldCharType="begin"/>
      </w:r>
      <w:r>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instrText xml:space="preserve"> = 0 "</w:instrText>
      </w:r>
      <w:r>
        <w:fldChar w:fldCharType="begin"/>
      </w:r>
      <w:r>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10</w:instrText>
      </w:r>
      <w:r w:rsidR="004550CB">
        <w:rPr>
          <w:noProof/>
        </w:rPr>
        <w:fldChar w:fldCharType="end"/>
      </w:r>
      <w:r>
        <w:instrText xml:space="preserve"> = 0 "" "1" </w:instrText>
      </w:r>
      <w:r>
        <w:fldChar w:fldCharType="separate"/>
      </w:r>
      <w:r w:rsidR="00C353B5">
        <w:rPr>
          <w:noProof/>
        </w:rPr>
        <w:instrText>1</w:instrText>
      </w:r>
      <w:r>
        <w:fldChar w:fldCharType="end"/>
      </w:r>
      <w:r>
        <w:instrText xml:space="preserve">" "6" </w:instrText>
      </w:r>
      <w:r>
        <w:fldChar w:fldCharType="separate"/>
      </w:r>
      <w:r w:rsidR="00C353B5">
        <w:rPr>
          <w:noProof/>
        </w:rPr>
        <w:instrText>1</w:instrText>
      </w:r>
      <w:r>
        <w:fldChar w:fldCharType="end"/>
      </w:r>
      <w:r>
        <w:instrText xml:space="preserve"> </w:instrText>
      </w:r>
      <w:r>
        <w:fldChar w:fldCharType="separate"/>
      </w:r>
      <w:r w:rsidR="00AD3561">
        <w:rPr>
          <w:noProof/>
        </w:rPr>
        <w:instrText>1</w:instrText>
      </w:r>
      <w:r>
        <w:fldChar w:fldCharType="end"/>
      </w:r>
      <w:r>
        <w:instrText xml:space="preserve">" "" </w:instrText>
      </w:r>
      <w:r>
        <w:fldChar w:fldCharType="separate"/>
      </w:r>
      <w:bookmarkStart w:id="6636" w:name="_Caption2614"/>
      <w:bookmarkStart w:id="6637" w:name="_Caption3509"/>
      <w:bookmarkStart w:id="6638" w:name="_Caption1091"/>
      <w:bookmarkStart w:id="6639" w:name="_Caption8083"/>
      <w:bookmarkStart w:id="6640" w:name="_Caption7365"/>
      <w:bookmarkStart w:id="6641" w:name="_Caption2261"/>
      <w:bookmarkStart w:id="6642" w:name="_Caption1272"/>
      <w:bookmarkStart w:id="6643" w:name="_Caption1392"/>
      <w:bookmarkStart w:id="6644" w:name="_Caption6871"/>
      <w:bookmarkStart w:id="6645" w:name="_Caption2662"/>
      <w:bookmarkStart w:id="6646" w:name="_Caption6031"/>
      <w:bookmarkStart w:id="6647" w:name="_Caption3592"/>
      <w:bookmarkStart w:id="6648" w:name="_Caption0529"/>
      <w:bookmarkStart w:id="6649" w:name="_Caption7464"/>
      <w:bookmarkStart w:id="6650" w:name="_Caption8761"/>
      <w:bookmarkStart w:id="6651" w:name="_Caption5502"/>
      <w:bookmarkStart w:id="6652" w:name="_Caption6568"/>
      <w:bookmarkStart w:id="6653" w:name="_Caption7619"/>
      <w:bookmarkStart w:id="6654" w:name="_Caption3428"/>
      <w:bookmarkStart w:id="6655" w:name="_Caption5765"/>
      <w:bookmarkStart w:id="6656" w:name="_Caption2785"/>
      <w:bookmarkStart w:id="6657" w:name="_Caption4570"/>
      <w:bookmarkStart w:id="6658" w:name="_Caption2695"/>
      <w:bookmarkStart w:id="6659" w:name="_Caption7411"/>
      <w:bookmarkStart w:id="6660" w:name="_Caption2573"/>
      <w:bookmarkStart w:id="6661" w:name="_Caption3748"/>
      <w:bookmarkStart w:id="6662" w:name="_Caption0963"/>
      <w:bookmarkStart w:id="6663" w:name="_Caption5595"/>
      <w:bookmarkStart w:id="6664" w:name="_Caption4548"/>
      <w:bookmarkStart w:id="6665" w:name="_Caption6036"/>
      <w:bookmarkStart w:id="6666" w:name="_Caption9579"/>
      <w:bookmarkStart w:id="6667" w:name="_Caption3779"/>
      <w:bookmarkStart w:id="6668" w:name="_Caption4452"/>
      <w:bookmarkStart w:id="6669" w:name="_Caption6153"/>
      <w:bookmarkStart w:id="6670" w:name="_Caption6616"/>
      <w:bookmarkStart w:id="6671" w:name="_Caption7718"/>
      <w:bookmarkStart w:id="6672" w:name="_Caption4092"/>
      <w:bookmarkStart w:id="6673" w:name="_Caption8895"/>
      <w:bookmarkStart w:id="6674" w:name="_Toc19275655"/>
      <w:bookmarkStart w:id="6675" w:name="_Toc19276265"/>
      <w:bookmarkStart w:id="6676" w:name="_Toc19280264"/>
      <w:r w:rsidR="00C353B5">
        <w:rPr>
          <w:noProof/>
        </w:rPr>
        <w:t>10.1</w:t>
      </w:r>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r>
        <w:fldChar w:fldCharType="end"/>
      </w:r>
      <w:r>
        <w:tab/>
        <w:t>Number of dwellings commenced, 2003-04 to 2017-18</w:t>
      </w:r>
      <w:bookmarkEnd w:id="6674"/>
      <w:bookmarkEnd w:id="6675"/>
      <w:bookmarkEnd w:id="6676"/>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ED0E85" w14:paraId="5784E09F" w14:textId="77777777" w:rsidTr="00ED0E85">
        <w:trPr>
          <w:cantSplit/>
        </w:trPr>
        <w:tc>
          <w:tcPr>
            <w:tcW w:w="7938" w:type="dxa"/>
            <w:shd w:val="clear" w:color="auto" w:fill="E9E8E5" w:themeFill="background2"/>
            <w:hideMark/>
          </w:tcPr>
          <w:p w14:paraId="4A812568" w14:textId="77777777" w:rsidR="00ED0E85" w:rsidRDefault="00ED0E85" w:rsidP="001540E1">
            <w:pPr>
              <w:pStyle w:val="Chart"/>
              <w:spacing w:after="60"/>
              <w:jc w:val="center"/>
            </w:pPr>
            <w:r w:rsidRPr="0063737A">
              <w:rPr>
                <w:noProof/>
                <w:lang w:eastAsia="en-AU"/>
              </w:rPr>
              <w:drawing>
                <wp:inline distT="0" distB="0" distL="0" distR="0" wp14:anchorId="78015450" wp14:editId="660C83A9">
                  <wp:extent cx="4895850" cy="230158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2">
                            <a:extLst>
                              <a:ext uri="{28A0092B-C50C-407E-A947-70E740481C1C}">
                                <a14:useLocalDpi xmlns:a14="http://schemas.microsoft.com/office/drawing/2010/main" val="0"/>
                              </a:ext>
                            </a:extLst>
                          </a:blip>
                          <a:srcRect t="1774"/>
                          <a:stretch/>
                        </pic:blipFill>
                        <pic:spPr bwMode="auto">
                          <a:xfrm>
                            <a:off x="0" y="0"/>
                            <a:ext cx="4895850" cy="2301586"/>
                          </a:xfrm>
                          <a:prstGeom prst="rect">
                            <a:avLst/>
                          </a:prstGeom>
                          <a:noFill/>
                          <a:ln>
                            <a:noFill/>
                          </a:ln>
                          <a:extLst>
                            <a:ext uri="{53640926-AAD7-44D8-BBD7-CCE9431645EC}">
                              <a14:shadowObscured xmlns:a14="http://schemas.microsoft.com/office/drawing/2010/main"/>
                            </a:ext>
                          </a:extLst>
                        </pic:spPr>
                      </pic:pic>
                    </a:graphicData>
                  </a:graphic>
                </wp:inline>
              </w:drawing>
            </w:r>
          </w:p>
        </w:tc>
      </w:tr>
    </w:tbl>
    <w:bookmarkEnd w:id="6635"/>
    <w:p w14:paraId="1FAA0570" w14:textId="77777777" w:rsidR="00ED0E85" w:rsidRDefault="00ED0E85" w:rsidP="00ED0E85">
      <w:pPr>
        <w:pStyle w:val="Source"/>
      </w:pPr>
      <w:r>
        <w:rPr>
          <w:i/>
        </w:rPr>
        <w:t>Data source:</w:t>
      </w:r>
      <w:r>
        <w:t xml:space="preserve"> ABS (2018), </w:t>
      </w:r>
      <w:r>
        <w:rPr>
          <w:i/>
          <w:iCs/>
        </w:rPr>
        <w:t xml:space="preserve">Building Activity, Apartments by Number of Storeys, </w:t>
      </w:r>
      <w:r>
        <w:t xml:space="preserve">Cat. 8752.0, Data Cube, available at: </w:t>
      </w:r>
      <w:hyperlink r:id="rId123" w:history="1">
        <w:r>
          <w:rPr>
            <w:rStyle w:val="Hyperlink"/>
          </w:rPr>
          <w:t>https://www.abs.gov.au/AUSSTATS/abs@.nsf/DetailsPage/8752.0Dec%202018?OpenDocument</w:t>
        </w:r>
      </w:hyperlink>
      <w:r>
        <w:t xml:space="preserve">, accessed 9 August 2019. </w:t>
      </w:r>
    </w:p>
    <w:p w14:paraId="589F4CB6" w14:textId="77777777" w:rsidR="00ED0E85" w:rsidRDefault="00ED0E85" w:rsidP="00ED0E85">
      <w:pPr>
        <w:pStyle w:val="BodyText"/>
      </w:pPr>
      <w:r>
        <w:t xml:space="preserve">The drivers for energy use in the common areas of apartments are heating, ventilation and air conditioning, lighting and other common amenities (such as swimming pools) driving energy costs. </w:t>
      </w:r>
    </w:p>
    <w:p w14:paraId="724ED6B4" w14:textId="406DA2C1" w:rsidR="00ED0E85" w:rsidRDefault="00ED0E85" w:rsidP="00ED0E85">
      <w:pPr>
        <w:pStyle w:val="BodyText"/>
      </w:pPr>
      <w:r>
        <w:t>Energy consumption per dwelling tends to increase as the density of the dwelling increases (chart </w:t>
      </w:r>
      <w:r w:rsidR="004550CB">
        <w:rPr>
          <w:noProof/>
        </w:rPr>
        <w:fldChar w:fldCharType="begin"/>
      </w:r>
      <w:r w:rsidR="004550CB">
        <w:rPr>
          <w:noProof/>
        </w:rPr>
        <w:instrText xml:space="preserve"> REF _Caption3393 </w:instrText>
      </w:r>
      <w:r w:rsidR="004550CB">
        <w:rPr>
          <w:noProof/>
        </w:rPr>
        <w:fldChar w:fldCharType="separate"/>
      </w:r>
      <w:r w:rsidR="00AD3561">
        <w:rPr>
          <w:noProof/>
        </w:rPr>
        <w:t>6</w:t>
      </w:r>
      <w:r w:rsidR="00AD3561" w:rsidRPr="00695C93">
        <w:rPr>
          <w:noProof/>
        </w:rPr>
        <w:t>.</w:t>
      </w:r>
      <w:r w:rsidR="00AD3561">
        <w:rPr>
          <w:noProof/>
        </w:rPr>
        <w:t>2</w:t>
      </w:r>
      <w:r w:rsidR="004550CB">
        <w:rPr>
          <w:noProof/>
        </w:rPr>
        <w:fldChar w:fldCharType="end"/>
      </w:r>
      <w:r>
        <w:t xml:space="preserve">).   </w:t>
      </w:r>
    </w:p>
    <w:p w14:paraId="558FA981" w14:textId="1C727B50" w:rsidR="00ED0E85" w:rsidRDefault="00ED0E85" w:rsidP="00ED0E85">
      <w:pPr>
        <w:pStyle w:val="Caption"/>
        <w:ind w:left="568" w:hanging="568"/>
      </w:pPr>
      <w:r>
        <w:fldChar w:fldCharType="begin"/>
      </w:r>
      <w:r>
        <w:instrText xml:space="preserve"> IF 1 = 1 "</w:instrText>
      </w:r>
      <w:r>
        <w:fldChar w:fldCharType="begin"/>
      </w:r>
      <w:r>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instrText xml:space="preserve"> = 0 "</w:instrText>
      </w:r>
      <w:r>
        <w:fldChar w:fldCharType="begin"/>
      </w:r>
      <w:r>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10</w:instrText>
      </w:r>
      <w:r w:rsidR="004550CB">
        <w:rPr>
          <w:noProof/>
        </w:rPr>
        <w:fldChar w:fldCharType="end"/>
      </w:r>
      <w:r>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10</w:instrText>
      </w:r>
      <w:r w:rsidR="004550CB">
        <w:rPr>
          <w:noProof/>
        </w:rPr>
        <w:fldChar w:fldCharType="end"/>
      </w:r>
      <w:r>
        <w:instrText xml:space="preserve">." </w:instrText>
      </w:r>
      <w:r>
        <w:fldChar w:fldCharType="separate"/>
      </w:r>
      <w:r w:rsidR="00AD3561">
        <w:rPr>
          <w:noProof/>
        </w:rPr>
        <w:instrText>10.</w:instrText>
      </w:r>
      <w:r>
        <w:fldChar w:fldCharType="end"/>
      </w:r>
      <w:r>
        <w:instrText>" "</w:instrText>
      </w:r>
      <w:r w:rsidR="004550CB">
        <w:rPr>
          <w:noProof/>
        </w:rPr>
        <w:fldChar w:fldCharType="begin"/>
      </w:r>
      <w:r w:rsidR="004550CB">
        <w:rPr>
          <w:noProof/>
        </w:rPr>
        <w:instrText xml:space="preserve"> STYLEREF "Heading 6" \l \n </w:instrText>
      </w:r>
      <w:r w:rsidR="004550CB">
        <w:rPr>
          <w:noProof/>
        </w:rPr>
        <w:fldChar w:fldCharType="separate"/>
      </w:r>
      <w:r>
        <w:rPr>
          <w:noProof/>
        </w:rPr>
        <w:instrText>A</w:instrText>
      </w:r>
      <w:r w:rsidR="004550CB">
        <w:rPr>
          <w:noProof/>
        </w:rPr>
        <w:fldChar w:fldCharType="end"/>
      </w:r>
      <w:r>
        <w:instrText xml:space="preserve">." </w:instrText>
      </w:r>
      <w:r>
        <w:fldChar w:fldCharType="separate"/>
      </w:r>
      <w:r w:rsidR="00C353B5">
        <w:rPr>
          <w:noProof/>
        </w:rPr>
        <w:instrText>10.</w:instrText>
      </w:r>
      <w:r>
        <w:fldChar w:fldCharType="end"/>
      </w:r>
      <w:r>
        <w:fldChar w:fldCharType="begin"/>
      </w:r>
      <w:r>
        <w:instrText xml:space="preserve"> SEQ Item \* ARABIC \s </w:instrText>
      </w:r>
      <w:r>
        <w:fldChar w:fldCharType="begin"/>
      </w:r>
      <w:r>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0</w:instrText>
      </w:r>
      <w:r w:rsidR="004550CB">
        <w:rPr>
          <w:noProof/>
        </w:rPr>
        <w:fldChar w:fldCharType="end"/>
      </w:r>
      <w:r>
        <w:instrText xml:space="preserve"> = 0 "</w:instrText>
      </w:r>
      <w:r>
        <w:fldChar w:fldCharType="begin"/>
      </w:r>
      <w:r>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sidR="00AD3561">
        <w:rPr>
          <w:noProof/>
        </w:rPr>
        <w:instrText>10</w:instrText>
      </w:r>
      <w:r w:rsidR="004550CB">
        <w:rPr>
          <w:noProof/>
        </w:rPr>
        <w:fldChar w:fldCharType="end"/>
      </w:r>
      <w:r>
        <w:instrText xml:space="preserve"> = 0 "" "1" </w:instrText>
      </w:r>
      <w:r>
        <w:fldChar w:fldCharType="separate"/>
      </w:r>
      <w:r w:rsidR="00C353B5">
        <w:rPr>
          <w:noProof/>
        </w:rPr>
        <w:instrText>1</w:instrText>
      </w:r>
      <w:r>
        <w:fldChar w:fldCharType="end"/>
      </w:r>
      <w:r>
        <w:instrText xml:space="preserve">" "6" </w:instrText>
      </w:r>
      <w:r>
        <w:fldChar w:fldCharType="separate"/>
      </w:r>
      <w:r w:rsidR="00C353B5">
        <w:rPr>
          <w:noProof/>
        </w:rPr>
        <w:instrText>1</w:instrText>
      </w:r>
      <w:r>
        <w:fldChar w:fldCharType="end"/>
      </w:r>
      <w:r>
        <w:instrText xml:space="preserve"> </w:instrText>
      </w:r>
      <w:r>
        <w:fldChar w:fldCharType="separate"/>
      </w:r>
      <w:r w:rsidR="00AD3561">
        <w:rPr>
          <w:noProof/>
        </w:rPr>
        <w:instrText>2</w:instrText>
      </w:r>
      <w:r>
        <w:fldChar w:fldCharType="end"/>
      </w:r>
      <w:r>
        <w:instrText xml:space="preserve">" "" </w:instrText>
      </w:r>
      <w:r>
        <w:fldChar w:fldCharType="separate"/>
      </w:r>
      <w:bookmarkStart w:id="6677" w:name="_Caption4456"/>
      <w:bookmarkStart w:id="6678" w:name="_Caption1203"/>
      <w:bookmarkStart w:id="6679" w:name="_Caption9234"/>
      <w:bookmarkStart w:id="6680" w:name="_Caption4426"/>
      <w:bookmarkStart w:id="6681" w:name="_Caption3214"/>
      <w:bookmarkStart w:id="6682" w:name="_Caption8370"/>
      <w:bookmarkStart w:id="6683" w:name="_Caption4023"/>
      <w:bookmarkStart w:id="6684" w:name="_Caption1779"/>
      <w:bookmarkStart w:id="6685" w:name="_Caption7004"/>
      <w:bookmarkStart w:id="6686" w:name="_Caption2982"/>
      <w:bookmarkStart w:id="6687" w:name="_Caption3321"/>
      <w:bookmarkStart w:id="6688" w:name="_Caption7971"/>
      <w:bookmarkStart w:id="6689" w:name="_Caption7045"/>
      <w:bookmarkStart w:id="6690" w:name="_Caption4580"/>
      <w:bookmarkStart w:id="6691" w:name="_Caption5729"/>
      <w:bookmarkStart w:id="6692" w:name="_Caption2207"/>
      <w:bookmarkStart w:id="6693" w:name="_Caption2829"/>
      <w:bookmarkStart w:id="6694" w:name="_Caption2679"/>
      <w:bookmarkStart w:id="6695" w:name="_Caption5844"/>
      <w:bookmarkStart w:id="6696" w:name="_Caption4763"/>
      <w:bookmarkStart w:id="6697" w:name="_Caption6590"/>
      <w:bookmarkStart w:id="6698" w:name="_Caption4356"/>
      <w:bookmarkStart w:id="6699" w:name="_Caption4857"/>
      <w:bookmarkStart w:id="6700" w:name="_Caption3544"/>
      <w:bookmarkStart w:id="6701" w:name="_Caption0050"/>
      <w:bookmarkStart w:id="6702" w:name="_Caption6046"/>
      <w:bookmarkStart w:id="6703" w:name="_Caption8588"/>
      <w:bookmarkStart w:id="6704" w:name="_Caption3392"/>
      <w:bookmarkStart w:id="6705" w:name="_Caption0769"/>
      <w:bookmarkStart w:id="6706" w:name="_Caption9882"/>
      <w:bookmarkStart w:id="6707" w:name="_Caption8750"/>
      <w:bookmarkStart w:id="6708" w:name="_Caption3820"/>
      <w:bookmarkStart w:id="6709" w:name="_Caption4639"/>
      <w:bookmarkStart w:id="6710" w:name="_Caption2613"/>
      <w:bookmarkStart w:id="6711" w:name="_Caption5776"/>
      <w:bookmarkStart w:id="6712" w:name="_Caption0002"/>
      <w:bookmarkStart w:id="6713" w:name="_Caption7577"/>
      <w:bookmarkStart w:id="6714" w:name="_Caption3113"/>
      <w:bookmarkStart w:id="6715" w:name="_Toc19275656"/>
      <w:bookmarkStart w:id="6716" w:name="_Toc19276266"/>
      <w:bookmarkStart w:id="6717" w:name="_Toc19280265"/>
      <w:r w:rsidR="00C353B5">
        <w:rPr>
          <w:noProof/>
        </w:rPr>
        <w:t>10.2</w:t>
      </w:r>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r>
        <w:fldChar w:fldCharType="end"/>
      </w:r>
      <w:r>
        <w:tab/>
        <w:t>Energy consumption for apartments based on density compared to a detached house (Sydney)</w:t>
      </w:r>
      <w:bookmarkEnd w:id="6715"/>
      <w:bookmarkEnd w:id="6716"/>
      <w:bookmarkEnd w:id="6717"/>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ED0E85" w14:paraId="14EC07A6" w14:textId="77777777" w:rsidTr="00ED0E85">
        <w:trPr>
          <w:cantSplit/>
        </w:trPr>
        <w:tc>
          <w:tcPr>
            <w:tcW w:w="7938" w:type="dxa"/>
            <w:shd w:val="clear" w:color="auto" w:fill="E9E8E5" w:themeFill="background2"/>
            <w:hideMark/>
          </w:tcPr>
          <w:p w14:paraId="0366AC48" w14:textId="77777777" w:rsidR="00ED0E85" w:rsidRDefault="00ED0E85" w:rsidP="00ED0E85">
            <w:pPr>
              <w:pStyle w:val="Chart"/>
              <w:jc w:val="center"/>
            </w:pPr>
            <w:r>
              <w:rPr>
                <w:noProof/>
                <w:lang w:eastAsia="en-AU"/>
              </w:rPr>
              <w:drawing>
                <wp:inline distT="0" distB="0" distL="0" distR="0" wp14:anchorId="0923DB51" wp14:editId="3FA15BA3">
                  <wp:extent cx="4873735" cy="25016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4">
                            <a:extLst>
                              <a:ext uri="{28A0092B-C50C-407E-A947-70E740481C1C}">
                                <a14:useLocalDpi xmlns:a14="http://schemas.microsoft.com/office/drawing/2010/main" val="0"/>
                              </a:ext>
                            </a:extLst>
                          </a:blip>
                          <a:srcRect l="-1268" r="4107"/>
                          <a:stretch/>
                        </pic:blipFill>
                        <pic:spPr bwMode="auto">
                          <a:xfrm>
                            <a:off x="0" y="0"/>
                            <a:ext cx="4874154" cy="25019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DEE1557" w14:textId="77777777" w:rsidR="00ED0E85" w:rsidRDefault="00ED0E85" w:rsidP="00ED0E85">
      <w:pPr>
        <w:pStyle w:val="Note"/>
        <w:rPr>
          <w:iCs/>
        </w:rPr>
      </w:pPr>
      <w:r>
        <w:rPr>
          <w:i/>
        </w:rPr>
        <w:t xml:space="preserve">Note: </w:t>
      </w:r>
      <w:r>
        <w:rPr>
          <w:iCs/>
        </w:rPr>
        <w:t xml:space="preserve">High rise 9 storeys and above; mid rise 4 to 8 storeys; low rise 1 to 3 storeys. </w:t>
      </w:r>
    </w:p>
    <w:p w14:paraId="71B5809F" w14:textId="77777777" w:rsidR="00ED0E85" w:rsidRDefault="00ED0E85" w:rsidP="00ED0E85">
      <w:pPr>
        <w:pStyle w:val="Source"/>
      </w:pPr>
      <w:r>
        <w:rPr>
          <w:i/>
        </w:rPr>
        <w:t>Data source:</w:t>
      </w:r>
      <w:r>
        <w:t xml:space="preserve"> Tupper, C., Energy Australia, </w:t>
      </w:r>
      <w:r>
        <w:rPr>
          <w:i/>
          <w:iCs/>
        </w:rPr>
        <w:t xml:space="preserve">Energy efficient apartment buildings, </w:t>
      </w:r>
      <w:r>
        <w:t xml:space="preserve">available at: </w:t>
      </w:r>
      <w:hyperlink r:id="rId125" w:history="1">
        <w:r>
          <w:rPr>
            <w:rStyle w:val="Hyperlink"/>
          </w:rPr>
          <w:t>https://www.northsydney.nsw.gov.au/files/assets/public/docs/4_waste_environment/sustainability/energy_efficiency_energyaustralia.pdf</w:t>
        </w:r>
      </w:hyperlink>
      <w:r>
        <w:t xml:space="preserve">. </w:t>
      </w:r>
    </w:p>
    <w:p w14:paraId="5B1441AE" w14:textId="77777777" w:rsidR="00ED0E85" w:rsidRDefault="00ED0E85" w:rsidP="00ED0E85">
      <w:pPr>
        <w:pStyle w:val="BodyText"/>
        <w:rPr>
          <w:lang w:eastAsia="en-US"/>
        </w:rPr>
      </w:pPr>
      <w:r>
        <w:rPr>
          <w:lang w:eastAsia="en-US"/>
        </w:rPr>
        <w:t>Only a part of the energy use of an apartment reflects common area energy use. Based on the small set of apartments that have undertaken NABERS assessments, this ranges from 1000 to 20 000 MJ per apartment per year — the apartments rated using NABERS so far are achieving high star ratings, so the higher end of the band is more likely to be average. This suggests that the level of energy use for common areas of apartments is likely to be larger than for the energy use currently covered by the CBD Program.</w:t>
      </w:r>
    </w:p>
    <w:p w14:paraId="33289C09" w14:textId="77777777" w:rsidR="00ED0E85" w:rsidRDefault="00ED0E85" w:rsidP="00ED0E85">
      <w:pPr>
        <w:pStyle w:val="BodyText"/>
      </w:pPr>
      <w:r>
        <w:t>In terms of whether mandatory disclosure would have net benefits for apartments:</w:t>
      </w:r>
    </w:p>
    <w:p w14:paraId="37F6C75B" w14:textId="77777777" w:rsidR="00ED0E85" w:rsidRDefault="00ED0E85" w:rsidP="00ED0E85">
      <w:pPr>
        <w:pStyle w:val="ListBullet"/>
      </w:pPr>
      <w:r>
        <w:t>apartments are the building type most similar to office buildings in the way that they are built and in the market structures</w:t>
      </w:r>
    </w:p>
    <w:p w14:paraId="114ACFD8" w14:textId="77777777" w:rsidR="00ED0E85" w:rsidRDefault="00ED0E85" w:rsidP="00ED0E85">
      <w:pPr>
        <w:pStyle w:val="ListBullet"/>
      </w:pPr>
      <w:r>
        <w:t>apartments fit clearly into issues of both bounded rationality and demand from tenants/owners for information on performance</w:t>
      </w:r>
    </w:p>
    <w:p w14:paraId="7E144684" w14:textId="77777777" w:rsidR="00ED0E85" w:rsidRDefault="00ED0E85" w:rsidP="00ED0E85">
      <w:pPr>
        <w:pStyle w:val="ListBullet2"/>
      </w:pPr>
      <w:r>
        <w:t xml:space="preserve">the management of apartments will often be less professional than for offices as apartments are managed by body corporates. This means that they may lack the technical training to consider how energy efficiency options may work in the building.  </w:t>
      </w:r>
    </w:p>
    <w:p w14:paraId="6AE226DE" w14:textId="77777777" w:rsidR="00ED0E85" w:rsidRDefault="00ED0E85" w:rsidP="00ED0E85">
      <w:pPr>
        <w:pStyle w:val="BodyText"/>
      </w:pPr>
      <w:r>
        <w:t>However, apartments cannot be regulated by the Australian Government, because they are not generally operated as companies. As is the case with commercial buildings, this is because strata titled buildings cannot be covered by the Commonwealth under the Corporations Act. This means that it would require state government agreement to make any regulations around disclosure for apartment buildings.</w:t>
      </w:r>
    </w:p>
    <w:p w14:paraId="00FA08AA" w14:textId="77777777" w:rsidR="00ED0E85" w:rsidRDefault="00ED0E85" w:rsidP="00ED0E85">
      <w:pPr>
        <w:pStyle w:val="BodyText"/>
      </w:pPr>
      <w:r>
        <w:t>Including apartments would somewhat reduce issues raised by hotels about a lack of a level playing field with other accommodation providers (e.g. Airbnb, serviced apartments).</w:t>
      </w:r>
    </w:p>
    <w:p w14:paraId="132B1889" w14:textId="77777777" w:rsidR="00ED0E85" w:rsidRDefault="00ED0E85" w:rsidP="00ED0E85">
      <w:pPr>
        <w:pStyle w:val="KeyPoint"/>
      </w:pPr>
      <w:r>
        <w:t>State and territory government should agree to a detailed examination of mandatory disclosure of NABERS ratings for apartment buildings, including consideration of an appropriate legal framework.</w:t>
      </w:r>
    </w:p>
    <w:p w14:paraId="7758EAC7" w14:textId="77777777" w:rsidR="00ED0E85" w:rsidRPr="00331C68" w:rsidRDefault="00ED0E85" w:rsidP="00ED0E85">
      <w:pPr>
        <w:pStyle w:val="Heading2"/>
        <w:numPr>
          <w:ilvl w:val="1"/>
          <w:numId w:val="5"/>
        </w:numPr>
      </w:pPr>
      <w:bookmarkStart w:id="6718" w:name="_Toc19275552"/>
      <w:bookmarkStart w:id="6719" w:name="_Toc19276162"/>
      <w:bookmarkStart w:id="6720" w:name="_Toc19280161"/>
      <w:r w:rsidRPr="00331C68">
        <w:t>Cost recovery arrangements</w:t>
      </w:r>
      <w:bookmarkEnd w:id="6718"/>
      <w:bookmarkEnd w:id="6719"/>
      <w:bookmarkEnd w:id="6720"/>
    </w:p>
    <w:p w14:paraId="2933C3AD" w14:textId="77777777" w:rsidR="00ED0E85" w:rsidRDefault="00ED0E85" w:rsidP="00ED0E85">
      <w:pPr>
        <w:pStyle w:val="BodyText"/>
        <w:rPr>
          <w:lang w:bidi="fa-IR"/>
        </w:rPr>
      </w:pPr>
      <w:r>
        <w:t xml:space="preserve">Under the Australian Government </w:t>
      </w:r>
      <w:r>
        <w:rPr>
          <w:i/>
        </w:rPr>
        <w:t>Cost Recovery Guidelines</w:t>
      </w:r>
      <w:r>
        <w:t>, a key early step in developing a new cost recovery mechanism is to establish the policy case for cost recovery.</w:t>
      </w:r>
      <w:r>
        <w:rPr>
          <w:rStyle w:val="FootnoteReference"/>
        </w:rPr>
        <w:footnoteReference w:id="96"/>
      </w:r>
      <w:r>
        <w:t xml:space="preserve"> </w:t>
      </w:r>
      <w:r>
        <w:rPr>
          <w:lang w:bidi="fa-IR"/>
        </w:rPr>
        <w:t>There is an in</w:t>
      </w:r>
      <w:r>
        <w:rPr>
          <w:lang w:bidi="fa-IR"/>
        </w:rPr>
        <w:noBreakHyphen/>
        <w:t>principle case to recover the cost of administering the CBD Program (</w:t>
      </w:r>
      <w:r>
        <w:t xml:space="preserve">including </w:t>
      </w:r>
      <w:r>
        <w:rPr>
          <w:lang w:bidi="fa-IR"/>
        </w:rPr>
        <w:t xml:space="preserve">compliance and enforcement activities that form an integral part of the CBD Program’s regulatory framework) through user charges. </w:t>
      </w:r>
    </w:p>
    <w:p w14:paraId="41E68AF4" w14:textId="77777777" w:rsidR="00ED0E85" w:rsidRDefault="00ED0E85" w:rsidP="00ED0E85">
      <w:pPr>
        <w:pStyle w:val="BodyText"/>
        <w:rPr>
          <w:lang w:bidi="fa-IR"/>
        </w:rPr>
      </w:pPr>
      <w:r>
        <w:rPr>
          <w:lang w:bidi="fa-IR"/>
        </w:rPr>
        <w:t>Although recovering the costs of administering the CBD Program through user charges would be broadly consistent with the Australian Government Cost Recovery Guidelines, cost recovery would be unlikely to deliver any significant efficiency benefits. Furthermore, (current) processing time between the accounts and the DEE CBD team around payments for assessor accreditation and exemptions indicate that the processing time may significantly slow down the time for BEECs and TLAs, which could impact adversely on time sensitive leasing and sales transactions. However, there is an equity case for cost recovery, as user charges would ensure that the costs of administering the CBD Program would be borne by those who cause the costs to be incurred (i.e. building owners and tenants).</w:t>
      </w:r>
    </w:p>
    <w:p w14:paraId="446D9AF1" w14:textId="77777777" w:rsidR="00ED0E85" w:rsidRDefault="00ED0E85" w:rsidP="00ED0E85">
      <w:pPr>
        <w:pStyle w:val="BodyText"/>
        <w:rPr>
          <w:lang w:bidi="fa-IR"/>
        </w:rPr>
      </w:pPr>
      <w:r>
        <w:rPr>
          <w:lang w:bidi="fa-IR"/>
        </w:rPr>
        <w:t>Cost recovery can improve efficiency where it encourages the regulated community to consider the cost of operating the regulatory framework in their decisions. However, passing the costs incurred by DEE onto users is unlikely to significantly affect a decision to obtain a BEEC because it is a mandated requirement. Obtaining more BEECs than is mandated, such as by obtaining an annual BEEC even if space is not leased or sold, is possible (and occurs). Passing through costs for compliance to BEECs may somewhat reduce this. This in turn would reduce administrative costs. However, this would not be likely to reduce compliance costs, as costs will depend on checking of disclosure.</w:t>
      </w:r>
    </w:p>
    <w:p w14:paraId="3BDDE365" w14:textId="77777777" w:rsidR="00ED0E85" w:rsidRDefault="00ED0E85" w:rsidP="00ED0E85">
      <w:pPr>
        <w:pStyle w:val="BodyText"/>
        <w:rPr>
          <w:lang w:bidi="fa-IR"/>
        </w:rPr>
      </w:pPr>
      <w:r>
        <w:rPr>
          <w:lang w:bidi="fa-IR"/>
        </w:rPr>
        <w:t>From an equity perspective, the case for cost recovery generally rests on who benefits or who causes the cost to be incurred. In relation to cost recovery for regulatory functions, this is normally interpreted as those whose activities cause the costs to be incurred (or cause the need for regulation) should bear the costs. Under this interpretation, there would be some equity benefits as the industry would bear the costs, rather than the broader community.</w:t>
      </w:r>
    </w:p>
    <w:p w14:paraId="4A697D59" w14:textId="77777777" w:rsidR="00ED0E85" w:rsidRDefault="00ED0E85" w:rsidP="00ED0E85">
      <w:pPr>
        <w:pStyle w:val="BodyText"/>
      </w:pPr>
      <w:r>
        <w:t>The above suggests there is some case for cost recovery, but there is no particularly strong gain from making users pay the costs of the scheme.</w:t>
      </w:r>
    </w:p>
    <w:p w14:paraId="4BFA8923" w14:textId="77777777" w:rsidR="00ED0E85" w:rsidRDefault="00ED0E85" w:rsidP="00ED0E85">
      <w:pPr>
        <w:pStyle w:val="KeyPoint"/>
      </w:pPr>
      <w:r>
        <w:t>Recovering the costs incurred by DEE in administering CBD Program through user charges would be broadly consistent with the Australian Government Cost Recovery Guidelines, although cost recovery is unlikely to deliver significant efficiency benefits.</w:t>
      </w:r>
    </w:p>
    <w:p w14:paraId="656BDA54" w14:textId="77777777" w:rsidR="00ED0E85" w:rsidRPr="00331C68" w:rsidRDefault="00ED0E85" w:rsidP="00ED0E85">
      <w:pPr>
        <w:pStyle w:val="KeyPoint"/>
      </w:pPr>
      <w:r>
        <w:t>DEE should develop a cost recovery framework that complies the Australian Government Cost Recovery Guidelines.</w:t>
      </w:r>
    </w:p>
    <w:p w14:paraId="75A3C7D1" w14:textId="77777777" w:rsidR="00ED0E85" w:rsidRPr="00681DC3" w:rsidRDefault="00ED0E85" w:rsidP="00ED0E85">
      <w:pPr>
        <w:pStyle w:val="BodyText"/>
        <w:rPr>
          <w:highlight w:val="yellow"/>
        </w:rPr>
      </w:pPr>
    </w:p>
    <w:p w14:paraId="27358E12" w14:textId="77777777" w:rsidR="00ED0E85" w:rsidRDefault="00ED0E85" w:rsidP="00ED0E85">
      <w:pPr>
        <w:pStyle w:val="Heading6"/>
        <w:numPr>
          <w:ilvl w:val="5"/>
          <w:numId w:val="5"/>
        </w:numPr>
      </w:pPr>
      <w:bookmarkStart w:id="6721" w:name="_Toc19275553"/>
      <w:bookmarkStart w:id="6722" w:name="_Toc19276163"/>
      <w:bookmarkStart w:id="6723" w:name="_Toc19280162"/>
      <w:r>
        <w:t>Cost-benefit analysis by state and territory</w:t>
      </w:r>
      <w:bookmarkEnd w:id="6721"/>
      <w:bookmarkEnd w:id="6722"/>
      <w:bookmarkEnd w:id="6723"/>
    </w:p>
    <w:p w14:paraId="4C9806CE" w14:textId="77777777" w:rsidR="00ED0E85" w:rsidRDefault="00ED0E85" w:rsidP="00ED0E85">
      <w:pPr>
        <w:pStyle w:val="Heading7"/>
        <w:numPr>
          <w:ilvl w:val="6"/>
          <w:numId w:val="5"/>
        </w:numPr>
      </w:pPr>
      <w:r>
        <w:t>Net benefits to date</w:t>
      </w:r>
    </w:p>
    <w:p w14:paraId="7F49E480" w14:textId="2F1AD6F9" w:rsidR="00ED0E85" w:rsidRDefault="00ED0E85" w:rsidP="00ED0E85">
      <w:pPr>
        <w:pStyle w:val="BodyText"/>
      </w:pPr>
      <w:r>
        <w:t>The cost</w:t>
      </w:r>
      <w:r>
        <w:noBreakHyphen/>
        <w:t>benefit analysis over the period from 2010</w:t>
      </w:r>
      <w:r>
        <w:noBreakHyphen/>
        <w:t>11 to 2018</w:t>
      </w:r>
      <w:r>
        <w:noBreakHyphen/>
        <w:t>19 by state and territory is shown in table </w:t>
      </w:r>
      <w:r w:rsidR="004550CB">
        <w:rPr>
          <w:noProof/>
        </w:rPr>
        <w:fldChar w:fldCharType="begin"/>
      </w:r>
      <w:r w:rsidR="004550CB">
        <w:rPr>
          <w:noProof/>
        </w:rPr>
        <w:instrText xml:space="preserve"> REF _Caption6055 </w:instrText>
      </w:r>
      <w:r w:rsidR="004550CB">
        <w:rPr>
          <w:noProof/>
        </w:rPr>
        <w:fldChar w:fldCharType="separate"/>
      </w:r>
      <w:r w:rsidR="00AD3561">
        <w:rPr>
          <w:noProof/>
        </w:rPr>
        <w:t>A</w:t>
      </w:r>
      <w:r w:rsidR="00AD3561" w:rsidRPr="00695C93">
        <w:rPr>
          <w:noProof/>
        </w:rPr>
        <w:t>.</w:t>
      </w:r>
      <w:r w:rsidR="00AD3561">
        <w:rPr>
          <w:noProof/>
        </w:rPr>
        <w:t>1</w:t>
      </w:r>
      <w:r w:rsidR="004550CB">
        <w:rPr>
          <w:noProof/>
        </w:rPr>
        <w:fldChar w:fldCharType="end"/>
      </w:r>
      <w:r>
        <w:t>.</w:t>
      </w:r>
    </w:p>
    <w:p w14:paraId="50CFF045" w14:textId="65A01AFE"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A</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5</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5</w:instrText>
      </w:r>
      <w:r w:rsidR="004550CB">
        <w:rPr>
          <w:noProof/>
        </w:rPr>
        <w:fldChar w:fldCharType="end"/>
      </w:r>
      <w:r w:rsidRPr="00695C93">
        <w:instrText xml:space="preserve">." </w:instrText>
      </w:r>
      <w:r w:rsidRPr="00695C93">
        <w:fldChar w:fldCharType="separate"/>
      </w:r>
      <w:r>
        <w:rPr>
          <w:noProof/>
        </w:rPr>
        <w:instrText>5</w:instrText>
      </w:r>
      <w:r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A</w:instrText>
      </w:r>
      <w:r w:rsidR="004550CB">
        <w:rPr>
          <w:noProof/>
        </w:rPr>
        <w:fldChar w:fldCharType="end"/>
      </w:r>
      <w:r w:rsidRPr="00695C93">
        <w:instrText xml:space="preserve">." </w:instrText>
      </w:r>
      <w:r w:rsidRPr="00695C93">
        <w:fldChar w:fldCharType="separate"/>
      </w:r>
      <w:r w:rsidR="00AD3561">
        <w:rPr>
          <w:noProof/>
        </w:rPr>
        <w:instrText>A</w:instrText>
      </w:r>
      <w:r w:rsidR="00AD356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A</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5</w:instrText>
      </w:r>
      <w:r w:rsidR="004550CB">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AD3561" w:rsidRPr="00695C93">
        <w:rPr>
          <w:noProof/>
        </w:rPr>
        <w:instrText>6</w:instrText>
      </w:r>
      <w:r w:rsidRPr="00695C93">
        <w:fldChar w:fldCharType="end"/>
      </w:r>
      <w:r w:rsidRPr="00695C93">
        <w:instrText xml:space="preserve"> </w:instrText>
      </w:r>
      <w:r w:rsidRPr="00695C93">
        <w:fldChar w:fldCharType="separate"/>
      </w:r>
      <w:r w:rsidR="00AD3561">
        <w:rPr>
          <w:noProof/>
        </w:rPr>
        <w:instrText>1</w:instrText>
      </w:r>
      <w:r w:rsidRPr="00695C93">
        <w:fldChar w:fldCharType="end"/>
      </w:r>
      <w:r w:rsidRPr="00695C93">
        <w:instrText xml:space="preserve">" "" </w:instrText>
      </w:r>
      <w:r w:rsidRPr="00695C93">
        <w:fldChar w:fldCharType="separate"/>
      </w:r>
      <w:bookmarkStart w:id="6724" w:name="_Caption4135"/>
      <w:bookmarkStart w:id="6725" w:name="_Caption7133"/>
      <w:bookmarkStart w:id="6726" w:name="_Caption0129"/>
      <w:bookmarkStart w:id="6727" w:name="_Caption1461"/>
      <w:bookmarkStart w:id="6728" w:name="_Caption6967"/>
      <w:bookmarkStart w:id="6729" w:name="_Caption4046"/>
      <w:bookmarkStart w:id="6730" w:name="_Caption8425"/>
      <w:bookmarkStart w:id="6731" w:name="_Caption6055"/>
      <w:bookmarkStart w:id="6732" w:name="_Caption5508"/>
      <w:bookmarkStart w:id="6733" w:name="_Caption5652"/>
      <w:bookmarkStart w:id="6734" w:name="_Caption6765"/>
      <w:bookmarkStart w:id="6735" w:name="_Caption4833"/>
      <w:bookmarkStart w:id="6736" w:name="_Caption7498"/>
      <w:bookmarkStart w:id="6737" w:name="_Caption6719"/>
      <w:bookmarkStart w:id="6738" w:name="_Caption1073"/>
      <w:bookmarkStart w:id="6739" w:name="_Caption6959"/>
      <w:bookmarkStart w:id="6740" w:name="_Caption4336"/>
      <w:bookmarkStart w:id="6741" w:name="_Caption2666"/>
      <w:bookmarkStart w:id="6742" w:name="_Caption1484"/>
      <w:bookmarkStart w:id="6743" w:name="_Caption9524"/>
      <w:bookmarkStart w:id="6744" w:name="_Caption1294"/>
      <w:bookmarkStart w:id="6745" w:name="_Caption4411"/>
      <w:bookmarkStart w:id="6746" w:name="_Caption9008"/>
      <w:bookmarkStart w:id="6747" w:name="_Caption9138"/>
      <w:bookmarkStart w:id="6748" w:name="_Caption5998"/>
      <w:bookmarkStart w:id="6749" w:name="_Caption6583"/>
      <w:bookmarkStart w:id="6750" w:name="_Caption4563"/>
      <w:bookmarkStart w:id="6751" w:name="_Toc19275657"/>
      <w:bookmarkStart w:id="6752" w:name="_Toc19276267"/>
      <w:bookmarkStart w:id="6753" w:name="_Toc19280266"/>
      <w:r w:rsidR="00C353B5">
        <w:rPr>
          <w:noProof/>
        </w:rPr>
        <w:t>A</w:t>
      </w:r>
      <w:r w:rsidR="00C353B5" w:rsidRPr="00695C93">
        <w:rPr>
          <w:noProof/>
        </w:rPr>
        <w:t>.</w:t>
      </w:r>
      <w:r w:rsidR="00C353B5">
        <w:rPr>
          <w:noProof/>
        </w:rPr>
        <w:t>1</w:t>
      </w:r>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r w:rsidRPr="00695C93">
        <w:fldChar w:fldCharType="end"/>
      </w:r>
      <w:r w:rsidRPr="00695C93">
        <w:tab/>
      </w:r>
      <w:r>
        <w:t>CBD Program to 2018</w:t>
      </w:r>
      <w:r>
        <w:noBreakHyphen/>
        <w:t>19 — cost-benefit analysis</w:t>
      </w:r>
      <w:bookmarkEnd w:id="6751"/>
      <w:bookmarkEnd w:id="6752"/>
      <w:bookmarkEnd w:id="6753"/>
    </w:p>
    <w:tbl>
      <w:tblPr>
        <w:tblW w:w="7934" w:type="dxa"/>
        <w:tblLayout w:type="fixed"/>
        <w:tblLook w:val="0000" w:firstRow="0" w:lastRow="0" w:firstColumn="0" w:lastColumn="0" w:noHBand="0" w:noVBand="0"/>
      </w:tblPr>
      <w:tblGrid>
        <w:gridCol w:w="1652"/>
        <w:gridCol w:w="698"/>
        <w:gridCol w:w="698"/>
        <w:gridCol w:w="698"/>
        <w:gridCol w:w="698"/>
        <w:gridCol w:w="698"/>
        <w:gridCol w:w="698"/>
        <w:gridCol w:w="698"/>
        <w:gridCol w:w="698"/>
        <w:gridCol w:w="698"/>
      </w:tblGrid>
      <w:tr w:rsidR="00ED0E85" w:rsidRPr="000B5E5B" w14:paraId="6F771B70" w14:textId="77777777" w:rsidTr="00ED0E85">
        <w:trPr>
          <w:trHeight w:val="230"/>
          <w:tblHeader/>
        </w:trPr>
        <w:tc>
          <w:tcPr>
            <w:tcW w:w="1652" w:type="dxa"/>
            <w:shd w:val="clear" w:color="auto" w:fill="6F6652"/>
            <w:tcMar>
              <w:left w:w="57" w:type="dxa"/>
              <w:right w:w="57" w:type="dxa"/>
            </w:tcMar>
          </w:tcPr>
          <w:p w14:paraId="544164F3" w14:textId="77777777" w:rsidR="00ED0E85" w:rsidRPr="000B5E5B" w:rsidRDefault="00ED0E85" w:rsidP="00ED0E85">
            <w:pPr>
              <w:pStyle w:val="TableDataColumnHeading"/>
              <w:jc w:val="left"/>
              <w:rPr>
                <w:lang w:val="en-GB"/>
              </w:rPr>
            </w:pPr>
          </w:p>
        </w:tc>
        <w:tc>
          <w:tcPr>
            <w:tcW w:w="698" w:type="dxa"/>
            <w:shd w:val="clear" w:color="auto" w:fill="6F6652"/>
            <w:tcMar>
              <w:left w:w="57" w:type="dxa"/>
              <w:right w:w="57" w:type="dxa"/>
            </w:tcMar>
          </w:tcPr>
          <w:p w14:paraId="6BCAAEF8" w14:textId="77777777" w:rsidR="00ED0E85" w:rsidRPr="000B5E5B" w:rsidRDefault="00ED0E85" w:rsidP="00ED0E85">
            <w:pPr>
              <w:pStyle w:val="TableDataColumnHeading"/>
              <w:rPr>
                <w:bCs/>
                <w:lang w:val="en-GB"/>
              </w:rPr>
            </w:pPr>
            <w:r w:rsidRPr="000B5E5B">
              <w:rPr>
                <w:bCs/>
                <w:lang w:val="en-GB"/>
              </w:rPr>
              <w:t>NSW</w:t>
            </w:r>
          </w:p>
        </w:tc>
        <w:tc>
          <w:tcPr>
            <w:tcW w:w="698" w:type="dxa"/>
            <w:shd w:val="clear" w:color="auto" w:fill="6F6652"/>
            <w:tcMar>
              <w:left w:w="57" w:type="dxa"/>
              <w:right w:w="57" w:type="dxa"/>
            </w:tcMar>
          </w:tcPr>
          <w:p w14:paraId="59A74120" w14:textId="77777777" w:rsidR="00ED0E85" w:rsidRPr="000B5E5B" w:rsidRDefault="00ED0E85" w:rsidP="00ED0E85">
            <w:pPr>
              <w:pStyle w:val="TableDataColumnHeading"/>
              <w:rPr>
                <w:bCs/>
                <w:lang w:val="en-GB"/>
              </w:rPr>
            </w:pPr>
            <w:r w:rsidRPr="000B5E5B">
              <w:rPr>
                <w:bCs/>
                <w:lang w:val="en-GB"/>
              </w:rPr>
              <w:t>Vic</w:t>
            </w:r>
          </w:p>
        </w:tc>
        <w:tc>
          <w:tcPr>
            <w:tcW w:w="698" w:type="dxa"/>
            <w:shd w:val="clear" w:color="auto" w:fill="6F6652"/>
            <w:tcMar>
              <w:left w:w="57" w:type="dxa"/>
              <w:right w:w="57" w:type="dxa"/>
            </w:tcMar>
          </w:tcPr>
          <w:p w14:paraId="007A4B29" w14:textId="77777777" w:rsidR="00ED0E85" w:rsidRPr="000B5E5B" w:rsidRDefault="00ED0E85" w:rsidP="00ED0E85">
            <w:pPr>
              <w:pStyle w:val="TableDataColumnHeading"/>
              <w:rPr>
                <w:bCs/>
                <w:lang w:val="en-GB"/>
              </w:rPr>
            </w:pPr>
            <w:r w:rsidRPr="000B5E5B">
              <w:rPr>
                <w:bCs/>
                <w:lang w:val="en-GB"/>
              </w:rPr>
              <w:t>Qld</w:t>
            </w:r>
          </w:p>
        </w:tc>
        <w:tc>
          <w:tcPr>
            <w:tcW w:w="698" w:type="dxa"/>
            <w:shd w:val="clear" w:color="auto" w:fill="6F6652"/>
            <w:tcMar>
              <w:left w:w="57" w:type="dxa"/>
              <w:right w:w="57" w:type="dxa"/>
            </w:tcMar>
          </w:tcPr>
          <w:p w14:paraId="6EA211E6" w14:textId="77777777" w:rsidR="00ED0E85" w:rsidRPr="000B5E5B" w:rsidRDefault="00ED0E85" w:rsidP="00ED0E85">
            <w:pPr>
              <w:pStyle w:val="TableDataColumnHeading"/>
              <w:rPr>
                <w:bCs/>
                <w:lang w:val="en-GB"/>
              </w:rPr>
            </w:pPr>
            <w:r w:rsidRPr="000B5E5B">
              <w:rPr>
                <w:bCs/>
                <w:lang w:val="en-GB"/>
              </w:rPr>
              <w:t>WA</w:t>
            </w:r>
          </w:p>
        </w:tc>
        <w:tc>
          <w:tcPr>
            <w:tcW w:w="698" w:type="dxa"/>
            <w:shd w:val="clear" w:color="auto" w:fill="6F6652"/>
            <w:tcMar>
              <w:left w:w="57" w:type="dxa"/>
              <w:right w:w="57" w:type="dxa"/>
            </w:tcMar>
          </w:tcPr>
          <w:p w14:paraId="5A9592A0" w14:textId="77777777" w:rsidR="00ED0E85" w:rsidRPr="000B5E5B" w:rsidRDefault="00ED0E85" w:rsidP="00ED0E85">
            <w:pPr>
              <w:pStyle w:val="TableDataColumnHeading"/>
              <w:rPr>
                <w:bCs/>
                <w:lang w:val="en-GB"/>
              </w:rPr>
            </w:pPr>
            <w:r w:rsidRPr="000B5E5B">
              <w:rPr>
                <w:bCs/>
                <w:lang w:val="en-GB"/>
              </w:rPr>
              <w:t>SA</w:t>
            </w:r>
          </w:p>
        </w:tc>
        <w:tc>
          <w:tcPr>
            <w:tcW w:w="698" w:type="dxa"/>
            <w:shd w:val="clear" w:color="auto" w:fill="6F6652"/>
            <w:tcMar>
              <w:left w:w="57" w:type="dxa"/>
              <w:right w:w="57" w:type="dxa"/>
            </w:tcMar>
          </w:tcPr>
          <w:p w14:paraId="3726E30F" w14:textId="77777777" w:rsidR="00ED0E85" w:rsidRPr="000B5E5B" w:rsidRDefault="00ED0E85" w:rsidP="00ED0E85">
            <w:pPr>
              <w:pStyle w:val="TableDataColumnHeading"/>
              <w:rPr>
                <w:bCs/>
                <w:lang w:val="en-GB"/>
              </w:rPr>
            </w:pPr>
            <w:r w:rsidRPr="000B5E5B">
              <w:rPr>
                <w:bCs/>
                <w:lang w:val="en-GB"/>
              </w:rPr>
              <w:t>Tas</w:t>
            </w:r>
          </w:p>
        </w:tc>
        <w:tc>
          <w:tcPr>
            <w:tcW w:w="698" w:type="dxa"/>
            <w:shd w:val="clear" w:color="auto" w:fill="6F6652"/>
            <w:tcMar>
              <w:left w:w="57" w:type="dxa"/>
              <w:right w:w="57" w:type="dxa"/>
            </w:tcMar>
          </w:tcPr>
          <w:p w14:paraId="69E1959B" w14:textId="77777777" w:rsidR="00ED0E85" w:rsidRPr="000B5E5B" w:rsidRDefault="00ED0E85" w:rsidP="00ED0E85">
            <w:pPr>
              <w:pStyle w:val="TableDataColumnHeading"/>
              <w:rPr>
                <w:bCs/>
                <w:lang w:val="en-GB"/>
              </w:rPr>
            </w:pPr>
            <w:r w:rsidRPr="000B5E5B">
              <w:rPr>
                <w:bCs/>
                <w:lang w:val="en-GB"/>
              </w:rPr>
              <w:t>ACT</w:t>
            </w:r>
          </w:p>
        </w:tc>
        <w:tc>
          <w:tcPr>
            <w:tcW w:w="698" w:type="dxa"/>
            <w:shd w:val="clear" w:color="auto" w:fill="6F6652"/>
            <w:tcMar>
              <w:left w:w="57" w:type="dxa"/>
              <w:right w:w="57" w:type="dxa"/>
            </w:tcMar>
          </w:tcPr>
          <w:p w14:paraId="0E354F60" w14:textId="77777777" w:rsidR="00ED0E85" w:rsidRPr="000B5E5B" w:rsidRDefault="00ED0E85" w:rsidP="00ED0E85">
            <w:pPr>
              <w:pStyle w:val="TableDataColumnHeading"/>
              <w:rPr>
                <w:bCs/>
                <w:lang w:val="en-GB"/>
              </w:rPr>
            </w:pPr>
            <w:r w:rsidRPr="000B5E5B">
              <w:rPr>
                <w:bCs/>
                <w:lang w:val="en-GB"/>
              </w:rPr>
              <w:t>NT</w:t>
            </w:r>
          </w:p>
        </w:tc>
        <w:tc>
          <w:tcPr>
            <w:tcW w:w="698" w:type="dxa"/>
            <w:shd w:val="clear" w:color="auto" w:fill="6F6652"/>
            <w:tcMar>
              <w:left w:w="57" w:type="dxa"/>
              <w:right w:w="57" w:type="dxa"/>
            </w:tcMar>
          </w:tcPr>
          <w:p w14:paraId="2E32D737" w14:textId="77777777" w:rsidR="00ED0E85" w:rsidRPr="000B5E5B" w:rsidRDefault="00ED0E85" w:rsidP="00ED0E85">
            <w:pPr>
              <w:pStyle w:val="TableDataColumnHeading"/>
              <w:rPr>
                <w:bCs/>
                <w:lang w:val="en-GB"/>
              </w:rPr>
            </w:pPr>
            <w:r w:rsidRPr="000B5E5B">
              <w:rPr>
                <w:bCs/>
                <w:lang w:val="en-GB"/>
              </w:rPr>
              <w:t>Total</w:t>
            </w:r>
          </w:p>
        </w:tc>
      </w:tr>
      <w:tr w:rsidR="00ED0E85" w14:paraId="2165E368" w14:textId="77777777" w:rsidTr="00ED0E85">
        <w:trPr>
          <w:trHeight w:val="230"/>
          <w:tblHeader/>
        </w:trPr>
        <w:tc>
          <w:tcPr>
            <w:tcW w:w="1652" w:type="dxa"/>
            <w:tcBorders>
              <w:bottom w:val="single" w:sz="8" w:space="0" w:color="FFFFFF" w:themeColor="background1"/>
            </w:tcBorders>
            <w:shd w:val="clear" w:color="auto" w:fill="auto"/>
            <w:tcMar>
              <w:left w:w="57" w:type="dxa"/>
              <w:right w:w="57" w:type="dxa"/>
            </w:tcMar>
          </w:tcPr>
          <w:p w14:paraId="47649C4F" w14:textId="77777777" w:rsidR="00ED0E85" w:rsidRDefault="00ED0E85" w:rsidP="00ED0E85">
            <w:pPr>
              <w:pStyle w:val="TableUnit"/>
              <w:jc w:val="left"/>
              <w:rPr>
                <w:lang w:val="en-GB"/>
              </w:rPr>
            </w:pPr>
          </w:p>
        </w:tc>
        <w:tc>
          <w:tcPr>
            <w:tcW w:w="698" w:type="dxa"/>
            <w:tcBorders>
              <w:bottom w:val="single" w:sz="8" w:space="0" w:color="FFFFFF" w:themeColor="background1"/>
            </w:tcBorders>
            <w:shd w:val="clear" w:color="auto" w:fill="auto"/>
            <w:tcMar>
              <w:left w:w="57" w:type="dxa"/>
              <w:right w:w="57" w:type="dxa"/>
            </w:tcMar>
          </w:tcPr>
          <w:p w14:paraId="79CD7004" w14:textId="77777777" w:rsidR="00ED0E85" w:rsidRDefault="00ED0E85" w:rsidP="00ED0E85">
            <w:pPr>
              <w:pStyle w:val="TableUnit"/>
              <w:rPr>
                <w:lang w:val="en-GB"/>
              </w:rPr>
            </w:pPr>
            <w:r>
              <w:rPr>
                <w:lang w:val="en-GB"/>
              </w:rPr>
              <w:t>$ million</w:t>
            </w:r>
          </w:p>
        </w:tc>
        <w:tc>
          <w:tcPr>
            <w:tcW w:w="698" w:type="dxa"/>
            <w:tcBorders>
              <w:bottom w:val="single" w:sz="8" w:space="0" w:color="FFFFFF" w:themeColor="background1"/>
            </w:tcBorders>
            <w:shd w:val="clear" w:color="auto" w:fill="auto"/>
            <w:tcMar>
              <w:left w:w="57" w:type="dxa"/>
              <w:right w:w="57" w:type="dxa"/>
            </w:tcMar>
          </w:tcPr>
          <w:p w14:paraId="594F4A2E" w14:textId="77777777" w:rsidR="00ED0E85" w:rsidRDefault="00ED0E85" w:rsidP="00ED0E85">
            <w:pPr>
              <w:pStyle w:val="TableUnit"/>
              <w:rPr>
                <w:lang w:val="en-GB"/>
              </w:rPr>
            </w:pPr>
            <w:r>
              <w:rPr>
                <w:lang w:val="en-GB"/>
              </w:rPr>
              <w:t>$ million</w:t>
            </w:r>
          </w:p>
        </w:tc>
        <w:tc>
          <w:tcPr>
            <w:tcW w:w="698" w:type="dxa"/>
            <w:tcBorders>
              <w:bottom w:val="single" w:sz="8" w:space="0" w:color="FFFFFF" w:themeColor="background1"/>
            </w:tcBorders>
            <w:shd w:val="clear" w:color="auto" w:fill="auto"/>
            <w:tcMar>
              <w:left w:w="57" w:type="dxa"/>
              <w:right w:w="57" w:type="dxa"/>
            </w:tcMar>
          </w:tcPr>
          <w:p w14:paraId="51DDA2F2" w14:textId="77777777" w:rsidR="00ED0E85" w:rsidRDefault="00ED0E85" w:rsidP="00ED0E85">
            <w:pPr>
              <w:pStyle w:val="TableUnit"/>
              <w:rPr>
                <w:lang w:val="en-GB"/>
              </w:rPr>
            </w:pPr>
            <w:r>
              <w:rPr>
                <w:lang w:val="en-GB"/>
              </w:rPr>
              <w:t>$ million</w:t>
            </w:r>
          </w:p>
        </w:tc>
        <w:tc>
          <w:tcPr>
            <w:tcW w:w="698" w:type="dxa"/>
            <w:tcBorders>
              <w:bottom w:val="single" w:sz="8" w:space="0" w:color="FFFFFF" w:themeColor="background1"/>
            </w:tcBorders>
            <w:shd w:val="clear" w:color="auto" w:fill="auto"/>
            <w:tcMar>
              <w:left w:w="57" w:type="dxa"/>
              <w:right w:w="57" w:type="dxa"/>
            </w:tcMar>
          </w:tcPr>
          <w:p w14:paraId="3EC10EC2" w14:textId="77777777" w:rsidR="00ED0E85" w:rsidRDefault="00ED0E85" w:rsidP="00ED0E85">
            <w:pPr>
              <w:pStyle w:val="TableUnit"/>
              <w:rPr>
                <w:lang w:val="en-GB"/>
              </w:rPr>
            </w:pPr>
            <w:r>
              <w:rPr>
                <w:lang w:val="en-GB"/>
              </w:rPr>
              <w:t>$ million</w:t>
            </w:r>
          </w:p>
        </w:tc>
        <w:tc>
          <w:tcPr>
            <w:tcW w:w="698" w:type="dxa"/>
            <w:tcBorders>
              <w:bottom w:val="single" w:sz="8" w:space="0" w:color="FFFFFF" w:themeColor="background1"/>
            </w:tcBorders>
            <w:shd w:val="clear" w:color="auto" w:fill="auto"/>
            <w:tcMar>
              <w:left w:w="57" w:type="dxa"/>
              <w:right w:w="57" w:type="dxa"/>
            </w:tcMar>
          </w:tcPr>
          <w:p w14:paraId="0F5FF116" w14:textId="77777777" w:rsidR="00ED0E85" w:rsidRDefault="00ED0E85" w:rsidP="00ED0E85">
            <w:pPr>
              <w:pStyle w:val="TableUnit"/>
              <w:rPr>
                <w:lang w:val="en-GB"/>
              </w:rPr>
            </w:pPr>
            <w:r>
              <w:rPr>
                <w:lang w:val="en-GB"/>
              </w:rPr>
              <w:t>$ million</w:t>
            </w:r>
          </w:p>
        </w:tc>
        <w:tc>
          <w:tcPr>
            <w:tcW w:w="698" w:type="dxa"/>
            <w:tcBorders>
              <w:bottom w:val="single" w:sz="8" w:space="0" w:color="FFFFFF" w:themeColor="background1"/>
            </w:tcBorders>
            <w:shd w:val="clear" w:color="auto" w:fill="auto"/>
            <w:tcMar>
              <w:left w:w="57" w:type="dxa"/>
              <w:right w:w="57" w:type="dxa"/>
            </w:tcMar>
          </w:tcPr>
          <w:p w14:paraId="6EB08CD7" w14:textId="77777777" w:rsidR="00ED0E85" w:rsidRDefault="00ED0E85" w:rsidP="00ED0E85">
            <w:pPr>
              <w:pStyle w:val="TableUnit"/>
              <w:rPr>
                <w:lang w:val="en-GB"/>
              </w:rPr>
            </w:pPr>
            <w:r>
              <w:rPr>
                <w:lang w:val="en-GB"/>
              </w:rPr>
              <w:t>$ million</w:t>
            </w:r>
          </w:p>
        </w:tc>
        <w:tc>
          <w:tcPr>
            <w:tcW w:w="698" w:type="dxa"/>
            <w:tcBorders>
              <w:bottom w:val="single" w:sz="8" w:space="0" w:color="FFFFFF" w:themeColor="background1"/>
            </w:tcBorders>
            <w:shd w:val="clear" w:color="auto" w:fill="auto"/>
            <w:tcMar>
              <w:left w:w="57" w:type="dxa"/>
              <w:right w:w="57" w:type="dxa"/>
            </w:tcMar>
          </w:tcPr>
          <w:p w14:paraId="0618089F" w14:textId="77777777" w:rsidR="00ED0E85" w:rsidRDefault="00ED0E85" w:rsidP="00ED0E85">
            <w:pPr>
              <w:pStyle w:val="TableUnit"/>
              <w:rPr>
                <w:lang w:val="en-GB"/>
              </w:rPr>
            </w:pPr>
            <w:r>
              <w:rPr>
                <w:lang w:val="en-GB"/>
              </w:rPr>
              <w:t>$ million</w:t>
            </w:r>
          </w:p>
        </w:tc>
        <w:tc>
          <w:tcPr>
            <w:tcW w:w="698" w:type="dxa"/>
            <w:tcBorders>
              <w:bottom w:val="single" w:sz="8" w:space="0" w:color="FFFFFF" w:themeColor="background1"/>
            </w:tcBorders>
            <w:shd w:val="clear" w:color="auto" w:fill="auto"/>
            <w:tcMar>
              <w:left w:w="57" w:type="dxa"/>
              <w:right w:w="57" w:type="dxa"/>
            </w:tcMar>
          </w:tcPr>
          <w:p w14:paraId="630F809E" w14:textId="77777777" w:rsidR="00ED0E85" w:rsidRDefault="00ED0E85" w:rsidP="00ED0E85">
            <w:pPr>
              <w:pStyle w:val="TableUnit"/>
              <w:rPr>
                <w:lang w:val="en-GB"/>
              </w:rPr>
            </w:pPr>
            <w:r>
              <w:rPr>
                <w:lang w:val="en-GB"/>
              </w:rPr>
              <w:t>$ million</w:t>
            </w:r>
          </w:p>
        </w:tc>
        <w:tc>
          <w:tcPr>
            <w:tcW w:w="698" w:type="dxa"/>
            <w:tcBorders>
              <w:bottom w:val="single" w:sz="8" w:space="0" w:color="FFFFFF" w:themeColor="background1"/>
            </w:tcBorders>
            <w:shd w:val="clear" w:color="auto" w:fill="auto"/>
            <w:tcMar>
              <w:left w:w="57" w:type="dxa"/>
              <w:right w:w="57" w:type="dxa"/>
            </w:tcMar>
          </w:tcPr>
          <w:p w14:paraId="64C62AD4" w14:textId="77777777" w:rsidR="00ED0E85" w:rsidRDefault="00ED0E85" w:rsidP="00ED0E85">
            <w:pPr>
              <w:pStyle w:val="TableUnit"/>
              <w:rPr>
                <w:lang w:val="en-GB"/>
              </w:rPr>
            </w:pPr>
            <w:r>
              <w:rPr>
                <w:lang w:val="en-GB"/>
              </w:rPr>
              <w:t>$ million</w:t>
            </w:r>
          </w:p>
        </w:tc>
      </w:tr>
      <w:tr w:rsidR="00ED0E85" w14:paraId="7592D81A" w14:textId="77777777" w:rsidTr="00ED0E85">
        <w:trPr>
          <w:trHeight w:val="269"/>
        </w:trPr>
        <w:tc>
          <w:tcPr>
            <w:tcW w:w="7934" w:type="dxa"/>
            <w:gridSpan w:val="10"/>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CD1BED5" w14:textId="77777777" w:rsidR="00ED0E85" w:rsidRDefault="00ED0E85" w:rsidP="00ED0E85">
            <w:pPr>
              <w:pStyle w:val="TableHeading1"/>
              <w:rPr>
                <w:lang w:val="en-GB"/>
              </w:rPr>
            </w:pPr>
            <w:r>
              <w:rPr>
                <w:lang w:val="en-GB"/>
              </w:rPr>
              <w:t>CBD Program - original design</w:t>
            </w:r>
          </w:p>
        </w:tc>
      </w:tr>
      <w:tr w:rsidR="00ED0E85" w14:paraId="7F9915F6"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795EC6" w14:textId="77777777" w:rsidR="00ED0E85" w:rsidRDefault="00ED0E85" w:rsidP="00ED0E85">
            <w:pPr>
              <w:pStyle w:val="TableHeading2"/>
              <w:rPr>
                <w:lang w:val="en-GB"/>
              </w:rPr>
            </w:pPr>
            <w:r>
              <w:rPr>
                <w:lang w:val="en-GB"/>
              </w:rPr>
              <w:t>Private benefits/costs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359930" w14:textId="77777777" w:rsidR="00ED0E85" w:rsidRDefault="00ED0E85" w:rsidP="00ED0E85">
            <w:pPr>
              <w:pStyle w:val="TableHeading2"/>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429650" w14:textId="77777777" w:rsidR="00ED0E85" w:rsidRDefault="00ED0E85" w:rsidP="00ED0E85">
            <w:pPr>
              <w:pStyle w:val="TableHeading2"/>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8D46AA" w14:textId="77777777" w:rsidR="00ED0E85" w:rsidRDefault="00ED0E85" w:rsidP="00ED0E85">
            <w:pPr>
              <w:pStyle w:val="TableHeading2"/>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DCCC2A" w14:textId="77777777" w:rsidR="00ED0E85" w:rsidRDefault="00ED0E85" w:rsidP="00ED0E85">
            <w:pPr>
              <w:pStyle w:val="TableHeading2"/>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912A04" w14:textId="77777777" w:rsidR="00ED0E85" w:rsidRDefault="00ED0E85" w:rsidP="00ED0E85">
            <w:pPr>
              <w:pStyle w:val="TableHeading2"/>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05D596" w14:textId="77777777" w:rsidR="00ED0E85" w:rsidRDefault="00ED0E85" w:rsidP="00ED0E85">
            <w:pPr>
              <w:pStyle w:val="TableHeading2"/>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DFB82D" w14:textId="77777777" w:rsidR="00ED0E85" w:rsidRDefault="00ED0E85" w:rsidP="00ED0E85">
            <w:pPr>
              <w:pStyle w:val="TableHeading2"/>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A98AA4" w14:textId="77777777" w:rsidR="00ED0E85" w:rsidRDefault="00ED0E85" w:rsidP="00ED0E85">
            <w:pPr>
              <w:pStyle w:val="TableHeading2"/>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386576" w14:textId="77777777" w:rsidR="00ED0E85" w:rsidRDefault="00ED0E85" w:rsidP="00ED0E85">
            <w:pPr>
              <w:pStyle w:val="TableHeading2"/>
              <w:rPr>
                <w:lang w:val="en-GB"/>
              </w:rPr>
            </w:pPr>
          </w:p>
        </w:tc>
      </w:tr>
      <w:tr w:rsidR="00ED0E85" w14:paraId="104011CF"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EC841E" w14:textId="77777777" w:rsidR="00ED0E85" w:rsidRDefault="00ED0E85" w:rsidP="00ED0E85">
            <w:pPr>
              <w:pStyle w:val="TableDataEntries"/>
              <w:jc w:val="left"/>
              <w:rPr>
                <w:lang w:val="en-GB"/>
              </w:rPr>
            </w:pPr>
            <w:r>
              <w:rPr>
                <w:lang w:val="en-GB"/>
              </w:rPr>
              <w:t>Electricity savings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2952F37" w14:textId="77777777" w:rsidR="00ED0E85" w:rsidRDefault="00ED0E85" w:rsidP="00ED0E85">
            <w:pPr>
              <w:pStyle w:val="TableDataEntries"/>
              <w:rPr>
                <w:lang w:val="en-GB"/>
              </w:rPr>
            </w:pPr>
            <w:r>
              <w:t xml:space="preserve"> 27.81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0413349" w14:textId="77777777" w:rsidR="00ED0E85" w:rsidRDefault="00ED0E85" w:rsidP="00ED0E85">
            <w:pPr>
              <w:pStyle w:val="TableDataEntries"/>
              <w:rPr>
                <w:lang w:val="en-GB"/>
              </w:rPr>
            </w:pPr>
            <w:r>
              <w:t xml:space="preserve"> 31.35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0595D5A" w14:textId="77777777" w:rsidR="00ED0E85" w:rsidRDefault="00ED0E85" w:rsidP="00ED0E85">
            <w:pPr>
              <w:pStyle w:val="TableDataEntries"/>
              <w:rPr>
                <w:lang w:val="en-GB"/>
              </w:rPr>
            </w:pPr>
            <w:r>
              <w:t xml:space="preserve"> 19.40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5EF37A" w14:textId="77777777" w:rsidR="00ED0E85" w:rsidRDefault="00ED0E85" w:rsidP="00ED0E85">
            <w:pPr>
              <w:pStyle w:val="TableDataEntries"/>
              <w:rPr>
                <w:lang w:val="en-GB"/>
              </w:rPr>
            </w:pPr>
            <w:r>
              <w:t xml:space="preserve"> 11.83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8AF687D" w14:textId="77777777" w:rsidR="00ED0E85" w:rsidRDefault="00ED0E85" w:rsidP="00ED0E85">
            <w:pPr>
              <w:pStyle w:val="TableDataEntries"/>
              <w:rPr>
                <w:lang w:val="en-GB"/>
              </w:rPr>
            </w:pPr>
            <w:r>
              <w:t xml:space="preserve"> 3.20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C483CBB" w14:textId="77777777" w:rsidR="00ED0E85" w:rsidRDefault="00ED0E85" w:rsidP="00ED0E85">
            <w:pPr>
              <w:pStyle w:val="TableDataEntries"/>
              <w:rPr>
                <w:lang w:val="en-GB"/>
              </w:rPr>
            </w:pPr>
            <w:r>
              <w:t>- 7.31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A4EAA0E" w14:textId="77777777" w:rsidR="00ED0E85" w:rsidRDefault="00ED0E85" w:rsidP="00ED0E85">
            <w:pPr>
              <w:pStyle w:val="TableDataEntries"/>
              <w:rPr>
                <w:lang w:val="en-GB"/>
              </w:rPr>
            </w:pPr>
            <w:r>
              <w:t xml:space="preserve"> 2.85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DE7F94" w14:textId="77777777" w:rsidR="00ED0E85" w:rsidRDefault="00ED0E85" w:rsidP="00ED0E85">
            <w:pPr>
              <w:pStyle w:val="TableDataEntries"/>
              <w:rPr>
                <w:lang w:val="en-GB"/>
              </w:rPr>
            </w:pPr>
            <w:r>
              <w:t xml:space="preserve"> 0.61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0D115DA" w14:textId="77777777" w:rsidR="00ED0E85" w:rsidRDefault="00ED0E85" w:rsidP="00ED0E85">
            <w:pPr>
              <w:pStyle w:val="TableDataEntries"/>
              <w:rPr>
                <w:lang w:val="en-GB"/>
              </w:rPr>
            </w:pPr>
            <w:r>
              <w:t xml:space="preserve"> 89.74</w:t>
            </w:r>
          </w:p>
        </w:tc>
      </w:tr>
      <w:tr w:rsidR="00ED0E85" w14:paraId="365DCA65"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F7DBDD" w14:textId="77777777" w:rsidR="00ED0E85" w:rsidRDefault="00ED0E85" w:rsidP="00ED0E85">
            <w:pPr>
              <w:pStyle w:val="TableDataEntries"/>
              <w:jc w:val="left"/>
              <w:rPr>
                <w:lang w:val="en-GB"/>
              </w:rPr>
            </w:pPr>
            <w:r>
              <w:rPr>
                <w:lang w:val="en-GB"/>
              </w:rPr>
              <w:t>Gas savings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3BA6076" w14:textId="77777777" w:rsidR="00ED0E85" w:rsidRDefault="00ED0E85" w:rsidP="00ED0E85">
            <w:pPr>
              <w:pStyle w:val="TableDataEntries"/>
              <w:rPr>
                <w:lang w:val="en-GB"/>
              </w:rPr>
            </w:pPr>
            <w:r>
              <w:t xml:space="preserve"> 15.24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0136B08" w14:textId="77777777" w:rsidR="00ED0E85" w:rsidRDefault="00ED0E85" w:rsidP="00ED0E85">
            <w:pPr>
              <w:pStyle w:val="TableDataEntries"/>
              <w:rPr>
                <w:lang w:val="en-GB"/>
              </w:rPr>
            </w:pPr>
            <w:r>
              <w:t xml:space="preserve"> 8.80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3FDD56A" w14:textId="77777777" w:rsidR="00ED0E85" w:rsidRDefault="00ED0E85" w:rsidP="00ED0E85">
            <w:pPr>
              <w:pStyle w:val="TableDataEntries"/>
              <w:rPr>
                <w:lang w:val="en-GB"/>
              </w:rPr>
            </w:pPr>
            <w:r>
              <w:t xml:space="preserve"> 11.33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BF13699" w14:textId="77777777" w:rsidR="00ED0E85" w:rsidRDefault="00ED0E85" w:rsidP="00ED0E85">
            <w:pPr>
              <w:pStyle w:val="TableDataEntries"/>
              <w:rPr>
                <w:lang w:val="en-GB"/>
              </w:rPr>
            </w:pPr>
            <w:r>
              <w:t xml:space="preserve"> 2.10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FC8656B" w14:textId="77777777" w:rsidR="00ED0E85" w:rsidRDefault="00ED0E85" w:rsidP="00ED0E85">
            <w:pPr>
              <w:pStyle w:val="TableDataEntries"/>
              <w:rPr>
                <w:lang w:val="en-GB"/>
              </w:rPr>
            </w:pPr>
            <w:r>
              <w:t xml:space="preserve"> 1.82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5E7B1E8" w14:textId="77777777" w:rsidR="00ED0E85" w:rsidRDefault="00ED0E85" w:rsidP="00ED0E85">
            <w:pPr>
              <w:pStyle w:val="TableDataEntries"/>
              <w:rPr>
                <w:lang w:val="en-GB"/>
              </w:rPr>
            </w:pPr>
            <w:r>
              <w:t xml:space="preserve"> 6.62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4A0EAD2" w14:textId="77777777" w:rsidR="00ED0E85" w:rsidRDefault="00ED0E85" w:rsidP="00ED0E85">
            <w:pPr>
              <w:pStyle w:val="TableDataEntries"/>
              <w:rPr>
                <w:lang w:val="en-GB"/>
              </w:rPr>
            </w:pPr>
            <w:r>
              <w:t xml:space="preserve"> 2.85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5D5674" w14:textId="77777777" w:rsidR="00ED0E85" w:rsidRDefault="00ED0E85" w:rsidP="00ED0E85">
            <w:pPr>
              <w:pStyle w:val="TableDataEntries"/>
              <w:rPr>
                <w:lang w:val="en-GB"/>
              </w:rPr>
            </w:pPr>
            <w:r>
              <w:t xml:space="preserve"> 0.27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3CA63A6" w14:textId="77777777" w:rsidR="00ED0E85" w:rsidRDefault="00ED0E85" w:rsidP="00ED0E85">
            <w:pPr>
              <w:pStyle w:val="TableDataEntries"/>
              <w:rPr>
                <w:lang w:val="en-GB"/>
              </w:rPr>
            </w:pPr>
            <w:r>
              <w:t xml:space="preserve"> 49.04</w:t>
            </w:r>
          </w:p>
        </w:tc>
      </w:tr>
      <w:tr w:rsidR="00ED0E85" w14:paraId="1D7F289F"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2A5E88" w14:textId="77777777" w:rsidR="00ED0E85" w:rsidRDefault="00ED0E85" w:rsidP="00ED0E85">
            <w:pPr>
              <w:pStyle w:val="TableDataEntries"/>
              <w:jc w:val="left"/>
              <w:rPr>
                <w:lang w:val="en-GB"/>
              </w:rPr>
            </w:pPr>
            <w:r>
              <w:rPr>
                <w:lang w:val="en-GB"/>
              </w:rPr>
              <w:t>Upgrade 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F795914" w14:textId="77777777" w:rsidR="00ED0E85" w:rsidRDefault="00ED0E85" w:rsidP="00ED0E85">
            <w:pPr>
              <w:pStyle w:val="TableDataEntries"/>
              <w:rPr>
                <w:lang w:val="en-GB"/>
              </w:rPr>
            </w:pPr>
            <w:r>
              <w:t>- 21.93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5B2DA8" w14:textId="77777777" w:rsidR="00ED0E85" w:rsidRDefault="00ED0E85" w:rsidP="00ED0E85">
            <w:pPr>
              <w:pStyle w:val="TableDataEntries"/>
              <w:rPr>
                <w:lang w:val="en-GB"/>
              </w:rPr>
            </w:pPr>
            <w:r>
              <w:t>- 19.36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DF35442" w14:textId="77777777" w:rsidR="00ED0E85" w:rsidRDefault="00ED0E85" w:rsidP="00ED0E85">
            <w:pPr>
              <w:pStyle w:val="TableDataEntries"/>
              <w:rPr>
                <w:lang w:val="en-GB"/>
              </w:rPr>
            </w:pPr>
            <w:r>
              <w:t>- 13.33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AF433BB" w14:textId="77777777" w:rsidR="00ED0E85" w:rsidRDefault="00ED0E85" w:rsidP="00ED0E85">
            <w:pPr>
              <w:pStyle w:val="TableDataEntries"/>
              <w:rPr>
                <w:lang w:val="en-GB"/>
              </w:rPr>
            </w:pPr>
            <w:r>
              <w:t>- 6.41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57158EA" w14:textId="77777777" w:rsidR="00ED0E85" w:rsidRDefault="00ED0E85" w:rsidP="00ED0E85">
            <w:pPr>
              <w:pStyle w:val="TableDataEntries"/>
              <w:rPr>
                <w:lang w:val="en-GB"/>
              </w:rPr>
            </w:pPr>
            <w:r>
              <w:t>- 2.42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86CC388" w14:textId="77777777" w:rsidR="00ED0E85" w:rsidRDefault="00ED0E85" w:rsidP="00ED0E85">
            <w:pPr>
              <w:pStyle w:val="TableDataEntries"/>
              <w:rPr>
                <w:lang w:val="en-GB"/>
              </w:rPr>
            </w:pPr>
            <w:r>
              <w:t>- 0.28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95E690" w14:textId="77777777" w:rsidR="00ED0E85" w:rsidRDefault="00ED0E85" w:rsidP="00ED0E85">
            <w:pPr>
              <w:pStyle w:val="TableDataEntries"/>
              <w:rPr>
                <w:lang w:val="en-GB"/>
              </w:rPr>
            </w:pPr>
            <w:r>
              <w:t>- 3.82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4BAF7F5" w14:textId="77777777" w:rsidR="00ED0E85" w:rsidRDefault="00ED0E85" w:rsidP="00ED0E85">
            <w:pPr>
              <w:pStyle w:val="TableDataEntries"/>
              <w:rPr>
                <w:lang w:val="en-GB"/>
              </w:rPr>
            </w:pPr>
            <w:r>
              <w:t>- 0.52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3C73D15" w14:textId="77777777" w:rsidR="00ED0E85" w:rsidRDefault="00ED0E85" w:rsidP="00ED0E85">
            <w:pPr>
              <w:pStyle w:val="TableDataEntries"/>
              <w:rPr>
                <w:lang w:val="en-GB"/>
              </w:rPr>
            </w:pPr>
            <w:r>
              <w:t>- 68.07</w:t>
            </w:r>
          </w:p>
        </w:tc>
      </w:tr>
      <w:tr w:rsidR="00ED0E85" w14:paraId="7418D7BB"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461502" w14:textId="77777777" w:rsidR="00ED0E85" w:rsidRDefault="00ED0E85" w:rsidP="00ED0E85">
            <w:pPr>
              <w:pStyle w:val="TableDataEntries"/>
              <w:jc w:val="left"/>
              <w:rPr>
                <w:lang w:val="en-GB"/>
              </w:rPr>
            </w:pPr>
            <w:r>
              <w:rPr>
                <w:lang w:val="en-GB"/>
              </w:rPr>
              <w:t>Compliance costs - NABERS ratings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5A0BEE0" w14:textId="77777777" w:rsidR="00ED0E85" w:rsidRDefault="00ED0E85" w:rsidP="00ED0E85">
            <w:pPr>
              <w:pStyle w:val="TableDataEntries"/>
              <w:rPr>
                <w:lang w:val="en-GB"/>
              </w:rPr>
            </w:pPr>
            <w:r>
              <w:t>- 8.98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2C76659" w14:textId="77777777" w:rsidR="00ED0E85" w:rsidRDefault="00ED0E85" w:rsidP="00ED0E85">
            <w:pPr>
              <w:pStyle w:val="TableDataEntries"/>
              <w:rPr>
                <w:lang w:val="en-GB"/>
              </w:rPr>
            </w:pPr>
            <w:r>
              <w:t>- 6.23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6AE4F67" w14:textId="77777777" w:rsidR="00ED0E85" w:rsidRDefault="00ED0E85" w:rsidP="00ED0E85">
            <w:pPr>
              <w:pStyle w:val="TableDataEntries"/>
              <w:rPr>
                <w:lang w:val="en-GB"/>
              </w:rPr>
            </w:pPr>
            <w:r>
              <w:t>- 5.28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82911EA" w14:textId="77777777" w:rsidR="00ED0E85" w:rsidRDefault="00ED0E85" w:rsidP="00ED0E85">
            <w:pPr>
              <w:pStyle w:val="TableDataEntries"/>
              <w:rPr>
                <w:lang w:val="en-GB"/>
              </w:rPr>
            </w:pPr>
            <w:r>
              <w:t>- 2.98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AA0FC45" w14:textId="77777777" w:rsidR="00ED0E85" w:rsidRDefault="00ED0E85" w:rsidP="00ED0E85">
            <w:pPr>
              <w:pStyle w:val="TableDataEntries"/>
              <w:rPr>
                <w:lang w:val="en-GB"/>
              </w:rPr>
            </w:pPr>
            <w:r>
              <w:t>- 1.34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FAE119" w14:textId="77777777" w:rsidR="00ED0E85" w:rsidRDefault="00ED0E85" w:rsidP="00ED0E85">
            <w:pPr>
              <w:pStyle w:val="TableDataEntries"/>
              <w:rPr>
                <w:lang w:val="en-GB"/>
              </w:rPr>
            </w:pPr>
            <w:r>
              <w:t>- 0.55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F9A43A4" w14:textId="77777777" w:rsidR="00ED0E85" w:rsidRDefault="00ED0E85" w:rsidP="00ED0E85">
            <w:pPr>
              <w:pStyle w:val="TableDataEntries"/>
              <w:rPr>
                <w:lang w:val="en-GB"/>
              </w:rPr>
            </w:pPr>
            <w:r>
              <w:t>- 1.73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C21AFF7" w14:textId="77777777" w:rsidR="00ED0E85" w:rsidRDefault="00ED0E85" w:rsidP="00ED0E85">
            <w:pPr>
              <w:pStyle w:val="TableDataEntries"/>
              <w:rPr>
                <w:lang w:val="en-GB"/>
              </w:rPr>
            </w:pPr>
            <w:r>
              <w:t>- 0.45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36851DA" w14:textId="77777777" w:rsidR="00ED0E85" w:rsidRDefault="00ED0E85" w:rsidP="00ED0E85">
            <w:pPr>
              <w:pStyle w:val="TableDataEntries"/>
              <w:rPr>
                <w:lang w:val="en-GB"/>
              </w:rPr>
            </w:pPr>
            <w:r>
              <w:t>- 27.54</w:t>
            </w:r>
          </w:p>
        </w:tc>
      </w:tr>
      <w:tr w:rsidR="00ED0E85" w14:paraId="20C0CAA5"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192255" w14:textId="77777777" w:rsidR="00ED0E85" w:rsidRDefault="00ED0E85" w:rsidP="00ED0E85">
            <w:pPr>
              <w:pStyle w:val="TableDataEntries"/>
              <w:jc w:val="left"/>
              <w:rPr>
                <w:lang w:val="en-GB"/>
              </w:rPr>
            </w:pPr>
            <w:r>
              <w:rPr>
                <w:lang w:val="en-GB"/>
              </w:rPr>
              <w:t>Compliance costs - TLAs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7470B64" w14:textId="77777777" w:rsidR="00ED0E85" w:rsidRDefault="00ED0E85" w:rsidP="00ED0E85">
            <w:pPr>
              <w:pStyle w:val="TableDataEntries"/>
              <w:rPr>
                <w:lang w:val="en-GB"/>
              </w:rPr>
            </w:pPr>
            <w:r>
              <w:t>- 3.38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B8CE68C" w14:textId="77777777" w:rsidR="00ED0E85" w:rsidRDefault="00ED0E85" w:rsidP="00ED0E85">
            <w:pPr>
              <w:pStyle w:val="TableDataEntries"/>
              <w:rPr>
                <w:lang w:val="en-GB"/>
              </w:rPr>
            </w:pPr>
            <w:r>
              <w:t>- 1.66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775865D" w14:textId="77777777" w:rsidR="00ED0E85" w:rsidRDefault="00ED0E85" w:rsidP="00ED0E85">
            <w:pPr>
              <w:pStyle w:val="TableDataEntries"/>
              <w:rPr>
                <w:lang w:val="en-GB"/>
              </w:rPr>
            </w:pPr>
            <w:r>
              <w:t>- 1.30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2B08138" w14:textId="77777777" w:rsidR="00ED0E85" w:rsidRDefault="00ED0E85" w:rsidP="00ED0E85">
            <w:pPr>
              <w:pStyle w:val="TableDataEntries"/>
              <w:rPr>
                <w:lang w:val="en-GB"/>
              </w:rPr>
            </w:pPr>
            <w:r>
              <w:t>- 0.84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859F63E" w14:textId="77777777" w:rsidR="00ED0E85" w:rsidRDefault="00ED0E85" w:rsidP="00ED0E85">
            <w:pPr>
              <w:pStyle w:val="TableDataEntries"/>
              <w:rPr>
                <w:lang w:val="en-GB"/>
              </w:rPr>
            </w:pPr>
            <w:r>
              <w:t>- 0.39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E488B81" w14:textId="77777777" w:rsidR="00ED0E85" w:rsidRDefault="00ED0E85" w:rsidP="00ED0E85">
            <w:pPr>
              <w:pStyle w:val="TableDataEntries"/>
              <w:rPr>
                <w:lang w:val="en-GB"/>
              </w:rPr>
            </w:pPr>
            <w:r>
              <w:t>- 0.07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01CABAE" w14:textId="77777777" w:rsidR="00ED0E85" w:rsidRDefault="00ED0E85" w:rsidP="00ED0E85">
            <w:pPr>
              <w:pStyle w:val="TableDataEntries"/>
              <w:rPr>
                <w:lang w:val="en-GB"/>
              </w:rPr>
            </w:pPr>
            <w:r>
              <w:t>- 0.50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F3078F" w14:textId="77777777" w:rsidR="00ED0E85" w:rsidRDefault="00ED0E85" w:rsidP="00ED0E85">
            <w:pPr>
              <w:pStyle w:val="TableDataEntries"/>
              <w:rPr>
                <w:lang w:val="en-GB"/>
              </w:rPr>
            </w:pPr>
            <w:r>
              <w:t>- 0.05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475A828" w14:textId="77777777" w:rsidR="00ED0E85" w:rsidRDefault="00ED0E85" w:rsidP="00ED0E85">
            <w:pPr>
              <w:pStyle w:val="TableDataEntries"/>
              <w:rPr>
                <w:lang w:val="en-GB"/>
              </w:rPr>
            </w:pPr>
            <w:r>
              <w:t>- 8.19</w:t>
            </w:r>
          </w:p>
        </w:tc>
      </w:tr>
      <w:tr w:rsidR="00ED0E85" w:rsidRPr="001540E1" w14:paraId="1F3F518A"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2AD3B1" w14:textId="77777777" w:rsidR="00ED0E85" w:rsidRPr="001540E1" w:rsidRDefault="00ED0E85" w:rsidP="00ED0E85">
            <w:pPr>
              <w:pStyle w:val="TableDataEntries"/>
              <w:jc w:val="left"/>
              <w:rPr>
                <w:rFonts w:ascii="Franklin Gothic Demi" w:hAnsi="Franklin Gothic Demi"/>
                <w:lang w:val="en-GB"/>
              </w:rPr>
            </w:pPr>
            <w:r w:rsidRPr="001540E1">
              <w:rPr>
                <w:rFonts w:ascii="Franklin Gothic Demi" w:hAnsi="Franklin Gothic Demi"/>
                <w:lang w:val="en-GB"/>
              </w:rPr>
              <w:t>Net private benefits/costs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907E62C"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xml:space="preserve"> 8.77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15FAA7"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xml:space="preserve"> 12.91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93DBC40"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xml:space="preserve"> 10.82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06BA615"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xml:space="preserve"> 3.69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CCF74BA"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xml:space="preserve"> 0.87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DBE0292"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- 1.59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7596BF"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- 0.35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324F308"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- 0.14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B8C44FD"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xml:space="preserve"> 34.98</w:t>
            </w:r>
          </w:p>
        </w:tc>
      </w:tr>
      <w:tr w:rsidR="00ED0E85" w14:paraId="0426E24C"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27D460" w14:textId="77777777" w:rsidR="00ED0E85" w:rsidRDefault="00ED0E85" w:rsidP="00ED0E85">
            <w:pPr>
              <w:pStyle w:val="TableHeading2"/>
              <w:rPr>
                <w:lang w:val="en-GB"/>
              </w:rPr>
            </w:pPr>
            <w:r>
              <w:rPr>
                <w:lang w:val="en-GB"/>
              </w:rPr>
              <w:t>Other benefits/costs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20B5E63"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930CAF1"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E64442"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D58778"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BAEB39"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6DEC160"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AAD4747"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49472F7"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E0B5775" w14:textId="77777777" w:rsidR="00ED0E85" w:rsidRDefault="00ED0E85" w:rsidP="00ED0E85">
            <w:pPr>
              <w:pStyle w:val="TableDataEntries"/>
              <w:rPr>
                <w:lang w:val="en-GB"/>
              </w:rPr>
            </w:pPr>
          </w:p>
        </w:tc>
      </w:tr>
      <w:tr w:rsidR="00ED0E85" w14:paraId="1939D072"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C43953" w14:textId="77777777" w:rsidR="00ED0E85" w:rsidRDefault="00ED0E85" w:rsidP="00ED0E85">
            <w:pPr>
              <w:pStyle w:val="TableDataEntries"/>
              <w:jc w:val="left"/>
              <w:rPr>
                <w:lang w:val="en-GB"/>
              </w:rPr>
            </w:pPr>
            <w:r>
              <w:rPr>
                <w:lang w:val="en-GB"/>
              </w:rPr>
              <w:t>GHG emissions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CD81C71" w14:textId="77777777" w:rsidR="00ED0E85" w:rsidRDefault="00ED0E85" w:rsidP="00ED0E85">
            <w:pPr>
              <w:pStyle w:val="TableDataEntries"/>
              <w:rPr>
                <w:lang w:val="en-GB"/>
              </w:rPr>
            </w:pPr>
            <w:r>
              <w:t xml:space="preserve"> 18.90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9C7D51F" w14:textId="77777777" w:rsidR="00ED0E85" w:rsidRDefault="00ED0E85" w:rsidP="00ED0E85">
            <w:pPr>
              <w:pStyle w:val="TableDataEntries"/>
              <w:rPr>
                <w:lang w:val="en-GB"/>
              </w:rPr>
            </w:pPr>
            <w:r>
              <w:t xml:space="preserve"> 24.72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247D755" w14:textId="77777777" w:rsidR="00ED0E85" w:rsidRDefault="00ED0E85" w:rsidP="00ED0E85">
            <w:pPr>
              <w:pStyle w:val="TableDataEntries"/>
              <w:rPr>
                <w:lang w:val="en-GB"/>
              </w:rPr>
            </w:pPr>
            <w:r>
              <w:t xml:space="preserve"> 11.75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91CC640" w14:textId="77777777" w:rsidR="00ED0E85" w:rsidRDefault="00ED0E85" w:rsidP="00ED0E85">
            <w:pPr>
              <w:pStyle w:val="TableDataEntries"/>
              <w:rPr>
                <w:lang w:val="en-GB"/>
              </w:rPr>
            </w:pPr>
            <w:r>
              <w:t xml:space="preserve"> 5.30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FEE4E27" w14:textId="77777777" w:rsidR="00ED0E85" w:rsidRDefault="00ED0E85" w:rsidP="00ED0E85">
            <w:pPr>
              <w:pStyle w:val="TableDataEntries"/>
              <w:rPr>
                <w:lang w:val="en-GB"/>
              </w:rPr>
            </w:pPr>
            <w:r>
              <w:t xml:space="preserve"> 1.26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4392442"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F30B5A5" w14:textId="77777777" w:rsidR="00ED0E85" w:rsidRDefault="00ED0E85" w:rsidP="00ED0E85">
            <w:pPr>
              <w:pStyle w:val="TableDataEntries"/>
              <w:rPr>
                <w:lang w:val="en-GB"/>
              </w:rPr>
            </w:pPr>
            <w:r>
              <w:t xml:space="preserve"> 2.25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AB54139" w14:textId="77777777" w:rsidR="00ED0E85" w:rsidRDefault="00ED0E85" w:rsidP="00ED0E85">
            <w:pPr>
              <w:pStyle w:val="TableDataEntries"/>
              <w:rPr>
                <w:lang w:val="en-GB"/>
              </w:rPr>
            </w:pPr>
            <w:r>
              <w:t xml:space="preserve"> 0.29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6941016" w14:textId="77777777" w:rsidR="00ED0E85" w:rsidRDefault="00ED0E85" w:rsidP="00ED0E85">
            <w:pPr>
              <w:pStyle w:val="TableDataEntries"/>
              <w:rPr>
                <w:lang w:val="en-GB"/>
              </w:rPr>
            </w:pPr>
            <w:r>
              <w:t xml:space="preserve"> 64.48</w:t>
            </w:r>
          </w:p>
        </w:tc>
      </w:tr>
      <w:tr w:rsidR="00ED0E85" w14:paraId="1AF778B1"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FE5E95" w14:textId="77777777" w:rsidR="00ED0E85" w:rsidRDefault="00ED0E85" w:rsidP="00ED0E85">
            <w:pPr>
              <w:pStyle w:val="TableDataEntries"/>
              <w:jc w:val="left"/>
              <w:rPr>
                <w:lang w:val="en-GB"/>
              </w:rPr>
            </w:pPr>
            <w:r>
              <w:rPr>
                <w:lang w:val="en-GB"/>
              </w:rPr>
              <w:t>Government 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E7F6AAD" w14:textId="77777777" w:rsidR="00ED0E85" w:rsidRDefault="00ED0E85" w:rsidP="00ED0E85">
            <w:pPr>
              <w:pStyle w:val="TableDataEntries"/>
              <w:rPr>
                <w:lang w:val="en-GB"/>
              </w:rPr>
            </w:pPr>
            <w:r>
              <w:t>- 3.76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92C1B94" w14:textId="77777777" w:rsidR="00ED0E85" w:rsidRDefault="00ED0E85" w:rsidP="00ED0E85">
            <w:pPr>
              <w:pStyle w:val="TableDataEntries"/>
              <w:rPr>
                <w:lang w:val="en-GB"/>
              </w:rPr>
            </w:pPr>
            <w:r>
              <w:t>- 2.65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C2AE777" w14:textId="77777777" w:rsidR="00ED0E85" w:rsidRDefault="00ED0E85" w:rsidP="00ED0E85">
            <w:pPr>
              <w:pStyle w:val="TableDataEntries"/>
              <w:rPr>
                <w:lang w:val="en-GB"/>
              </w:rPr>
            </w:pPr>
            <w:r>
              <w:t>- 2.32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4FE8CE2" w14:textId="77777777" w:rsidR="00ED0E85" w:rsidRDefault="00ED0E85" w:rsidP="00ED0E85">
            <w:pPr>
              <w:pStyle w:val="TableDataEntries"/>
              <w:rPr>
                <w:lang w:val="en-GB"/>
              </w:rPr>
            </w:pPr>
            <w:r>
              <w:t>- 1.39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46F8CF9" w14:textId="77777777" w:rsidR="00ED0E85" w:rsidRDefault="00ED0E85" w:rsidP="00ED0E85">
            <w:pPr>
              <w:pStyle w:val="TableDataEntries"/>
              <w:rPr>
                <w:lang w:val="en-GB"/>
              </w:rPr>
            </w:pPr>
            <w:r>
              <w:t>- 0.61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800241" w14:textId="77777777" w:rsidR="00ED0E85" w:rsidRDefault="00ED0E85" w:rsidP="00ED0E85">
            <w:pPr>
              <w:pStyle w:val="TableDataEntries"/>
              <w:rPr>
                <w:lang w:val="en-GB"/>
              </w:rPr>
            </w:pPr>
            <w:r>
              <w:t>- 0.23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7E32A43" w14:textId="77777777" w:rsidR="00ED0E85" w:rsidRDefault="00ED0E85" w:rsidP="00ED0E85">
            <w:pPr>
              <w:pStyle w:val="TableDataEntries"/>
              <w:rPr>
                <w:lang w:val="en-GB"/>
              </w:rPr>
            </w:pPr>
            <w:r>
              <w:t>- 0.74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0D94473" w14:textId="77777777" w:rsidR="00ED0E85" w:rsidRDefault="00ED0E85" w:rsidP="00ED0E85">
            <w:pPr>
              <w:pStyle w:val="TableDataEntries"/>
              <w:rPr>
                <w:lang w:val="en-GB"/>
              </w:rPr>
            </w:pPr>
            <w:r>
              <w:t>- 0.20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A23D037" w14:textId="77777777" w:rsidR="00ED0E85" w:rsidRDefault="00ED0E85" w:rsidP="00ED0E85">
            <w:pPr>
              <w:pStyle w:val="TableDataEntries"/>
              <w:rPr>
                <w:lang w:val="en-GB"/>
              </w:rPr>
            </w:pPr>
            <w:r>
              <w:t>- 11.91</w:t>
            </w:r>
          </w:p>
        </w:tc>
      </w:tr>
      <w:tr w:rsidR="00ED0E85" w:rsidRPr="001540E1" w14:paraId="7BDB7E23"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22DDE64F" w14:textId="77777777" w:rsidR="00ED0E85" w:rsidRPr="001540E1" w:rsidRDefault="00ED0E85" w:rsidP="00ED0E85">
            <w:pPr>
              <w:pStyle w:val="TableDataEntries"/>
              <w:jc w:val="left"/>
              <w:rPr>
                <w:rFonts w:ascii="Franklin Gothic Demi" w:hAnsi="Franklin Gothic Demi"/>
                <w:lang w:val="en-GB"/>
              </w:rPr>
            </w:pPr>
            <w:r w:rsidRPr="001540E1">
              <w:rPr>
                <w:rFonts w:ascii="Franklin Gothic Demi" w:hAnsi="Franklin Gothic Demi"/>
                <w:lang w:val="en-GB"/>
              </w:rPr>
              <w:t>Total net benefit/cost</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35D92D88"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xml:space="preserve"> 23.92</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67B48329"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xml:space="preserve"> 34.98</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1318A40C"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xml:space="preserve"> 20.25</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335A2645"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xml:space="preserve"> 7.60</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247AEA9A"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xml:space="preserve"> 1.52</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1A86DF01"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- 1.83</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4325E0A9"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xml:space="preserve"> 1.16</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1F288F2F"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- 0.05</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7209C51A"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xml:space="preserve"> 87.54</w:t>
            </w:r>
          </w:p>
        </w:tc>
      </w:tr>
      <w:tr w:rsidR="00ED0E85" w14:paraId="731B8038" w14:textId="77777777" w:rsidTr="00ED0E85">
        <w:trPr>
          <w:trHeight w:val="317"/>
        </w:trPr>
        <w:tc>
          <w:tcPr>
            <w:tcW w:w="7934" w:type="dxa"/>
            <w:gridSpan w:val="10"/>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E83031F" w14:textId="77777777" w:rsidR="00ED0E85" w:rsidRDefault="00ED0E85" w:rsidP="00ED0E85">
            <w:pPr>
              <w:pStyle w:val="TableHeading1"/>
              <w:rPr>
                <w:lang w:val="en-GB"/>
              </w:rPr>
            </w:pPr>
            <w:r>
              <w:rPr>
                <w:lang w:val="en-GB"/>
              </w:rPr>
              <w:t>CBD Program - 2017 changes</w:t>
            </w:r>
          </w:p>
        </w:tc>
      </w:tr>
      <w:tr w:rsidR="00ED0E85" w14:paraId="4336D86F"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12DAE2" w14:textId="77777777" w:rsidR="00ED0E85" w:rsidRDefault="00ED0E85" w:rsidP="00ED0E85">
            <w:pPr>
              <w:pStyle w:val="TableHeading2"/>
              <w:rPr>
                <w:lang w:val="en-GB"/>
              </w:rPr>
            </w:pPr>
            <w:r>
              <w:rPr>
                <w:lang w:val="en-GB"/>
              </w:rPr>
              <w:t>Private benefits/costs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B63D15D"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F63BEA4"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095876C"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3791F03"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8A79BB2"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10CBAD3"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0683594"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8DC2B3D"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17366AE" w14:textId="77777777" w:rsidR="00ED0E85" w:rsidRDefault="00ED0E85" w:rsidP="00ED0E85">
            <w:pPr>
              <w:pStyle w:val="TableDataEntries"/>
              <w:rPr>
                <w:lang w:val="en-GB"/>
              </w:rPr>
            </w:pPr>
          </w:p>
        </w:tc>
      </w:tr>
      <w:tr w:rsidR="00ED0E85" w14:paraId="6EE93763"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19EF25" w14:textId="77777777" w:rsidR="00ED0E85" w:rsidRDefault="00ED0E85" w:rsidP="00ED0E85">
            <w:pPr>
              <w:pStyle w:val="TableDataEntries"/>
              <w:jc w:val="left"/>
              <w:rPr>
                <w:lang w:val="en-GB"/>
              </w:rPr>
            </w:pPr>
            <w:r>
              <w:rPr>
                <w:lang w:val="en-GB"/>
              </w:rPr>
              <w:t>Electricity savings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FF8350F" w14:textId="77777777" w:rsidR="00ED0E85" w:rsidRDefault="00ED0E85" w:rsidP="00ED0E85">
            <w:pPr>
              <w:pStyle w:val="TableDataEntries"/>
              <w:rPr>
                <w:lang w:val="en-GB"/>
              </w:rPr>
            </w:pPr>
            <w:r>
              <w:t xml:space="preserve"> 0.03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0185964" w14:textId="77777777" w:rsidR="00ED0E85" w:rsidRDefault="00ED0E85" w:rsidP="00ED0E85">
            <w:pPr>
              <w:pStyle w:val="TableDataEntries"/>
              <w:rPr>
                <w:lang w:val="en-GB"/>
              </w:rPr>
            </w:pPr>
            <w:r>
              <w:t xml:space="preserve"> 0.04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12A1C1C" w14:textId="77777777" w:rsidR="00ED0E85" w:rsidRDefault="00ED0E85" w:rsidP="00ED0E85">
            <w:pPr>
              <w:pStyle w:val="TableDataEntries"/>
              <w:rPr>
                <w:lang w:val="en-GB"/>
              </w:rPr>
            </w:pPr>
            <w:r>
              <w:t xml:space="preserve"> 0.04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7851C4A" w14:textId="77777777" w:rsidR="00ED0E85" w:rsidRDefault="00ED0E85" w:rsidP="00ED0E85">
            <w:pPr>
              <w:pStyle w:val="TableDataEntries"/>
              <w:rPr>
                <w:lang w:val="en-GB"/>
              </w:rPr>
            </w:pPr>
            <w:r>
              <w:t xml:space="preserve"> 0.04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89B0C9E"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F3FB2AF"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9B6C0A4"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308F79E"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A105066" w14:textId="77777777" w:rsidR="00ED0E85" w:rsidRDefault="00ED0E85" w:rsidP="00ED0E85">
            <w:pPr>
              <w:pStyle w:val="TableDataEntries"/>
              <w:rPr>
                <w:lang w:val="en-GB"/>
              </w:rPr>
            </w:pPr>
            <w:r>
              <w:t xml:space="preserve"> 0.15</w:t>
            </w:r>
          </w:p>
        </w:tc>
      </w:tr>
      <w:tr w:rsidR="00ED0E85" w14:paraId="6FA7856F"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FEC51C" w14:textId="77777777" w:rsidR="00ED0E85" w:rsidRDefault="00ED0E85" w:rsidP="00ED0E85">
            <w:pPr>
              <w:pStyle w:val="TableDataEntries"/>
              <w:jc w:val="left"/>
              <w:rPr>
                <w:lang w:val="en-GB"/>
              </w:rPr>
            </w:pPr>
            <w:r>
              <w:rPr>
                <w:lang w:val="en-GB"/>
              </w:rPr>
              <w:t>Gas savings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FDC6543" w14:textId="77777777" w:rsidR="00ED0E85" w:rsidRDefault="00ED0E85" w:rsidP="00ED0E85">
            <w:pPr>
              <w:pStyle w:val="TableDataEntries"/>
              <w:rPr>
                <w:lang w:val="en-GB"/>
              </w:rPr>
            </w:pPr>
            <w:r>
              <w:t xml:space="preserve"> 0.02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525ADFB" w14:textId="77777777" w:rsidR="00ED0E85" w:rsidRDefault="00ED0E85" w:rsidP="00ED0E85">
            <w:pPr>
              <w:pStyle w:val="TableDataEntries"/>
              <w:rPr>
                <w:lang w:val="en-GB"/>
              </w:rPr>
            </w:pPr>
            <w:r>
              <w:t xml:space="preserve"> 0.01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1904C94" w14:textId="77777777" w:rsidR="00ED0E85" w:rsidRDefault="00ED0E85" w:rsidP="00ED0E85">
            <w:pPr>
              <w:pStyle w:val="TableDataEntries"/>
              <w:rPr>
                <w:lang w:val="en-GB"/>
              </w:rPr>
            </w:pPr>
            <w:r>
              <w:t xml:space="preserve"> 0.02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7D68DCE" w14:textId="77777777" w:rsidR="00ED0E85" w:rsidRDefault="00ED0E85" w:rsidP="00ED0E85">
            <w:pPr>
              <w:pStyle w:val="TableDataEntries"/>
              <w:rPr>
                <w:lang w:val="en-GB"/>
              </w:rPr>
            </w:pPr>
            <w:r>
              <w:t xml:space="preserve"> 0.01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0AC89D"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1BF1264"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A315AA0"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26E6CDD"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15331BB" w14:textId="77777777" w:rsidR="00ED0E85" w:rsidRDefault="00ED0E85" w:rsidP="00ED0E85">
            <w:pPr>
              <w:pStyle w:val="TableDataEntries"/>
              <w:rPr>
                <w:lang w:val="en-GB"/>
              </w:rPr>
            </w:pPr>
            <w:r>
              <w:t xml:space="preserve"> 0.06</w:t>
            </w:r>
          </w:p>
        </w:tc>
      </w:tr>
      <w:tr w:rsidR="00ED0E85" w14:paraId="2695EB27"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B6DD81" w14:textId="77777777" w:rsidR="00ED0E85" w:rsidRDefault="00ED0E85" w:rsidP="00ED0E85">
            <w:pPr>
              <w:pStyle w:val="TableDataEntries"/>
              <w:jc w:val="left"/>
              <w:rPr>
                <w:lang w:val="en-GB"/>
              </w:rPr>
            </w:pPr>
            <w:r>
              <w:rPr>
                <w:lang w:val="en-GB"/>
              </w:rPr>
              <w:t>Upgrade 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A5C4559" w14:textId="77777777" w:rsidR="00ED0E85" w:rsidRDefault="00ED0E85" w:rsidP="00ED0E85">
            <w:pPr>
              <w:pStyle w:val="TableDataEntries"/>
              <w:rPr>
                <w:lang w:val="en-GB"/>
              </w:rPr>
            </w:pPr>
            <w:r>
              <w:t>- 0.02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0DD5CF7" w14:textId="77777777" w:rsidR="00ED0E85" w:rsidRDefault="00ED0E85" w:rsidP="00ED0E85">
            <w:pPr>
              <w:pStyle w:val="TableDataEntries"/>
              <w:rPr>
                <w:lang w:val="en-GB"/>
              </w:rPr>
            </w:pPr>
            <w:r>
              <w:t>- 0.02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74476AC" w14:textId="77777777" w:rsidR="00ED0E85" w:rsidRDefault="00ED0E85" w:rsidP="00ED0E85">
            <w:pPr>
              <w:pStyle w:val="TableDataEntries"/>
              <w:rPr>
                <w:lang w:val="en-GB"/>
              </w:rPr>
            </w:pPr>
            <w:r>
              <w:t>- 0.02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889A9EF" w14:textId="77777777" w:rsidR="00ED0E85" w:rsidRDefault="00ED0E85" w:rsidP="00ED0E85">
            <w:pPr>
              <w:pStyle w:val="TableDataEntries"/>
              <w:rPr>
                <w:lang w:val="en-GB"/>
              </w:rPr>
            </w:pPr>
            <w:r>
              <w:t>- 0.02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448FCA1"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F109F48"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BBB4B20"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B3DC66B"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BF1CEC4" w14:textId="77777777" w:rsidR="00ED0E85" w:rsidRDefault="00ED0E85" w:rsidP="00ED0E85">
            <w:pPr>
              <w:pStyle w:val="TableDataEntries"/>
              <w:rPr>
                <w:lang w:val="en-GB"/>
              </w:rPr>
            </w:pPr>
            <w:r>
              <w:t>- 0.09</w:t>
            </w:r>
          </w:p>
        </w:tc>
      </w:tr>
      <w:tr w:rsidR="00ED0E85" w14:paraId="6A6B39F7"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6B089D" w14:textId="77777777" w:rsidR="00ED0E85" w:rsidRDefault="00ED0E85" w:rsidP="00ED0E85">
            <w:pPr>
              <w:pStyle w:val="TableDataEntries"/>
              <w:jc w:val="left"/>
              <w:rPr>
                <w:lang w:val="en-GB"/>
              </w:rPr>
            </w:pPr>
            <w:r>
              <w:rPr>
                <w:lang w:val="en-GB"/>
              </w:rPr>
              <w:t>Compliance costs - NABERS ratings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53659E3" w14:textId="77777777" w:rsidR="00ED0E85" w:rsidRDefault="00ED0E85" w:rsidP="00ED0E85">
            <w:pPr>
              <w:pStyle w:val="TableDataEntries"/>
              <w:rPr>
                <w:lang w:val="en-GB"/>
              </w:rPr>
            </w:pPr>
            <w:r>
              <w:t>- 0.40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1230DB1" w14:textId="77777777" w:rsidR="00ED0E85" w:rsidRDefault="00ED0E85" w:rsidP="00ED0E85">
            <w:pPr>
              <w:pStyle w:val="TableDataEntries"/>
              <w:rPr>
                <w:lang w:val="en-GB"/>
              </w:rPr>
            </w:pPr>
            <w:r>
              <w:t>- 0.32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8D109EF" w14:textId="77777777" w:rsidR="00ED0E85" w:rsidRDefault="00ED0E85" w:rsidP="00ED0E85">
            <w:pPr>
              <w:pStyle w:val="TableDataEntries"/>
              <w:rPr>
                <w:lang w:val="en-GB"/>
              </w:rPr>
            </w:pPr>
            <w:r>
              <w:t>- 0.39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676C601" w14:textId="77777777" w:rsidR="00ED0E85" w:rsidRDefault="00ED0E85" w:rsidP="00ED0E85">
            <w:pPr>
              <w:pStyle w:val="TableDataEntries"/>
              <w:rPr>
                <w:lang w:val="en-GB"/>
              </w:rPr>
            </w:pPr>
            <w:r>
              <w:t>- 0.31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596E656" w14:textId="77777777" w:rsidR="00ED0E85" w:rsidRDefault="00ED0E85" w:rsidP="00ED0E85">
            <w:pPr>
              <w:pStyle w:val="TableDataEntries"/>
              <w:rPr>
                <w:lang w:val="en-GB"/>
              </w:rPr>
            </w:pPr>
            <w:r>
              <w:t>- 0.12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90F4025" w14:textId="77777777" w:rsidR="00ED0E85" w:rsidRDefault="00ED0E85" w:rsidP="00ED0E85">
            <w:pPr>
              <w:pStyle w:val="TableDataEntries"/>
              <w:rPr>
                <w:lang w:val="en-GB"/>
              </w:rPr>
            </w:pPr>
            <w:r>
              <w:t>- 0.02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91C892F" w14:textId="77777777" w:rsidR="00ED0E85" w:rsidRDefault="00ED0E85" w:rsidP="00ED0E85">
            <w:pPr>
              <w:pStyle w:val="TableDataEntries"/>
              <w:rPr>
                <w:lang w:val="en-GB"/>
              </w:rPr>
            </w:pPr>
            <w:r>
              <w:t>- 0.07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6C79D53" w14:textId="77777777" w:rsidR="00ED0E85" w:rsidRDefault="00ED0E85" w:rsidP="00ED0E85">
            <w:pPr>
              <w:pStyle w:val="TableDataEntries"/>
              <w:rPr>
                <w:lang w:val="en-GB"/>
              </w:rPr>
            </w:pPr>
            <w:r>
              <w:t>- 0.04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2EB5D69" w14:textId="77777777" w:rsidR="00ED0E85" w:rsidRDefault="00ED0E85" w:rsidP="00ED0E85">
            <w:pPr>
              <w:pStyle w:val="TableDataEntries"/>
              <w:rPr>
                <w:lang w:val="en-GB"/>
              </w:rPr>
            </w:pPr>
            <w:r>
              <w:t>- 1.67</w:t>
            </w:r>
          </w:p>
        </w:tc>
      </w:tr>
      <w:tr w:rsidR="00ED0E85" w14:paraId="69647730"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9BBB1B" w14:textId="77777777" w:rsidR="00ED0E85" w:rsidRDefault="00ED0E85" w:rsidP="00ED0E85">
            <w:pPr>
              <w:pStyle w:val="TableDataEntries"/>
              <w:jc w:val="left"/>
              <w:rPr>
                <w:lang w:val="en-GB"/>
              </w:rPr>
            </w:pPr>
            <w:r>
              <w:rPr>
                <w:lang w:val="en-GB"/>
              </w:rPr>
              <w:t>Compliance costs - TLAs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765D6BF" w14:textId="77777777" w:rsidR="00ED0E85" w:rsidRDefault="00ED0E85" w:rsidP="00ED0E85">
            <w:pPr>
              <w:pStyle w:val="TableDataEntries"/>
              <w:rPr>
                <w:lang w:val="en-GB"/>
              </w:rPr>
            </w:pPr>
            <w:r>
              <w:t xml:space="preserve"> 0.36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8EC325C" w14:textId="77777777" w:rsidR="00ED0E85" w:rsidRDefault="00ED0E85" w:rsidP="00ED0E85">
            <w:pPr>
              <w:pStyle w:val="TableDataEntries"/>
              <w:rPr>
                <w:lang w:val="en-GB"/>
              </w:rPr>
            </w:pPr>
            <w:r>
              <w:t xml:space="preserve"> 0.11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854A625" w14:textId="77777777" w:rsidR="00ED0E85" w:rsidRDefault="00ED0E85" w:rsidP="00ED0E85">
            <w:pPr>
              <w:pStyle w:val="TableDataEntries"/>
              <w:rPr>
                <w:lang w:val="en-GB"/>
              </w:rPr>
            </w:pPr>
            <w:r>
              <w:t xml:space="preserve"> 0.06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276D886" w14:textId="77777777" w:rsidR="00ED0E85" w:rsidRDefault="00ED0E85" w:rsidP="00ED0E85">
            <w:pPr>
              <w:pStyle w:val="TableDataEntries"/>
              <w:rPr>
                <w:lang w:val="en-GB"/>
              </w:rPr>
            </w:pPr>
            <w:r>
              <w:t xml:space="preserve"> 0.04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45D428D"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8CF0C11"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A0EB0EE" w14:textId="77777777" w:rsidR="00ED0E85" w:rsidRDefault="00ED0E85" w:rsidP="00ED0E85">
            <w:pPr>
              <w:pStyle w:val="TableDataEntries"/>
              <w:rPr>
                <w:lang w:val="en-GB"/>
              </w:rPr>
            </w:pPr>
            <w:r>
              <w:t xml:space="preserve"> 0.03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0A6829D" w14:textId="77777777" w:rsidR="00ED0E85" w:rsidRDefault="00ED0E85" w:rsidP="00ED0E85">
            <w:pPr>
              <w:pStyle w:val="TableDataEntries"/>
              <w:rPr>
                <w:lang w:val="en-GB"/>
              </w:rPr>
            </w:pPr>
            <w:r>
              <w:t>- 0.07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EED8718" w14:textId="77777777" w:rsidR="00ED0E85" w:rsidRDefault="00ED0E85" w:rsidP="00ED0E85">
            <w:pPr>
              <w:pStyle w:val="TableDataEntries"/>
              <w:rPr>
                <w:lang w:val="en-GB"/>
              </w:rPr>
            </w:pPr>
            <w:r>
              <w:t xml:space="preserve"> 0.52</w:t>
            </w:r>
          </w:p>
        </w:tc>
      </w:tr>
      <w:tr w:rsidR="00ED0E85" w:rsidRPr="001540E1" w14:paraId="53CC3690"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3D539D" w14:textId="77777777" w:rsidR="00ED0E85" w:rsidRPr="001540E1" w:rsidRDefault="00ED0E85" w:rsidP="00ED0E85">
            <w:pPr>
              <w:pStyle w:val="TableDataEntries"/>
              <w:jc w:val="left"/>
              <w:rPr>
                <w:rFonts w:ascii="Franklin Gothic Demi" w:hAnsi="Franklin Gothic Demi"/>
                <w:lang w:val="en-GB"/>
              </w:rPr>
            </w:pPr>
            <w:r w:rsidRPr="001540E1">
              <w:rPr>
                <w:rFonts w:ascii="Franklin Gothic Demi" w:hAnsi="Franklin Gothic Demi"/>
                <w:lang w:val="en-GB"/>
              </w:rPr>
              <w:t>Net private benefits/costs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1BD8C72"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- 0.02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FC1C628"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- 0.18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7DBD714"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- 0.30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7D6FF7E"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- 0.24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E146DD2"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- 0.12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0C60475"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- 0.02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7A5B705"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- 0.03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B6B35B3"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- 0.11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AF7E9AC"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rPr>
              <w:t>- 1.03</w:t>
            </w:r>
          </w:p>
        </w:tc>
      </w:tr>
      <w:tr w:rsidR="00ED0E85" w14:paraId="21B6824A"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560C4D" w14:textId="77777777" w:rsidR="00ED0E85" w:rsidRDefault="00ED0E85" w:rsidP="00ED0E85">
            <w:pPr>
              <w:pStyle w:val="TableHeading2"/>
              <w:rPr>
                <w:lang w:val="en-GB"/>
              </w:rPr>
            </w:pPr>
            <w:r>
              <w:rPr>
                <w:lang w:val="en-GB"/>
              </w:rPr>
              <w:t>Other benefits/costs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C22C594"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D02B648"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C1790D8"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F1C7A25"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286C8D1"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7D2B8A3"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A0246B0"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45EC957"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35F1506" w14:textId="77777777" w:rsidR="00ED0E85" w:rsidRDefault="00ED0E85" w:rsidP="00ED0E85">
            <w:pPr>
              <w:pStyle w:val="TableDataEntries"/>
              <w:rPr>
                <w:lang w:val="en-GB"/>
              </w:rPr>
            </w:pPr>
          </w:p>
        </w:tc>
      </w:tr>
      <w:tr w:rsidR="00ED0E85" w14:paraId="3A38C932"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B11524" w14:textId="77777777" w:rsidR="00ED0E85" w:rsidRDefault="00ED0E85" w:rsidP="00ED0E85">
            <w:pPr>
              <w:pStyle w:val="TableDataEntries"/>
              <w:jc w:val="left"/>
              <w:rPr>
                <w:lang w:val="en-GB"/>
              </w:rPr>
            </w:pPr>
            <w:r>
              <w:rPr>
                <w:lang w:val="en-GB"/>
              </w:rPr>
              <w:t>GHG emissions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184F220" w14:textId="77777777" w:rsidR="00ED0E85" w:rsidRDefault="00ED0E85" w:rsidP="00ED0E85">
            <w:pPr>
              <w:pStyle w:val="TableDataEntries"/>
              <w:rPr>
                <w:lang w:val="en-GB"/>
              </w:rPr>
            </w:pPr>
            <w:r>
              <w:t xml:space="preserve"> 0.02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4498CC4" w14:textId="77777777" w:rsidR="00ED0E85" w:rsidRDefault="00ED0E85" w:rsidP="00ED0E85">
            <w:pPr>
              <w:pStyle w:val="TableDataEntries"/>
              <w:rPr>
                <w:lang w:val="en-GB"/>
              </w:rPr>
            </w:pPr>
            <w:r>
              <w:t xml:space="preserve"> 0.03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4AA1E8F" w14:textId="77777777" w:rsidR="00ED0E85" w:rsidRDefault="00ED0E85" w:rsidP="00ED0E85">
            <w:pPr>
              <w:pStyle w:val="TableDataEntries"/>
              <w:rPr>
                <w:lang w:val="en-GB"/>
              </w:rPr>
            </w:pPr>
            <w:r>
              <w:t xml:space="preserve"> 0.02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63283F" w14:textId="77777777" w:rsidR="00ED0E85" w:rsidRDefault="00ED0E85" w:rsidP="00ED0E85">
            <w:pPr>
              <w:pStyle w:val="TableDataEntries"/>
              <w:rPr>
                <w:lang w:val="en-GB"/>
              </w:rPr>
            </w:pPr>
            <w:r>
              <w:t xml:space="preserve"> 0.02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00BB9A0"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CDD0690"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651C18A"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97AB575"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39019C1" w14:textId="77777777" w:rsidR="00ED0E85" w:rsidRDefault="00ED0E85" w:rsidP="00ED0E85">
            <w:pPr>
              <w:pStyle w:val="TableDataEntries"/>
              <w:rPr>
                <w:lang w:val="en-GB"/>
              </w:rPr>
            </w:pPr>
            <w:r>
              <w:t xml:space="preserve"> 0.10</w:t>
            </w:r>
          </w:p>
        </w:tc>
      </w:tr>
      <w:tr w:rsidR="00ED0E85" w14:paraId="10CBCC6D"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8B52F7" w14:textId="77777777" w:rsidR="00ED0E85" w:rsidRDefault="00ED0E85" w:rsidP="00ED0E85">
            <w:pPr>
              <w:pStyle w:val="TableDataEntries"/>
              <w:jc w:val="left"/>
              <w:rPr>
                <w:lang w:val="en-GB"/>
              </w:rPr>
            </w:pPr>
            <w:r>
              <w:rPr>
                <w:lang w:val="en-GB"/>
              </w:rPr>
              <w:t>Government 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EFA925E"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DCDE250"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E6FD974"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3F5E812"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BD4C578"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CA858A6"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15D99CB"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EE1D126"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8214E75" w14:textId="77777777" w:rsidR="00ED0E85" w:rsidRDefault="00ED0E85" w:rsidP="00ED0E85">
            <w:pPr>
              <w:pStyle w:val="TableDataEntries"/>
              <w:rPr>
                <w:lang w:val="en-GB"/>
              </w:rPr>
            </w:pPr>
            <w:r>
              <w:t xml:space="preserve"> 0.00</w:t>
            </w:r>
          </w:p>
        </w:tc>
      </w:tr>
      <w:tr w:rsidR="00ED0E85" w:rsidRPr="00EF7724" w14:paraId="5D9686E5"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756E36FA" w14:textId="77777777" w:rsidR="00ED0E85" w:rsidRPr="00B004ED" w:rsidRDefault="00ED0E85" w:rsidP="00ED0E85">
            <w:pPr>
              <w:pStyle w:val="TableDataEntries"/>
              <w:jc w:val="left"/>
              <w:rPr>
                <w:rFonts w:ascii="Franklin Gothic Demi" w:hAnsi="Franklin Gothic Demi"/>
                <w:lang w:val="en-GB"/>
              </w:rPr>
            </w:pPr>
            <w:r w:rsidRPr="007B6E9A">
              <w:rPr>
                <w:rFonts w:ascii="Franklin Gothic Demi" w:hAnsi="Franklin Gothic Demi"/>
                <w:lang w:val="en-GB"/>
              </w:rPr>
              <w:t>Total net benefit/cost</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20401CAB"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0.00</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56988BBC"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- 0.15</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35358D4E"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- 0.28</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627AB34A"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- 0.23</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183D0270"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- 0.12</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77935362"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- 0.02</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69F2C87E"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- 0.03</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22026736"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- 0.11</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513E4980"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- 0.93</w:t>
            </w:r>
          </w:p>
        </w:tc>
      </w:tr>
      <w:tr w:rsidR="00ED0E85" w14:paraId="20515A71" w14:textId="77777777" w:rsidTr="00ED0E85">
        <w:trPr>
          <w:trHeight w:val="374"/>
        </w:trPr>
        <w:tc>
          <w:tcPr>
            <w:tcW w:w="165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2C1DF66" w14:textId="77777777" w:rsidR="00ED0E85" w:rsidRDefault="00ED0E85" w:rsidP="00ED0E85">
            <w:pPr>
              <w:pStyle w:val="TableHeading1"/>
              <w:rPr>
                <w:lang w:val="en-GB"/>
              </w:rPr>
            </w:pPr>
            <w:r>
              <w:rPr>
                <w:lang w:val="en-GB"/>
              </w:rPr>
              <w:t>CBD Program - total</w:t>
            </w:r>
          </w:p>
        </w:tc>
        <w:tc>
          <w:tcPr>
            <w:tcW w:w="69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12A42E97"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3F9C04F0"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5F7639DC"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5596A27C"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0EE448AA"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66C45E86"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166B206F"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26C80F6D"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64049EEA" w14:textId="77777777" w:rsidR="00ED0E85" w:rsidRDefault="00ED0E85" w:rsidP="00ED0E85">
            <w:pPr>
              <w:pStyle w:val="TableDataEntries"/>
              <w:rPr>
                <w:lang w:val="en-GB"/>
              </w:rPr>
            </w:pPr>
          </w:p>
        </w:tc>
      </w:tr>
      <w:tr w:rsidR="00ED0E85" w14:paraId="195A0934"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0755F3" w14:textId="77777777" w:rsidR="00ED0E85" w:rsidRDefault="00ED0E85" w:rsidP="00ED0E85">
            <w:pPr>
              <w:pStyle w:val="TableHeading2"/>
              <w:rPr>
                <w:lang w:val="en-GB"/>
              </w:rPr>
            </w:pPr>
            <w:r>
              <w:rPr>
                <w:lang w:val="en-GB"/>
              </w:rPr>
              <w:t>Private benefits/costs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0792E41"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3F071DD"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A4D2E08"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EBE7C3"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E26EB2C"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618CDD4"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09D057F"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2E8BDEA"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5CA9F9D" w14:textId="77777777" w:rsidR="00ED0E85" w:rsidRDefault="00ED0E85" w:rsidP="00ED0E85">
            <w:pPr>
              <w:pStyle w:val="TableDataEntries"/>
              <w:rPr>
                <w:lang w:val="en-GB"/>
              </w:rPr>
            </w:pPr>
          </w:p>
        </w:tc>
      </w:tr>
      <w:tr w:rsidR="00ED0E85" w14:paraId="458F8DC7"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1FC817" w14:textId="77777777" w:rsidR="00ED0E85" w:rsidRDefault="00ED0E85" w:rsidP="00ED0E85">
            <w:pPr>
              <w:pStyle w:val="TableDataEntries"/>
              <w:jc w:val="left"/>
              <w:rPr>
                <w:lang w:val="en-GB"/>
              </w:rPr>
            </w:pPr>
            <w:r>
              <w:rPr>
                <w:lang w:val="en-GB"/>
              </w:rPr>
              <w:t>Electricity savings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44BD6AD" w14:textId="77777777" w:rsidR="00ED0E85" w:rsidRDefault="00ED0E85" w:rsidP="00ED0E85">
            <w:pPr>
              <w:pStyle w:val="TableDataEntries"/>
              <w:rPr>
                <w:lang w:val="en-GB"/>
              </w:rPr>
            </w:pPr>
            <w:r>
              <w:t xml:space="preserve"> 27.84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C7766CA" w14:textId="77777777" w:rsidR="00ED0E85" w:rsidRDefault="00ED0E85" w:rsidP="00ED0E85">
            <w:pPr>
              <w:pStyle w:val="TableDataEntries"/>
              <w:rPr>
                <w:lang w:val="en-GB"/>
              </w:rPr>
            </w:pPr>
            <w:r>
              <w:t xml:space="preserve"> 31.39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BAF3936" w14:textId="77777777" w:rsidR="00ED0E85" w:rsidRDefault="00ED0E85" w:rsidP="00ED0E85">
            <w:pPr>
              <w:pStyle w:val="TableDataEntries"/>
              <w:rPr>
                <w:lang w:val="en-GB"/>
              </w:rPr>
            </w:pPr>
            <w:r>
              <w:t xml:space="preserve"> 19.43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C32A0B0" w14:textId="77777777" w:rsidR="00ED0E85" w:rsidRDefault="00ED0E85" w:rsidP="00ED0E85">
            <w:pPr>
              <w:pStyle w:val="TableDataEntries"/>
              <w:rPr>
                <w:lang w:val="en-GB"/>
              </w:rPr>
            </w:pPr>
            <w:r>
              <w:t xml:space="preserve"> 11.87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D4B5222" w14:textId="77777777" w:rsidR="00ED0E85" w:rsidRDefault="00ED0E85" w:rsidP="00ED0E85">
            <w:pPr>
              <w:pStyle w:val="TableDataEntries"/>
              <w:rPr>
                <w:lang w:val="en-GB"/>
              </w:rPr>
            </w:pPr>
            <w:r>
              <w:t xml:space="preserve"> 3.20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9AC628" w14:textId="77777777" w:rsidR="00ED0E85" w:rsidRDefault="00ED0E85" w:rsidP="00ED0E85">
            <w:pPr>
              <w:pStyle w:val="TableDataEntries"/>
              <w:rPr>
                <w:lang w:val="en-GB"/>
              </w:rPr>
            </w:pPr>
            <w:r>
              <w:t>- 7.31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5B0C446" w14:textId="77777777" w:rsidR="00ED0E85" w:rsidRDefault="00ED0E85" w:rsidP="00ED0E85">
            <w:pPr>
              <w:pStyle w:val="TableDataEntries"/>
              <w:rPr>
                <w:lang w:val="en-GB"/>
              </w:rPr>
            </w:pPr>
            <w:r>
              <w:t xml:space="preserve"> 2.85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9667FCF" w14:textId="77777777" w:rsidR="00ED0E85" w:rsidRDefault="00ED0E85" w:rsidP="00ED0E85">
            <w:pPr>
              <w:pStyle w:val="TableDataEntries"/>
              <w:rPr>
                <w:lang w:val="en-GB"/>
              </w:rPr>
            </w:pPr>
            <w:r>
              <w:t xml:space="preserve"> 0.61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C41DB87" w14:textId="77777777" w:rsidR="00ED0E85" w:rsidRDefault="00ED0E85" w:rsidP="00ED0E85">
            <w:pPr>
              <w:pStyle w:val="TableDataEntries"/>
              <w:rPr>
                <w:lang w:val="en-GB"/>
              </w:rPr>
            </w:pPr>
            <w:r>
              <w:t xml:space="preserve"> 89.89</w:t>
            </w:r>
          </w:p>
        </w:tc>
      </w:tr>
      <w:tr w:rsidR="00ED0E85" w14:paraId="37FAB46C"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3EECED" w14:textId="77777777" w:rsidR="00ED0E85" w:rsidRDefault="00ED0E85" w:rsidP="00ED0E85">
            <w:pPr>
              <w:pStyle w:val="TableDataEntries"/>
              <w:jc w:val="left"/>
              <w:rPr>
                <w:lang w:val="en-GB"/>
              </w:rPr>
            </w:pPr>
            <w:r>
              <w:rPr>
                <w:lang w:val="en-GB"/>
              </w:rPr>
              <w:t>Gas savings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C140D93" w14:textId="77777777" w:rsidR="00ED0E85" w:rsidRDefault="00ED0E85" w:rsidP="00ED0E85">
            <w:pPr>
              <w:pStyle w:val="TableDataEntries"/>
              <w:rPr>
                <w:lang w:val="en-GB"/>
              </w:rPr>
            </w:pPr>
            <w:r>
              <w:t xml:space="preserve"> 15.26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8599333" w14:textId="77777777" w:rsidR="00ED0E85" w:rsidRDefault="00ED0E85" w:rsidP="00ED0E85">
            <w:pPr>
              <w:pStyle w:val="TableDataEntries"/>
              <w:rPr>
                <w:lang w:val="en-GB"/>
              </w:rPr>
            </w:pPr>
            <w:r>
              <w:t xml:space="preserve"> 8.81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F70DA5A" w14:textId="77777777" w:rsidR="00ED0E85" w:rsidRDefault="00ED0E85" w:rsidP="00ED0E85">
            <w:pPr>
              <w:pStyle w:val="TableDataEntries"/>
              <w:rPr>
                <w:lang w:val="en-GB"/>
              </w:rPr>
            </w:pPr>
            <w:r>
              <w:t xml:space="preserve"> 11.36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7758BD5" w14:textId="77777777" w:rsidR="00ED0E85" w:rsidRDefault="00ED0E85" w:rsidP="00ED0E85">
            <w:pPr>
              <w:pStyle w:val="TableDataEntries"/>
              <w:rPr>
                <w:lang w:val="en-GB"/>
              </w:rPr>
            </w:pPr>
            <w:r>
              <w:t xml:space="preserve"> 2.11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3823BC1" w14:textId="77777777" w:rsidR="00ED0E85" w:rsidRDefault="00ED0E85" w:rsidP="00ED0E85">
            <w:pPr>
              <w:pStyle w:val="TableDataEntries"/>
              <w:rPr>
                <w:lang w:val="en-GB"/>
              </w:rPr>
            </w:pPr>
            <w:r>
              <w:t xml:space="preserve"> 1.82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3B18A2" w14:textId="77777777" w:rsidR="00ED0E85" w:rsidRDefault="00ED0E85" w:rsidP="00ED0E85">
            <w:pPr>
              <w:pStyle w:val="TableDataEntries"/>
              <w:rPr>
                <w:lang w:val="en-GB"/>
              </w:rPr>
            </w:pPr>
            <w:r>
              <w:t xml:space="preserve"> 6.62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42CB733" w14:textId="77777777" w:rsidR="00ED0E85" w:rsidRDefault="00ED0E85" w:rsidP="00ED0E85">
            <w:pPr>
              <w:pStyle w:val="TableDataEntries"/>
              <w:rPr>
                <w:lang w:val="en-GB"/>
              </w:rPr>
            </w:pPr>
            <w:r>
              <w:t xml:space="preserve"> 2.86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27CE9C8" w14:textId="77777777" w:rsidR="00ED0E85" w:rsidRDefault="00ED0E85" w:rsidP="00ED0E85">
            <w:pPr>
              <w:pStyle w:val="TableDataEntries"/>
              <w:rPr>
                <w:lang w:val="en-GB"/>
              </w:rPr>
            </w:pPr>
            <w:r>
              <w:t xml:space="preserve"> 0.27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D2177B8" w14:textId="77777777" w:rsidR="00ED0E85" w:rsidRDefault="00ED0E85" w:rsidP="00ED0E85">
            <w:pPr>
              <w:pStyle w:val="TableDataEntries"/>
              <w:rPr>
                <w:lang w:val="en-GB"/>
              </w:rPr>
            </w:pPr>
            <w:r>
              <w:t xml:space="preserve"> 49.11</w:t>
            </w:r>
          </w:p>
        </w:tc>
      </w:tr>
      <w:tr w:rsidR="00ED0E85" w14:paraId="073CC95F"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E86056" w14:textId="77777777" w:rsidR="00ED0E85" w:rsidRDefault="00ED0E85" w:rsidP="00ED0E85">
            <w:pPr>
              <w:pStyle w:val="TableDataEntries"/>
              <w:jc w:val="left"/>
              <w:rPr>
                <w:lang w:val="en-GB"/>
              </w:rPr>
            </w:pPr>
            <w:r>
              <w:rPr>
                <w:lang w:val="en-GB"/>
              </w:rPr>
              <w:t>Upgrade 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8C49990" w14:textId="77777777" w:rsidR="00ED0E85" w:rsidRDefault="00ED0E85" w:rsidP="00ED0E85">
            <w:pPr>
              <w:pStyle w:val="TableDataEntries"/>
              <w:rPr>
                <w:lang w:val="en-GB"/>
              </w:rPr>
            </w:pPr>
            <w:r>
              <w:t>- 21.95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943E661" w14:textId="77777777" w:rsidR="00ED0E85" w:rsidRDefault="00ED0E85" w:rsidP="00ED0E85">
            <w:pPr>
              <w:pStyle w:val="TableDataEntries"/>
              <w:rPr>
                <w:lang w:val="en-GB"/>
              </w:rPr>
            </w:pPr>
            <w:r>
              <w:t>- 19.38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CE9F280" w14:textId="77777777" w:rsidR="00ED0E85" w:rsidRDefault="00ED0E85" w:rsidP="00ED0E85">
            <w:pPr>
              <w:pStyle w:val="TableDataEntries"/>
              <w:rPr>
                <w:lang w:val="en-GB"/>
              </w:rPr>
            </w:pPr>
            <w:r>
              <w:t>- 13.35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608FB7B" w14:textId="77777777" w:rsidR="00ED0E85" w:rsidRDefault="00ED0E85" w:rsidP="00ED0E85">
            <w:pPr>
              <w:pStyle w:val="TableDataEntries"/>
              <w:rPr>
                <w:lang w:val="en-GB"/>
              </w:rPr>
            </w:pPr>
            <w:r>
              <w:t>- 6.43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A4757F" w14:textId="77777777" w:rsidR="00ED0E85" w:rsidRDefault="00ED0E85" w:rsidP="00ED0E85">
            <w:pPr>
              <w:pStyle w:val="TableDataEntries"/>
              <w:rPr>
                <w:lang w:val="en-GB"/>
              </w:rPr>
            </w:pPr>
            <w:r>
              <w:t>- 2.43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D3C84D7" w14:textId="77777777" w:rsidR="00ED0E85" w:rsidRDefault="00ED0E85" w:rsidP="00ED0E85">
            <w:pPr>
              <w:pStyle w:val="TableDataEntries"/>
              <w:rPr>
                <w:lang w:val="en-GB"/>
              </w:rPr>
            </w:pPr>
            <w:r>
              <w:t>- 0.28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5C1280A" w14:textId="77777777" w:rsidR="00ED0E85" w:rsidRDefault="00ED0E85" w:rsidP="00ED0E85">
            <w:pPr>
              <w:pStyle w:val="TableDataEntries"/>
              <w:rPr>
                <w:lang w:val="en-GB"/>
              </w:rPr>
            </w:pPr>
            <w:r>
              <w:t>- 3.82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E29CBE5" w14:textId="77777777" w:rsidR="00ED0E85" w:rsidRDefault="00ED0E85" w:rsidP="00ED0E85">
            <w:pPr>
              <w:pStyle w:val="TableDataEntries"/>
              <w:rPr>
                <w:lang w:val="en-GB"/>
              </w:rPr>
            </w:pPr>
            <w:r>
              <w:t>- 0.52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47FD5E1" w14:textId="77777777" w:rsidR="00ED0E85" w:rsidRDefault="00ED0E85" w:rsidP="00ED0E85">
            <w:pPr>
              <w:pStyle w:val="TableDataEntries"/>
              <w:rPr>
                <w:lang w:val="en-GB"/>
              </w:rPr>
            </w:pPr>
            <w:r>
              <w:t>- 68.16</w:t>
            </w:r>
          </w:p>
        </w:tc>
      </w:tr>
      <w:tr w:rsidR="00ED0E85" w14:paraId="7A953C62"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05F091" w14:textId="77777777" w:rsidR="00ED0E85" w:rsidRDefault="00ED0E85" w:rsidP="00ED0E85">
            <w:pPr>
              <w:pStyle w:val="TableDataEntries"/>
              <w:jc w:val="left"/>
              <w:rPr>
                <w:lang w:val="en-GB"/>
              </w:rPr>
            </w:pPr>
            <w:r>
              <w:rPr>
                <w:lang w:val="en-GB"/>
              </w:rPr>
              <w:t>Compliance costs - NABERS ratings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8EAC736" w14:textId="77777777" w:rsidR="00ED0E85" w:rsidRDefault="00ED0E85" w:rsidP="00ED0E85">
            <w:pPr>
              <w:pStyle w:val="TableDataEntries"/>
              <w:rPr>
                <w:lang w:val="en-GB"/>
              </w:rPr>
            </w:pPr>
            <w:r>
              <w:t>- 9.38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E948F8" w14:textId="77777777" w:rsidR="00ED0E85" w:rsidRDefault="00ED0E85" w:rsidP="00ED0E85">
            <w:pPr>
              <w:pStyle w:val="TableDataEntries"/>
              <w:rPr>
                <w:lang w:val="en-GB"/>
              </w:rPr>
            </w:pPr>
            <w:r>
              <w:t>- 6.54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A130BA" w14:textId="77777777" w:rsidR="00ED0E85" w:rsidRDefault="00ED0E85" w:rsidP="00ED0E85">
            <w:pPr>
              <w:pStyle w:val="TableDataEntries"/>
              <w:rPr>
                <w:lang w:val="en-GB"/>
              </w:rPr>
            </w:pPr>
            <w:r>
              <w:t>- 5.67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BD73938" w14:textId="77777777" w:rsidR="00ED0E85" w:rsidRDefault="00ED0E85" w:rsidP="00ED0E85">
            <w:pPr>
              <w:pStyle w:val="TableDataEntries"/>
              <w:rPr>
                <w:lang w:val="en-GB"/>
              </w:rPr>
            </w:pPr>
            <w:r>
              <w:t>- 3.30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ABAF787" w14:textId="77777777" w:rsidR="00ED0E85" w:rsidRDefault="00ED0E85" w:rsidP="00ED0E85">
            <w:pPr>
              <w:pStyle w:val="TableDataEntries"/>
              <w:rPr>
                <w:lang w:val="en-GB"/>
              </w:rPr>
            </w:pPr>
            <w:r>
              <w:t>- 1.46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1B6DC40" w14:textId="77777777" w:rsidR="00ED0E85" w:rsidRDefault="00ED0E85" w:rsidP="00ED0E85">
            <w:pPr>
              <w:pStyle w:val="TableDataEntries"/>
              <w:rPr>
                <w:lang w:val="en-GB"/>
              </w:rPr>
            </w:pPr>
            <w:r>
              <w:t>- 0.57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F2C2D6F" w14:textId="77777777" w:rsidR="00ED0E85" w:rsidRDefault="00ED0E85" w:rsidP="00ED0E85">
            <w:pPr>
              <w:pStyle w:val="TableDataEntries"/>
              <w:rPr>
                <w:lang w:val="en-GB"/>
              </w:rPr>
            </w:pPr>
            <w:r>
              <w:t>- 1.80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CD7DF48" w14:textId="77777777" w:rsidR="00ED0E85" w:rsidRDefault="00ED0E85" w:rsidP="00ED0E85">
            <w:pPr>
              <w:pStyle w:val="TableDataEntries"/>
              <w:rPr>
                <w:lang w:val="en-GB"/>
              </w:rPr>
            </w:pPr>
            <w:r>
              <w:t>- 0.49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09DA379" w14:textId="77777777" w:rsidR="00ED0E85" w:rsidRDefault="00ED0E85" w:rsidP="00ED0E85">
            <w:pPr>
              <w:pStyle w:val="TableDataEntries"/>
              <w:rPr>
                <w:lang w:val="en-GB"/>
              </w:rPr>
            </w:pPr>
            <w:r>
              <w:t>- 29.22</w:t>
            </w:r>
          </w:p>
        </w:tc>
      </w:tr>
      <w:tr w:rsidR="00ED0E85" w14:paraId="4D9CA7C4"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3A7D3A" w14:textId="77777777" w:rsidR="00ED0E85" w:rsidRDefault="00ED0E85" w:rsidP="00ED0E85">
            <w:pPr>
              <w:pStyle w:val="TableDataEntries"/>
              <w:jc w:val="left"/>
              <w:rPr>
                <w:lang w:val="en-GB"/>
              </w:rPr>
            </w:pPr>
            <w:r>
              <w:rPr>
                <w:lang w:val="en-GB"/>
              </w:rPr>
              <w:t>Compliance costs - TLAs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0E2FD33" w14:textId="77777777" w:rsidR="00ED0E85" w:rsidRDefault="00ED0E85" w:rsidP="00ED0E85">
            <w:pPr>
              <w:pStyle w:val="TableDataEntries"/>
              <w:rPr>
                <w:lang w:val="en-GB"/>
              </w:rPr>
            </w:pPr>
            <w:r>
              <w:t>- 3.01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F187347" w14:textId="77777777" w:rsidR="00ED0E85" w:rsidRDefault="00ED0E85" w:rsidP="00ED0E85">
            <w:pPr>
              <w:pStyle w:val="TableDataEntries"/>
              <w:rPr>
                <w:lang w:val="en-GB"/>
              </w:rPr>
            </w:pPr>
            <w:r>
              <w:t>- 1.56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80B5E42" w14:textId="77777777" w:rsidR="00ED0E85" w:rsidRDefault="00ED0E85" w:rsidP="00ED0E85">
            <w:pPr>
              <w:pStyle w:val="TableDataEntries"/>
              <w:rPr>
                <w:lang w:val="en-GB"/>
              </w:rPr>
            </w:pPr>
            <w:r>
              <w:t>- 1.25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72BE04A" w14:textId="77777777" w:rsidR="00ED0E85" w:rsidRDefault="00ED0E85" w:rsidP="00ED0E85">
            <w:pPr>
              <w:pStyle w:val="TableDataEntries"/>
              <w:rPr>
                <w:lang w:val="en-GB"/>
              </w:rPr>
            </w:pPr>
            <w:r>
              <w:t>- 0.80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94880AC" w14:textId="77777777" w:rsidR="00ED0E85" w:rsidRDefault="00ED0E85" w:rsidP="00ED0E85">
            <w:pPr>
              <w:pStyle w:val="TableDataEntries"/>
              <w:rPr>
                <w:lang w:val="en-GB"/>
              </w:rPr>
            </w:pPr>
            <w:r>
              <w:t>- 0.38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D7D4830" w14:textId="77777777" w:rsidR="00ED0E85" w:rsidRDefault="00ED0E85" w:rsidP="00ED0E85">
            <w:pPr>
              <w:pStyle w:val="TableDataEntries"/>
              <w:rPr>
                <w:lang w:val="en-GB"/>
              </w:rPr>
            </w:pPr>
            <w:r>
              <w:t>- 0.08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A471D05" w14:textId="77777777" w:rsidR="00ED0E85" w:rsidRDefault="00ED0E85" w:rsidP="00ED0E85">
            <w:pPr>
              <w:pStyle w:val="TableDataEntries"/>
              <w:rPr>
                <w:lang w:val="en-GB"/>
              </w:rPr>
            </w:pPr>
            <w:r>
              <w:t>- 0.47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53142E0" w14:textId="77777777" w:rsidR="00ED0E85" w:rsidRDefault="00ED0E85" w:rsidP="00ED0E85">
            <w:pPr>
              <w:pStyle w:val="TableDataEntries"/>
              <w:rPr>
                <w:lang w:val="en-GB"/>
              </w:rPr>
            </w:pPr>
            <w:r>
              <w:t>- 0.12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DDF6119" w14:textId="77777777" w:rsidR="00ED0E85" w:rsidRDefault="00ED0E85" w:rsidP="00ED0E85">
            <w:pPr>
              <w:pStyle w:val="TableDataEntries"/>
              <w:rPr>
                <w:lang w:val="en-GB"/>
              </w:rPr>
            </w:pPr>
            <w:r>
              <w:t>- 7.67</w:t>
            </w:r>
          </w:p>
        </w:tc>
      </w:tr>
      <w:tr w:rsidR="00ED0E85" w:rsidRPr="00EF7724" w14:paraId="68024BDB"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DCE013" w14:textId="77777777" w:rsidR="00ED0E85" w:rsidRPr="00B004ED" w:rsidRDefault="00ED0E85" w:rsidP="00ED0E85">
            <w:pPr>
              <w:pStyle w:val="TableDataEntries"/>
              <w:jc w:val="left"/>
              <w:rPr>
                <w:rFonts w:ascii="Franklin Gothic Demi" w:hAnsi="Franklin Gothic Demi"/>
                <w:lang w:val="en-GB"/>
              </w:rPr>
            </w:pPr>
            <w:r w:rsidRPr="007B6E9A">
              <w:rPr>
                <w:rFonts w:ascii="Franklin Gothic Demi" w:hAnsi="Franklin Gothic Demi"/>
                <w:lang w:val="en-GB"/>
              </w:rPr>
              <w:t>Net private benefits/cost</w:t>
            </w:r>
            <w:r w:rsidRPr="00B004ED">
              <w:rPr>
                <w:rFonts w:ascii="Franklin Gothic Demi" w:hAnsi="Franklin Gothic Demi"/>
                <w:lang w:val="en-GB"/>
              </w:rPr>
              <w: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D8CF285"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8.75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340CC4E"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12.72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7EAAD11"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10.52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0FE5220"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3.45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7A14D4C"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0.75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21F34E0"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- 1.62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23C59A1"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- 0.39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04750AE"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- 0.25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AEED8DB"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33.95</w:t>
            </w:r>
          </w:p>
        </w:tc>
      </w:tr>
      <w:tr w:rsidR="00ED0E85" w14:paraId="66F69208"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250BF7" w14:textId="77777777" w:rsidR="00ED0E85" w:rsidRDefault="00ED0E85" w:rsidP="00ED0E85">
            <w:pPr>
              <w:pStyle w:val="TableHeading2"/>
              <w:rPr>
                <w:lang w:val="en-GB"/>
              </w:rPr>
            </w:pPr>
            <w:r>
              <w:rPr>
                <w:lang w:val="en-GB"/>
              </w:rPr>
              <w:t>Other benefits/costs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748E2CB"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23133FA"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4A3DA6F"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CFF9B47"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4F4F386"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42F118D"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CC13F10"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C9D37C9"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671CDF2" w14:textId="77777777" w:rsidR="00ED0E85" w:rsidRDefault="00ED0E85" w:rsidP="00ED0E85">
            <w:pPr>
              <w:pStyle w:val="TableDataEntries"/>
              <w:rPr>
                <w:lang w:val="en-GB"/>
              </w:rPr>
            </w:pPr>
          </w:p>
        </w:tc>
      </w:tr>
      <w:tr w:rsidR="00ED0E85" w14:paraId="2FCFCBFF"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4D23EF" w14:textId="77777777" w:rsidR="00ED0E85" w:rsidRDefault="00ED0E85" w:rsidP="00ED0E85">
            <w:pPr>
              <w:pStyle w:val="TableDataEntries"/>
              <w:jc w:val="left"/>
              <w:rPr>
                <w:lang w:val="en-GB"/>
              </w:rPr>
            </w:pPr>
            <w:r>
              <w:rPr>
                <w:lang w:val="en-GB"/>
              </w:rPr>
              <w:t>GHG emissions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668584C" w14:textId="77777777" w:rsidR="00ED0E85" w:rsidRDefault="00ED0E85" w:rsidP="00ED0E85">
            <w:pPr>
              <w:pStyle w:val="TableDataEntries"/>
              <w:rPr>
                <w:lang w:val="en-GB"/>
              </w:rPr>
            </w:pPr>
            <w:r>
              <w:t xml:space="preserve"> 18.92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C103898" w14:textId="77777777" w:rsidR="00ED0E85" w:rsidRDefault="00ED0E85" w:rsidP="00ED0E85">
            <w:pPr>
              <w:pStyle w:val="TableDataEntries"/>
              <w:rPr>
                <w:lang w:val="en-GB"/>
              </w:rPr>
            </w:pPr>
            <w:r>
              <w:t xml:space="preserve"> 24.76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5580905" w14:textId="77777777" w:rsidR="00ED0E85" w:rsidRDefault="00ED0E85" w:rsidP="00ED0E85">
            <w:pPr>
              <w:pStyle w:val="TableDataEntries"/>
              <w:rPr>
                <w:lang w:val="en-GB"/>
              </w:rPr>
            </w:pPr>
            <w:r>
              <w:t xml:space="preserve"> 11.77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D5ECA92" w14:textId="77777777" w:rsidR="00ED0E85" w:rsidRDefault="00ED0E85" w:rsidP="00ED0E85">
            <w:pPr>
              <w:pStyle w:val="TableDataEntries"/>
              <w:rPr>
                <w:lang w:val="en-GB"/>
              </w:rPr>
            </w:pPr>
            <w:r>
              <w:t xml:space="preserve"> 5.32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88E475C" w14:textId="77777777" w:rsidR="00ED0E85" w:rsidRDefault="00ED0E85" w:rsidP="00ED0E85">
            <w:pPr>
              <w:pStyle w:val="TableDataEntries"/>
              <w:rPr>
                <w:lang w:val="en-GB"/>
              </w:rPr>
            </w:pPr>
            <w:r>
              <w:t xml:space="preserve"> 1.26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5548C3C"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7949E49" w14:textId="77777777" w:rsidR="00ED0E85" w:rsidRDefault="00ED0E85" w:rsidP="00ED0E85">
            <w:pPr>
              <w:pStyle w:val="TableDataEntries"/>
              <w:rPr>
                <w:lang w:val="en-GB"/>
              </w:rPr>
            </w:pPr>
            <w:r>
              <w:t xml:space="preserve"> 2.26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B890ABE" w14:textId="77777777" w:rsidR="00ED0E85" w:rsidRDefault="00ED0E85" w:rsidP="00ED0E85">
            <w:pPr>
              <w:pStyle w:val="TableDataEntries"/>
              <w:rPr>
                <w:lang w:val="en-GB"/>
              </w:rPr>
            </w:pPr>
            <w:r>
              <w:t xml:space="preserve"> 0.29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36E0C05" w14:textId="77777777" w:rsidR="00ED0E85" w:rsidRDefault="00ED0E85" w:rsidP="00ED0E85">
            <w:pPr>
              <w:pStyle w:val="TableDataEntries"/>
              <w:rPr>
                <w:lang w:val="en-GB"/>
              </w:rPr>
            </w:pPr>
            <w:r>
              <w:t xml:space="preserve"> 64.58</w:t>
            </w:r>
          </w:p>
        </w:tc>
      </w:tr>
      <w:tr w:rsidR="00ED0E85" w14:paraId="6463C096"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D1C79C" w14:textId="77777777" w:rsidR="00ED0E85" w:rsidRDefault="00ED0E85" w:rsidP="00ED0E85">
            <w:pPr>
              <w:pStyle w:val="TableDataEntries"/>
              <w:jc w:val="left"/>
              <w:rPr>
                <w:lang w:val="en-GB"/>
              </w:rPr>
            </w:pPr>
            <w:r>
              <w:rPr>
                <w:lang w:val="en-GB"/>
              </w:rPr>
              <w:t>Government 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7E37A91" w14:textId="77777777" w:rsidR="00ED0E85" w:rsidRDefault="00ED0E85" w:rsidP="00ED0E85">
            <w:pPr>
              <w:pStyle w:val="TableDataEntries"/>
              <w:rPr>
                <w:lang w:val="en-GB"/>
              </w:rPr>
            </w:pPr>
            <w:r>
              <w:t>- 3.76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CE21724" w14:textId="77777777" w:rsidR="00ED0E85" w:rsidRDefault="00ED0E85" w:rsidP="00ED0E85">
            <w:pPr>
              <w:pStyle w:val="TableDataEntries"/>
              <w:rPr>
                <w:lang w:val="en-GB"/>
              </w:rPr>
            </w:pPr>
            <w:r>
              <w:t>- 2.65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89EB3B1" w14:textId="77777777" w:rsidR="00ED0E85" w:rsidRDefault="00ED0E85" w:rsidP="00ED0E85">
            <w:pPr>
              <w:pStyle w:val="TableDataEntries"/>
              <w:rPr>
                <w:lang w:val="en-GB"/>
              </w:rPr>
            </w:pPr>
            <w:r>
              <w:t>- 2.32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B6071A1" w14:textId="77777777" w:rsidR="00ED0E85" w:rsidRDefault="00ED0E85" w:rsidP="00ED0E85">
            <w:pPr>
              <w:pStyle w:val="TableDataEntries"/>
              <w:rPr>
                <w:lang w:val="en-GB"/>
              </w:rPr>
            </w:pPr>
            <w:r>
              <w:t>- 1.39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DF40FA4" w14:textId="77777777" w:rsidR="00ED0E85" w:rsidRDefault="00ED0E85" w:rsidP="00ED0E85">
            <w:pPr>
              <w:pStyle w:val="TableDataEntries"/>
              <w:rPr>
                <w:lang w:val="en-GB"/>
              </w:rPr>
            </w:pPr>
            <w:r>
              <w:t>- 0.61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70904D6" w14:textId="77777777" w:rsidR="00ED0E85" w:rsidRDefault="00ED0E85" w:rsidP="00ED0E85">
            <w:pPr>
              <w:pStyle w:val="TableDataEntries"/>
              <w:rPr>
                <w:lang w:val="en-GB"/>
              </w:rPr>
            </w:pPr>
            <w:r>
              <w:t>- 0.23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00B3BC4" w14:textId="77777777" w:rsidR="00ED0E85" w:rsidRDefault="00ED0E85" w:rsidP="00ED0E85">
            <w:pPr>
              <w:pStyle w:val="TableDataEntries"/>
              <w:rPr>
                <w:lang w:val="en-GB"/>
              </w:rPr>
            </w:pPr>
            <w:r>
              <w:t>- 0.74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A00A69E" w14:textId="77777777" w:rsidR="00ED0E85" w:rsidRDefault="00ED0E85" w:rsidP="00ED0E85">
            <w:pPr>
              <w:pStyle w:val="TableDataEntries"/>
              <w:rPr>
                <w:lang w:val="en-GB"/>
              </w:rPr>
            </w:pPr>
            <w:r>
              <w:t>- 0.20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604E220" w14:textId="77777777" w:rsidR="00ED0E85" w:rsidRDefault="00ED0E85" w:rsidP="00ED0E85">
            <w:pPr>
              <w:pStyle w:val="TableDataEntries"/>
              <w:rPr>
                <w:lang w:val="en-GB"/>
              </w:rPr>
            </w:pPr>
            <w:r>
              <w:t>- 11.91</w:t>
            </w:r>
          </w:p>
        </w:tc>
      </w:tr>
      <w:tr w:rsidR="00ED0E85" w:rsidRPr="00EF7724" w14:paraId="0B523B74" w14:textId="77777777" w:rsidTr="00ED0E85">
        <w:trPr>
          <w:trHeight w:val="230"/>
        </w:trPr>
        <w:tc>
          <w:tcPr>
            <w:tcW w:w="165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1E027F6" w14:textId="77777777" w:rsidR="00ED0E85" w:rsidRPr="00B004ED" w:rsidRDefault="00ED0E85" w:rsidP="00ED0E85">
            <w:pPr>
              <w:pStyle w:val="TableDataEntries"/>
              <w:jc w:val="left"/>
              <w:rPr>
                <w:rFonts w:ascii="Franklin Gothic Demi" w:hAnsi="Franklin Gothic Demi"/>
                <w:lang w:val="en-GB"/>
              </w:rPr>
            </w:pPr>
            <w:r w:rsidRPr="007B6E9A">
              <w:rPr>
                <w:rFonts w:ascii="Franklin Gothic Demi" w:hAnsi="Franklin Gothic Demi"/>
                <w:lang w:val="en-GB"/>
              </w:rPr>
              <w:t>Total net benefi</w:t>
            </w:r>
            <w:r w:rsidRPr="00B004ED">
              <w:rPr>
                <w:rFonts w:ascii="Franklin Gothic Demi" w:hAnsi="Franklin Gothic Demi"/>
                <w:lang w:val="en-GB"/>
              </w:rPr>
              <w:t>t/cost</w:t>
            </w:r>
          </w:p>
        </w:tc>
        <w:tc>
          <w:tcPr>
            <w:tcW w:w="69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6F69F0AA"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23.92</w:t>
            </w:r>
          </w:p>
        </w:tc>
        <w:tc>
          <w:tcPr>
            <w:tcW w:w="69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4E42A3F7"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34.83</w:t>
            </w:r>
          </w:p>
        </w:tc>
        <w:tc>
          <w:tcPr>
            <w:tcW w:w="69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6D991E75"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19.97</w:t>
            </w:r>
          </w:p>
        </w:tc>
        <w:tc>
          <w:tcPr>
            <w:tcW w:w="69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263265A4"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7.38</w:t>
            </w:r>
          </w:p>
        </w:tc>
        <w:tc>
          <w:tcPr>
            <w:tcW w:w="69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76721739"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1.40</w:t>
            </w:r>
          </w:p>
        </w:tc>
        <w:tc>
          <w:tcPr>
            <w:tcW w:w="69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11F1CCF6"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- 1.85</w:t>
            </w:r>
          </w:p>
        </w:tc>
        <w:tc>
          <w:tcPr>
            <w:tcW w:w="69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450B889"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1.13</w:t>
            </w:r>
          </w:p>
        </w:tc>
        <w:tc>
          <w:tcPr>
            <w:tcW w:w="69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27C417F8"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- 0.16</w:t>
            </w:r>
          </w:p>
        </w:tc>
        <w:tc>
          <w:tcPr>
            <w:tcW w:w="69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28D8416A"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86.62</w:t>
            </w:r>
          </w:p>
        </w:tc>
      </w:tr>
    </w:tbl>
    <w:p w14:paraId="6CBF909A" w14:textId="77777777" w:rsidR="00ED0E85" w:rsidRDefault="00ED0E85" w:rsidP="00ED0E85">
      <w:pPr>
        <w:pStyle w:val="Note"/>
      </w:pPr>
      <w:r w:rsidRPr="007D1B4F">
        <w:rPr>
          <w:i/>
        </w:rPr>
        <w:t>Note:</w:t>
      </w:r>
      <w:r w:rsidRPr="00E879B8">
        <w:t xml:space="preserve"> </w:t>
      </w:r>
      <w:r>
        <w:t>Costs and benefits are presented in present value terms over the period from where the CBD Program commenced in 2010/11 to 2018</w:t>
      </w:r>
      <w:r>
        <w:noBreakHyphen/>
        <w:t>19. As the energy efficiency upgrades made over this period will continue to deliver benefits into the future, energy saving benefits have been extended for an additional ten years.</w:t>
      </w:r>
    </w:p>
    <w:p w14:paraId="0C1B5E62" w14:textId="77777777" w:rsidR="00ED0E85" w:rsidRDefault="00ED0E85" w:rsidP="00ED0E85">
      <w:pPr>
        <w:pStyle w:val="Source"/>
      </w:pPr>
      <w:r>
        <w:rPr>
          <w:i/>
        </w:rPr>
        <w:t>Source</w:t>
      </w:r>
      <w:r w:rsidRPr="00E4232C">
        <w:rPr>
          <w:i/>
        </w:rPr>
        <w:t>:</w:t>
      </w:r>
      <w:r>
        <w:t xml:space="preserve"> CIE estimates.</w:t>
      </w:r>
    </w:p>
    <w:p w14:paraId="11008196" w14:textId="77777777" w:rsidR="00ED0E85" w:rsidRPr="00082878" w:rsidRDefault="00ED0E85" w:rsidP="00ED0E85">
      <w:pPr>
        <w:pStyle w:val="Heading7"/>
        <w:numPr>
          <w:ilvl w:val="6"/>
          <w:numId w:val="5"/>
        </w:numPr>
      </w:pPr>
      <w:r>
        <w:t>Business as usual to 2030</w:t>
      </w:r>
    </w:p>
    <w:p w14:paraId="5B7822DE" w14:textId="4DBE7AD2" w:rsidR="00ED0E85" w:rsidRDefault="00ED0E85" w:rsidP="00ED0E85">
      <w:pPr>
        <w:pStyle w:val="BodyText"/>
      </w:pPr>
      <w:r>
        <w:t>Assuming ‘business as usual’ out to 2029</w:t>
      </w:r>
      <w:r>
        <w:noBreakHyphen/>
        <w:t>30, the cost</w:t>
      </w:r>
      <w:r>
        <w:noBreakHyphen/>
        <w:t>benefit analysis for the CBD Program is shown in table </w:t>
      </w:r>
      <w:r w:rsidR="004550CB">
        <w:rPr>
          <w:noProof/>
        </w:rPr>
        <w:fldChar w:fldCharType="begin"/>
      </w:r>
      <w:r w:rsidR="004550CB">
        <w:rPr>
          <w:noProof/>
        </w:rPr>
        <w:instrText xml:space="preserve"> REF _Caption4043 </w:instrText>
      </w:r>
      <w:r w:rsidR="004550CB">
        <w:rPr>
          <w:noProof/>
        </w:rPr>
        <w:fldChar w:fldCharType="separate"/>
      </w:r>
      <w:r w:rsidR="00AD3561">
        <w:rPr>
          <w:noProof/>
        </w:rPr>
        <w:t>A</w:t>
      </w:r>
      <w:r w:rsidR="00AD3561" w:rsidRPr="00695C93">
        <w:rPr>
          <w:noProof/>
        </w:rPr>
        <w:t>.</w:t>
      </w:r>
      <w:r w:rsidR="00AD3561">
        <w:rPr>
          <w:noProof/>
        </w:rPr>
        <w:t>2</w:t>
      </w:r>
      <w:r w:rsidR="004550CB">
        <w:rPr>
          <w:noProof/>
        </w:rPr>
        <w:fldChar w:fldCharType="end"/>
      </w:r>
      <w:r>
        <w:t>.</w:t>
      </w:r>
    </w:p>
    <w:p w14:paraId="2ADE9483" w14:textId="2CA1ADEC"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A</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5</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5</w:instrText>
      </w:r>
      <w:r w:rsidR="004550CB">
        <w:rPr>
          <w:noProof/>
        </w:rPr>
        <w:fldChar w:fldCharType="end"/>
      </w:r>
      <w:r w:rsidRPr="00695C93">
        <w:instrText xml:space="preserve">." </w:instrText>
      </w:r>
      <w:r w:rsidRPr="00695C93">
        <w:fldChar w:fldCharType="separate"/>
      </w:r>
      <w:r>
        <w:rPr>
          <w:noProof/>
        </w:rPr>
        <w:instrText>5</w:instrText>
      </w:r>
      <w:r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A</w:instrText>
      </w:r>
      <w:r w:rsidR="004550CB">
        <w:rPr>
          <w:noProof/>
        </w:rPr>
        <w:fldChar w:fldCharType="end"/>
      </w:r>
      <w:r w:rsidRPr="00695C93">
        <w:instrText xml:space="preserve">." </w:instrText>
      </w:r>
      <w:r w:rsidRPr="00695C93">
        <w:fldChar w:fldCharType="separate"/>
      </w:r>
      <w:r w:rsidR="00AD3561">
        <w:rPr>
          <w:noProof/>
        </w:rPr>
        <w:instrText>A</w:instrText>
      </w:r>
      <w:r w:rsidR="00AD356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A</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5</w:instrText>
      </w:r>
      <w:r w:rsidR="004550CB">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AD3561" w:rsidRPr="00695C93">
        <w:rPr>
          <w:noProof/>
        </w:rPr>
        <w:instrText>6</w:instrText>
      </w:r>
      <w:r w:rsidRPr="00695C93">
        <w:fldChar w:fldCharType="end"/>
      </w:r>
      <w:r w:rsidRPr="00695C93">
        <w:instrText xml:space="preserve"> </w:instrText>
      </w:r>
      <w:r w:rsidRPr="00695C93">
        <w:fldChar w:fldCharType="separate"/>
      </w:r>
      <w:r w:rsidR="00AD3561">
        <w:rPr>
          <w:noProof/>
        </w:rPr>
        <w:instrText>2</w:instrText>
      </w:r>
      <w:r w:rsidRPr="00695C93">
        <w:fldChar w:fldCharType="end"/>
      </w:r>
      <w:r w:rsidRPr="00695C93">
        <w:instrText xml:space="preserve">" "" </w:instrText>
      </w:r>
      <w:r w:rsidRPr="00695C93">
        <w:fldChar w:fldCharType="separate"/>
      </w:r>
      <w:bookmarkStart w:id="6754" w:name="_Caption0536"/>
      <w:bookmarkStart w:id="6755" w:name="_Caption6700"/>
      <w:bookmarkStart w:id="6756" w:name="_Caption4043"/>
      <w:bookmarkStart w:id="6757" w:name="_Caption9481"/>
      <w:bookmarkStart w:id="6758" w:name="_Toc19275658"/>
      <w:bookmarkStart w:id="6759" w:name="_Toc19276268"/>
      <w:bookmarkStart w:id="6760" w:name="_Toc19280267"/>
      <w:r w:rsidR="00C353B5">
        <w:rPr>
          <w:noProof/>
        </w:rPr>
        <w:t>A</w:t>
      </w:r>
      <w:r w:rsidR="00C353B5" w:rsidRPr="00695C93">
        <w:rPr>
          <w:noProof/>
        </w:rPr>
        <w:t>.</w:t>
      </w:r>
      <w:r w:rsidR="00C353B5">
        <w:rPr>
          <w:noProof/>
        </w:rPr>
        <w:t>2</w:t>
      </w:r>
      <w:bookmarkEnd w:id="6754"/>
      <w:bookmarkEnd w:id="6755"/>
      <w:bookmarkEnd w:id="6756"/>
      <w:bookmarkEnd w:id="6757"/>
      <w:r w:rsidRPr="00695C93">
        <w:fldChar w:fldCharType="end"/>
      </w:r>
      <w:r w:rsidRPr="00695C93">
        <w:tab/>
      </w:r>
      <w:r>
        <w:t>CBD Program ‘business as usual’ to 2029</w:t>
      </w:r>
      <w:r>
        <w:noBreakHyphen/>
        <w:t>2030 — cost-benefit analysis</w:t>
      </w:r>
      <w:bookmarkEnd w:id="6758"/>
      <w:bookmarkEnd w:id="6759"/>
      <w:bookmarkEnd w:id="6760"/>
    </w:p>
    <w:tbl>
      <w:tblPr>
        <w:tblW w:w="7934" w:type="dxa"/>
        <w:tblLayout w:type="fixed"/>
        <w:tblLook w:val="0000" w:firstRow="0" w:lastRow="0" w:firstColumn="0" w:lastColumn="0" w:noHBand="0" w:noVBand="0"/>
      </w:tblPr>
      <w:tblGrid>
        <w:gridCol w:w="1652"/>
        <w:gridCol w:w="698"/>
        <w:gridCol w:w="698"/>
        <w:gridCol w:w="698"/>
        <w:gridCol w:w="698"/>
        <w:gridCol w:w="698"/>
        <w:gridCol w:w="698"/>
        <w:gridCol w:w="698"/>
        <w:gridCol w:w="698"/>
        <w:gridCol w:w="698"/>
      </w:tblGrid>
      <w:tr w:rsidR="00ED0E85" w:rsidRPr="000B5E5B" w14:paraId="08BCC13C" w14:textId="77777777" w:rsidTr="00ED0E85">
        <w:trPr>
          <w:trHeight w:val="230"/>
          <w:tblHeader/>
        </w:trPr>
        <w:tc>
          <w:tcPr>
            <w:tcW w:w="1652" w:type="dxa"/>
            <w:shd w:val="clear" w:color="auto" w:fill="6F6652"/>
            <w:tcMar>
              <w:left w:w="57" w:type="dxa"/>
              <w:right w:w="57" w:type="dxa"/>
            </w:tcMar>
          </w:tcPr>
          <w:p w14:paraId="37F434B7" w14:textId="77777777" w:rsidR="00ED0E85" w:rsidRPr="000B5E5B" w:rsidRDefault="00ED0E85" w:rsidP="00ED0E85">
            <w:pPr>
              <w:pStyle w:val="TableDataColumnHeading"/>
              <w:jc w:val="left"/>
              <w:rPr>
                <w:lang w:val="en-GB"/>
              </w:rPr>
            </w:pPr>
          </w:p>
        </w:tc>
        <w:tc>
          <w:tcPr>
            <w:tcW w:w="698" w:type="dxa"/>
            <w:shd w:val="clear" w:color="auto" w:fill="6F6652"/>
            <w:tcMar>
              <w:left w:w="57" w:type="dxa"/>
              <w:right w:w="57" w:type="dxa"/>
            </w:tcMar>
          </w:tcPr>
          <w:p w14:paraId="2E972321" w14:textId="77777777" w:rsidR="00ED0E85" w:rsidRPr="000B5E5B" w:rsidRDefault="00ED0E85" w:rsidP="00ED0E85">
            <w:pPr>
              <w:pStyle w:val="TableDataColumnHeading"/>
              <w:rPr>
                <w:bCs/>
                <w:lang w:val="en-GB"/>
              </w:rPr>
            </w:pPr>
            <w:r w:rsidRPr="000B5E5B">
              <w:rPr>
                <w:bCs/>
                <w:lang w:val="en-GB"/>
              </w:rPr>
              <w:t>NSW</w:t>
            </w:r>
          </w:p>
        </w:tc>
        <w:tc>
          <w:tcPr>
            <w:tcW w:w="698" w:type="dxa"/>
            <w:shd w:val="clear" w:color="auto" w:fill="6F6652"/>
            <w:tcMar>
              <w:left w:w="57" w:type="dxa"/>
              <w:right w:w="57" w:type="dxa"/>
            </w:tcMar>
          </w:tcPr>
          <w:p w14:paraId="772B69E0" w14:textId="77777777" w:rsidR="00ED0E85" w:rsidRPr="000B5E5B" w:rsidRDefault="00ED0E85" w:rsidP="00ED0E85">
            <w:pPr>
              <w:pStyle w:val="TableDataColumnHeading"/>
              <w:rPr>
                <w:bCs/>
                <w:lang w:val="en-GB"/>
              </w:rPr>
            </w:pPr>
            <w:r w:rsidRPr="000B5E5B">
              <w:rPr>
                <w:bCs/>
                <w:lang w:val="en-GB"/>
              </w:rPr>
              <w:t>Vic</w:t>
            </w:r>
          </w:p>
        </w:tc>
        <w:tc>
          <w:tcPr>
            <w:tcW w:w="698" w:type="dxa"/>
            <w:shd w:val="clear" w:color="auto" w:fill="6F6652"/>
            <w:tcMar>
              <w:left w:w="57" w:type="dxa"/>
              <w:right w:w="57" w:type="dxa"/>
            </w:tcMar>
          </w:tcPr>
          <w:p w14:paraId="57899BC0" w14:textId="77777777" w:rsidR="00ED0E85" w:rsidRPr="000B5E5B" w:rsidRDefault="00ED0E85" w:rsidP="00ED0E85">
            <w:pPr>
              <w:pStyle w:val="TableDataColumnHeading"/>
              <w:rPr>
                <w:bCs/>
                <w:lang w:val="en-GB"/>
              </w:rPr>
            </w:pPr>
            <w:r w:rsidRPr="000B5E5B">
              <w:rPr>
                <w:bCs/>
                <w:lang w:val="en-GB"/>
              </w:rPr>
              <w:t>Qld</w:t>
            </w:r>
          </w:p>
        </w:tc>
        <w:tc>
          <w:tcPr>
            <w:tcW w:w="698" w:type="dxa"/>
            <w:shd w:val="clear" w:color="auto" w:fill="6F6652"/>
            <w:tcMar>
              <w:left w:w="57" w:type="dxa"/>
              <w:right w:w="57" w:type="dxa"/>
            </w:tcMar>
          </w:tcPr>
          <w:p w14:paraId="55290BCF" w14:textId="77777777" w:rsidR="00ED0E85" w:rsidRPr="000B5E5B" w:rsidRDefault="00ED0E85" w:rsidP="00ED0E85">
            <w:pPr>
              <w:pStyle w:val="TableDataColumnHeading"/>
              <w:rPr>
                <w:bCs/>
                <w:lang w:val="en-GB"/>
              </w:rPr>
            </w:pPr>
            <w:r w:rsidRPr="000B5E5B">
              <w:rPr>
                <w:bCs/>
                <w:lang w:val="en-GB"/>
              </w:rPr>
              <w:t>WA</w:t>
            </w:r>
          </w:p>
        </w:tc>
        <w:tc>
          <w:tcPr>
            <w:tcW w:w="698" w:type="dxa"/>
            <w:shd w:val="clear" w:color="auto" w:fill="6F6652"/>
            <w:tcMar>
              <w:left w:w="57" w:type="dxa"/>
              <w:right w:w="57" w:type="dxa"/>
            </w:tcMar>
          </w:tcPr>
          <w:p w14:paraId="22B6F618" w14:textId="77777777" w:rsidR="00ED0E85" w:rsidRPr="000B5E5B" w:rsidRDefault="00ED0E85" w:rsidP="00ED0E85">
            <w:pPr>
              <w:pStyle w:val="TableDataColumnHeading"/>
              <w:rPr>
                <w:bCs/>
                <w:lang w:val="en-GB"/>
              </w:rPr>
            </w:pPr>
            <w:r w:rsidRPr="000B5E5B">
              <w:rPr>
                <w:bCs/>
                <w:lang w:val="en-GB"/>
              </w:rPr>
              <w:t>SA</w:t>
            </w:r>
          </w:p>
        </w:tc>
        <w:tc>
          <w:tcPr>
            <w:tcW w:w="698" w:type="dxa"/>
            <w:shd w:val="clear" w:color="auto" w:fill="6F6652"/>
            <w:tcMar>
              <w:left w:w="57" w:type="dxa"/>
              <w:right w:w="57" w:type="dxa"/>
            </w:tcMar>
          </w:tcPr>
          <w:p w14:paraId="600BADCA" w14:textId="77777777" w:rsidR="00ED0E85" w:rsidRPr="000B5E5B" w:rsidRDefault="00ED0E85" w:rsidP="00ED0E85">
            <w:pPr>
              <w:pStyle w:val="TableDataColumnHeading"/>
              <w:rPr>
                <w:bCs/>
                <w:lang w:val="en-GB"/>
              </w:rPr>
            </w:pPr>
            <w:r w:rsidRPr="000B5E5B">
              <w:rPr>
                <w:bCs/>
                <w:lang w:val="en-GB"/>
              </w:rPr>
              <w:t>Tas</w:t>
            </w:r>
          </w:p>
        </w:tc>
        <w:tc>
          <w:tcPr>
            <w:tcW w:w="698" w:type="dxa"/>
            <w:shd w:val="clear" w:color="auto" w:fill="6F6652"/>
            <w:tcMar>
              <w:left w:w="57" w:type="dxa"/>
              <w:right w:w="57" w:type="dxa"/>
            </w:tcMar>
          </w:tcPr>
          <w:p w14:paraId="3B170BA1" w14:textId="77777777" w:rsidR="00ED0E85" w:rsidRPr="000B5E5B" w:rsidRDefault="00ED0E85" w:rsidP="00ED0E85">
            <w:pPr>
              <w:pStyle w:val="TableDataColumnHeading"/>
              <w:rPr>
                <w:bCs/>
                <w:lang w:val="en-GB"/>
              </w:rPr>
            </w:pPr>
            <w:r w:rsidRPr="000B5E5B">
              <w:rPr>
                <w:bCs/>
                <w:lang w:val="en-GB"/>
              </w:rPr>
              <w:t>ACT</w:t>
            </w:r>
          </w:p>
        </w:tc>
        <w:tc>
          <w:tcPr>
            <w:tcW w:w="698" w:type="dxa"/>
            <w:shd w:val="clear" w:color="auto" w:fill="6F6652"/>
            <w:tcMar>
              <w:left w:w="57" w:type="dxa"/>
              <w:right w:w="57" w:type="dxa"/>
            </w:tcMar>
          </w:tcPr>
          <w:p w14:paraId="7E25F2E1" w14:textId="77777777" w:rsidR="00ED0E85" w:rsidRPr="000B5E5B" w:rsidRDefault="00ED0E85" w:rsidP="00ED0E85">
            <w:pPr>
              <w:pStyle w:val="TableDataColumnHeading"/>
              <w:rPr>
                <w:bCs/>
                <w:lang w:val="en-GB"/>
              </w:rPr>
            </w:pPr>
            <w:r w:rsidRPr="000B5E5B">
              <w:rPr>
                <w:bCs/>
                <w:lang w:val="en-GB"/>
              </w:rPr>
              <w:t>NT</w:t>
            </w:r>
          </w:p>
        </w:tc>
        <w:tc>
          <w:tcPr>
            <w:tcW w:w="698" w:type="dxa"/>
            <w:shd w:val="clear" w:color="auto" w:fill="6F6652"/>
            <w:tcMar>
              <w:left w:w="57" w:type="dxa"/>
              <w:right w:w="57" w:type="dxa"/>
            </w:tcMar>
          </w:tcPr>
          <w:p w14:paraId="10E3A850" w14:textId="77777777" w:rsidR="00ED0E85" w:rsidRPr="000B5E5B" w:rsidRDefault="00ED0E85" w:rsidP="00ED0E85">
            <w:pPr>
              <w:pStyle w:val="TableDataColumnHeading"/>
              <w:rPr>
                <w:bCs/>
                <w:lang w:val="en-GB"/>
              </w:rPr>
            </w:pPr>
            <w:r w:rsidRPr="000B5E5B">
              <w:rPr>
                <w:bCs/>
                <w:lang w:val="en-GB"/>
              </w:rPr>
              <w:t>Total</w:t>
            </w:r>
          </w:p>
        </w:tc>
      </w:tr>
      <w:tr w:rsidR="00ED0E85" w14:paraId="744D7548" w14:textId="77777777" w:rsidTr="00ED0E85">
        <w:trPr>
          <w:trHeight w:val="230"/>
          <w:tblHeader/>
        </w:trPr>
        <w:tc>
          <w:tcPr>
            <w:tcW w:w="1652" w:type="dxa"/>
            <w:tcBorders>
              <w:bottom w:val="single" w:sz="8" w:space="0" w:color="FFFFFF" w:themeColor="background1"/>
            </w:tcBorders>
            <w:shd w:val="clear" w:color="auto" w:fill="auto"/>
            <w:tcMar>
              <w:left w:w="57" w:type="dxa"/>
              <w:right w:w="57" w:type="dxa"/>
            </w:tcMar>
          </w:tcPr>
          <w:p w14:paraId="4C4DC8CD" w14:textId="77777777" w:rsidR="00ED0E85" w:rsidRDefault="00ED0E85" w:rsidP="00ED0E85">
            <w:pPr>
              <w:pStyle w:val="TableUnit"/>
              <w:jc w:val="left"/>
              <w:rPr>
                <w:lang w:val="en-GB"/>
              </w:rPr>
            </w:pPr>
          </w:p>
        </w:tc>
        <w:tc>
          <w:tcPr>
            <w:tcW w:w="698" w:type="dxa"/>
            <w:tcBorders>
              <w:bottom w:val="single" w:sz="8" w:space="0" w:color="FFFFFF" w:themeColor="background1"/>
            </w:tcBorders>
            <w:shd w:val="clear" w:color="auto" w:fill="auto"/>
            <w:tcMar>
              <w:left w:w="57" w:type="dxa"/>
              <w:right w:w="57" w:type="dxa"/>
            </w:tcMar>
          </w:tcPr>
          <w:p w14:paraId="5F1D4E8A" w14:textId="77777777" w:rsidR="00ED0E85" w:rsidRDefault="00ED0E85" w:rsidP="00ED0E85">
            <w:pPr>
              <w:pStyle w:val="TableUnit"/>
              <w:rPr>
                <w:lang w:val="en-GB"/>
              </w:rPr>
            </w:pPr>
            <w:r>
              <w:rPr>
                <w:lang w:val="en-GB"/>
              </w:rPr>
              <w:t>$ million</w:t>
            </w:r>
          </w:p>
        </w:tc>
        <w:tc>
          <w:tcPr>
            <w:tcW w:w="698" w:type="dxa"/>
            <w:tcBorders>
              <w:bottom w:val="single" w:sz="8" w:space="0" w:color="FFFFFF" w:themeColor="background1"/>
            </w:tcBorders>
            <w:shd w:val="clear" w:color="auto" w:fill="auto"/>
            <w:tcMar>
              <w:left w:w="57" w:type="dxa"/>
              <w:right w:w="57" w:type="dxa"/>
            </w:tcMar>
          </w:tcPr>
          <w:p w14:paraId="025AFDD2" w14:textId="77777777" w:rsidR="00ED0E85" w:rsidRDefault="00ED0E85" w:rsidP="00ED0E85">
            <w:pPr>
              <w:pStyle w:val="TableUnit"/>
              <w:rPr>
                <w:lang w:val="en-GB"/>
              </w:rPr>
            </w:pPr>
            <w:r>
              <w:rPr>
                <w:lang w:val="en-GB"/>
              </w:rPr>
              <w:t>$ million</w:t>
            </w:r>
          </w:p>
        </w:tc>
        <w:tc>
          <w:tcPr>
            <w:tcW w:w="698" w:type="dxa"/>
            <w:tcBorders>
              <w:bottom w:val="single" w:sz="8" w:space="0" w:color="FFFFFF" w:themeColor="background1"/>
            </w:tcBorders>
            <w:shd w:val="clear" w:color="auto" w:fill="auto"/>
            <w:tcMar>
              <w:left w:w="57" w:type="dxa"/>
              <w:right w:w="57" w:type="dxa"/>
            </w:tcMar>
          </w:tcPr>
          <w:p w14:paraId="77C8142A" w14:textId="77777777" w:rsidR="00ED0E85" w:rsidRDefault="00ED0E85" w:rsidP="00ED0E85">
            <w:pPr>
              <w:pStyle w:val="TableUnit"/>
              <w:rPr>
                <w:lang w:val="en-GB"/>
              </w:rPr>
            </w:pPr>
            <w:r>
              <w:rPr>
                <w:lang w:val="en-GB"/>
              </w:rPr>
              <w:t>$ million</w:t>
            </w:r>
          </w:p>
        </w:tc>
        <w:tc>
          <w:tcPr>
            <w:tcW w:w="698" w:type="dxa"/>
            <w:tcBorders>
              <w:bottom w:val="single" w:sz="8" w:space="0" w:color="FFFFFF" w:themeColor="background1"/>
            </w:tcBorders>
            <w:shd w:val="clear" w:color="auto" w:fill="auto"/>
            <w:tcMar>
              <w:left w:w="57" w:type="dxa"/>
              <w:right w:w="57" w:type="dxa"/>
            </w:tcMar>
          </w:tcPr>
          <w:p w14:paraId="51BA75E9" w14:textId="77777777" w:rsidR="00ED0E85" w:rsidRDefault="00ED0E85" w:rsidP="00ED0E85">
            <w:pPr>
              <w:pStyle w:val="TableUnit"/>
              <w:rPr>
                <w:lang w:val="en-GB"/>
              </w:rPr>
            </w:pPr>
            <w:r>
              <w:rPr>
                <w:lang w:val="en-GB"/>
              </w:rPr>
              <w:t>$ million</w:t>
            </w:r>
          </w:p>
        </w:tc>
        <w:tc>
          <w:tcPr>
            <w:tcW w:w="698" w:type="dxa"/>
            <w:tcBorders>
              <w:bottom w:val="single" w:sz="8" w:space="0" w:color="FFFFFF" w:themeColor="background1"/>
            </w:tcBorders>
            <w:shd w:val="clear" w:color="auto" w:fill="auto"/>
            <w:tcMar>
              <w:left w:w="57" w:type="dxa"/>
              <w:right w:w="57" w:type="dxa"/>
            </w:tcMar>
          </w:tcPr>
          <w:p w14:paraId="794A56B7" w14:textId="77777777" w:rsidR="00ED0E85" w:rsidRDefault="00ED0E85" w:rsidP="00ED0E85">
            <w:pPr>
              <w:pStyle w:val="TableUnit"/>
              <w:rPr>
                <w:lang w:val="en-GB"/>
              </w:rPr>
            </w:pPr>
            <w:r>
              <w:rPr>
                <w:lang w:val="en-GB"/>
              </w:rPr>
              <w:t>$ million</w:t>
            </w:r>
          </w:p>
        </w:tc>
        <w:tc>
          <w:tcPr>
            <w:tcW w:w="698" w:type="dxa"/>
            <w:tcBorders>
              <w:bottom w:val="single" w:sz="8" w:space="0" w:color="FFFFFF" w:themeColor="background1"/>
            </w:tcBorders>
            <w:shd w:val="clear" w:color="auto" w:fill="auto"/>
            <w:tcMar>
              <w:left w:w="57" w:type="dxa"/>
              <w:right w:w="57" w:type="dxa"/>
            </w:tcMar>
          </w:tcPr>
          <w:p w14:paraId="33ED99FA" w14:textId="77777777" w:rsidR="00ED0E85" w:rsidRDefault="00ED0E85" w:rsidP="00ED0E85">
            <w:pPr>
              <w:pStyle w:val="TableUnit"/>
              <w:rPr>
                <w:lang w:val="en-GB"/>
              </w:rPr>
            </w:pPr>
            <w:r>
              <w:rPr>
                <w:lang w:val="en-GB"/>
              </w:rPr>
              <w:t>$ million</w:t>
            </w:r>
          </w:p>
        </w:tc>
        <w:tc>
          <w:tcPr>
            <w:tcW w:w="698" w:type="dxa"/>
            <w:tcBorders>
              <w:bottom w:val="single" w:sz="8" w:space="0" w:color="FFFFFF" w:themeColor="background1"/>
            </w:tcBorders>
            <w:shd w:val="clear" w:color="auto" w:fill="auto"/>
            <w:tcMar>
              <w:left w:w="57" w:type="dxa"/>
              <w:right w:w="57" w:type="dxa"/>
            </w:tcMar>
          </w:tcPr>
          <w:p w14:paraId="3D38CA16" w14:textId="77777777" w:rsidR="00ED0E85" w:rsidRDefault="00ED0E85" w:rsidP="00ED0E85">
            <w:pPr>
              <w:pStyle w:val="TableUnit"/>
              <w:rPr>
                <w:lang w:val="en-GB"/>
              </w:rPr>
            </w:pPr>
            <w:r>
              <w:rPr>
                <w:lang w:val="en-GB"/>
              </w:rPr>
              <w:t>$ million</w:t>
            </w:r>
          </w:p>
        </w:tc>
        <w:tc>
          <w:tcPr>
            <w:tcW w:w="698" w:type="dxa"/>
            <w:tcBorders>
              <w:bottom w:val="single" w:sz="8" w:space="0" w:color="FFFFFF" w:themeColor="background1"/>
            </w:tcBorders>
            <w:shd w:val="clear" w:color="auto" w:fill="auto"/>
            <w:tcMar>
              <w:left w:w="57" w:type="dxa"/>
              <w:right w:w="57" w:type="dxa"/>
            </w:tcMar>
          </w:tcPr>
          <w:p w14:paraId="46AD85A9" w14:textId="77777777" w:rsidR="00ED0E85" w:rsidRDefault="00ED0E85" w:rsidP="00ED0E85">
            <w:pPr>
              <w:pStyle w:val="TableUnit"/>
              <w:rPr>
                <w:lang w:val="en-GB"/>
              </w:rPr>
            </w:pPr>
            <w:r>
              <w:rPr>
                <w:lang w:val="en-GB"/>
              </w:rPr>
              <w:t>$ million</w:t>
            </w:r>
          </w:p>
        </w:tc>
        <w:tc>
          <w:tcPr>
            <w:tcW w:w="698" w:type="dxa"/>
            <w:tcBorders>
              <w:bottom w:val="single" w:sz="8" w:space="0" w:color="FFFFFF" w:themeColor="background1"/>
            </w:tcBorders>
            <w:shd w:val="clear" w:color="auto" w:fill="auto"/>
            <w:tcMar>
              <w:left w:w="57" w:type="dxa"/>
              <w:right w:w="57" w:type="dxa"/>
            </w:tcMar>
          </w:tcPr>
          <w:p w14:paraId="09ED6BCE" w14:textId="77777777" w:rsidR="00ED0E85" w:rsidRDefault="00ED0E85" w:rsidP="00ED0E85">
            <w:pPr>
              <w:pStyle w:val="TableUnit"/>
              <w:rPr>
                <w:lang w:val="en-GB"/>
              </w:rPr>
            </w:pPr>
            <w:r>
              <w:rPr>
                <w:lang w:val="en-GB"/>
              </w:rPr>
              <w:t>$ million</w:t>
            </w:r>
          </w:p>
        </w:tc>
      </w:tr>
      <w:tr w:rsidR="00ED0E85" w14:paraId="428E80F7" w14:textId="77777777" w:rsidTr="00ED0E85">
        <w:trPr>
          <w:trHeight w:val="269"/>
        </w:trPr>
        <w:tc>
          <w:tcPr>
            <w:tcW w:w="7934" w:type="dxa"/>
            <w:gridSpan w:val="10"/>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A9934E1" w14:textId="77777777" w:rsidR="00ED0E85" w:rsidRDefault="00ED0E85" w:rsidP="00ED0E85">
            <w:pPr>
              <w:pStyle w:val="TableHeading1"/>
              <w:rPr>
                <w:lang w:val="en-GB"/>
              </w:rPr>
            </w:pPr>
            <w:r>
              <w:rPr>
                <w:lang w:val="en-GB"/>
              </w:rPr>
              <w:t>CBD Program - original design</w:t>
            </w:r>
          </w:p>
        </w:tc>
      </w:tr>
      <w:tr w:rsidR="00ED0E85" w14:paraId="3905F848"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F66CC7" w14:textId="77777777" w:rsidR="00ED0E85" w:rsidRDefault="00ED0E85" w:rsidP="00ED0E85">
            <w:pPr>
              <w:pStyle w:val="TableHeading2"/>
              <w:rPr>
                <w:lang w:val="en-GB"/>
              </w:rPr>
            </w:pPr>
            <w:r>
              <w:rPr>
                <w:lang w:val="en-GB"/>
              </w:rPr>
              <w:t>Private benefits/costs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B80175" w14:textId="77777777" w:rsidR="00ED0E85" w:rsidRDefault="00ED0E85" w:rsidP="00ED0E85">
            <w:pPr>
              <w:pStyle w:val="TableHeading2"/>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1CC663" w14:textId="77777777" w:rsidR="00ED0E85" w:rsidRDefault="00ED0E85" w:rsidP="00ED0E85">
            <w:pPr>
              <w:pStyle w:val="TableHeading2"/>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F3987D" w14:textId="77777777" w:rsidR="00ED0E85" w:rsidRDefault="00ED0E85" w:rsidP="00ED0E85">
            <w:pPr>
              <w:pStyle w:val="TableHeading2"/>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2DA2B2" w14:textId="77777777" w:rsidR="00ED0E85" w:rsidRDefault="00ED0E85" w:rsidP="00ED0E85">
            <w:pPr>
              <w:pStyle w:val="TableHeading2"/>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C72B62" w14:textId="77777777" w:rsidR="00ED0E85" w:rsidRDefault="00ED0E85" w:rsidP="00ED0E85">
            <w:pPr>
              <w:pStyle w:val="TableHeading2"/>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D8023A" w14:textId="77777777" w:rsidR="00ED0E85" w:rsidRDefault="00ED0E85" w:rsidP="00ED0E85">
            <w:pPr>
              <w:pStyle w:val="TableHeading2"/>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DA61AD" w14:textId="77777777" w:rsidR="00ED0E85" w:rsidRDefault="00ED0E85" w:rsidP="00ED0E85">
            <w:pPr>
              <w:pStyle w:val="TableHeading2"/>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E1E2A5" w14:textId="77777777" w:rsidR="00ED0E85" w:rsidRDefault="00ED0E85" w:rsidP="00ED0E85">
            <w:pPr>
              <w:pStyle w:val="TableHeading2"/>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C0A1A4" w14:textId="77777777" w:rsidR="00ED0E85" w:rsidRDefault="00ED0E85" w:rsidP="00ED0E85">
            <w:pPr>
              <w:pStyle w:val="TableHeading2"/>
              <w:rPr>
                <w:lang w:val="en-GB"/>
              </w:rPr>
            </w:pPr>
          </w:p>
        </w:tc>
      </w:tr>
      <w:tr w:rsidR="00ED0E85" w14:paraId="0B98F984"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12A49E" w14:textId="77777777" w:rsidR="00ED0E85" w:rsidRDefault="00ED0E85" w:rsidP="00ED0E85">
            <w:pPr>
              <w:pStyle w:val="TableDataEntries"/>
              <w:jc w:val="left"/>
              <w:rPr>
                <w:lang w:val="en-GB"/>
              </w:rPr>
            </w:pPr>
            <w:r>
              <w:rPr>
                <w:lang w:val="en-GB"/>
              </w:rPr>
              <w:t>Electricity savings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7421FA9" w14:textId="77777777" w:rsidR="00ED0E85" w:rsidRDefault="00ED0E85" w:rsidP="00ED0E85">
            <w:pPr>
              <w:pStyle w:val="TableDataEntries"/>
              <w:rPr>
                <w:lang w:val="en-GB"/>
              </w:rPr>
            </w:pPr>
            <w:r>
              <w:t xml:space="preserve"> 57.39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EC55D34" w14:textId="77777777" w:rsidR="00ED0E85" w:rsidRDefault="00ED0E85" w:rsidP="00ED0E85">
            <w:pPr>
              <w:pStyle w:val="TableDataEntries"/>
              <w:rPr>
                <w:lang w:val="en-GB"/>
              </w:rPr>
            </w:pPr>
            <w:r>
              <w:t xml:space="preserve"> 72.67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4956051" w14:textId="77777777" w:rsidR="00ED0E85" w:rsidRDefault="00ED0E85" w:rsidP="00ED0E85">
            <w:pPr>
              <w:pStyle w:val="TableDataEntries"/>
              <w:rPr>
                <w:lang w:val="en-GB"/>
              </w:rPr>
            </w:pPr>
            <w:r>
              <w:t xml:space="preserve"> 38.98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19CE7C1" w14:textId="77777777" w:rsidR="00ED0E85" w:rsidRDefault="00ED0E85" w:rsidP="00ED0E85">
            <w:pPr>
              <w:pStyle w:val="TableDataEntries"/>
              <w:rPr>
                <w:lang w:val="en-GB"/>
              </w:rPr>
            </w:pPr>
            <w:r>
              <w:t xml:space="preserve"> 24.09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B73B946" w14:textId="77777777" w:rsidR="00ED0E85" w:rsidRDefault="00ED0E85" w:rsidP="00ED0E85">
            <w:pPr>
              <w:pStyle w:val="TableDataEntries"/>
              <w:rPr>
                <w:lang w:val="en-GB"/>
              </w:rPr>
            </w:pPr>
            <w:r>
              <w:t xml:space="preserve"> 6.96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19763F4" w14:textId="77777777" w:rsidR="00ED0E85" w:rsidRDefault="00ED0E85" w:rsidP="00ED0E85">
            <w:pPr>
              <w:pStyle w:val="TableDataEntries"/>
              <w:rPr>
                <w:lang w:val="en-GB"/>
              </w:rPr>
            </w:pPr>
            <w:r>
              <w:t>- 20.03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7E28A50" w14:textId="77777777" w:rsidR="00ED0E85" w:rsidRDefault="00ED0E85" w:rsidP="00ED0E85">
            <w:pPr>
              <w:pStyle w:val="TableDataEntries"/>
              <w:rPr>
                <w:lang w:val="en-GB"/>
              </w:rPr>
            </w:pPr>
            <w:r>
              <w:t xml:space="preserve"> 6.48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8E116E0" w14:textId="77777777" w:rsidR="00ED0E85" w:rsidRDefault="00ED0E85" w:rsidP="00ED0E85">
            <w:pPr>
              <w:pStyle w:val="TableDataEntries"/>
              <w:rPr>
                <w:lang w:val="en-GB"/>
              </w:rPr>
            </w:pPr>
            <w:r>
              <w:t xml:space="preserve"> 1.30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E3753DC" w14:textId="77777777" w:rsidR="00ED0E85" w:rsidRDefault="00ED0E85" w:rsidP="00ED0E85">
            <w:pPr>
              <w:pStyle w:val="TableDataEntries"/>
              <w:rPr>
                <w:lang w:val="en-GB"/>
              </w:rPr>
            </w:pPr>
            <w:r>
              <w:t xml:space="preserve"> 187.85</w:t>
            </w:r>
          </w:p>
        </w:tc>
      </w:tr>
      <w:tr w:rsidR="00ED0E85" w14:paraId="41BEBDB5"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A8E139" w14:textId="77777777" w:rsidR="00ED0E85" w:rsidRDefault="00ED0E85" w:rsidP="00ED0E85">
            <w:pPr>
              <w:pStyle w:val="TableDataEntries"/>
              <w:jc w:val="left"/>
              <w:rPr>
                <w:lang w:val="en-GB"/>
              </w:rPr>
            </w:pPr>
            <w:r>
              <w:rPr>
                <w:lang w:val="en-GB"/>
              </w:rPr>
              <w:t>Gas savings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7D4F7E4" w14:textId="77777777" w:rsidR="00ED0E85" w:rsidRDefault="00ED0E85" w:rsidP="00ED0E85">
            <w:pPr>
              <w:pStyle w:val="TableDataEntries"/>
              <w:rPr>
                <w:lang w:val="en-GB"/>
              </w:rPr>
            </w:pPr>
            <w:r>
              <w:t xml:space="preserve"> 32.96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036916F" w14:textId="77777777" w:rsidR="00ED0E85" w:rsidRDefault="00ED0E85" w:rsidP="00ED0E85">
            <w:pPr>
              <w:pStyle w:val="TableDataEntries"/>
              <w:rPr>
                <w:lang w:val="en-GB"/>
              </w:rPr>
            </w:pPr>
            <w:r>
              <w:t xml:space="preserve"> 20.87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8764497" w14:textId="77777777" w:rsidR="00ED0E85" w:rsidRDefault="00ED0E85" w:rsidP="00ED0E85">
            <w:pPr>
              <w:pStyle w:val="TableDataEntries"/>
              <w:rPr>
                <w:lang w:val="en-GB"/>
              </w:rPr>
            </w:pPr>
            <w:r>
              <w:t xml:space="preserve"> 23.34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C321298" w14:textId="77777777" w:rsidR="00ED0E85" w:rsidRDefault="00ED0E85" w:rsidP="00ED0E85">
            <w:pPr>
              <w:pStyle w:val="TableDataEntries"/>
              <w:rPr>
                <w:lang w:val="en-GB"/>
              </w:rPr>
            </w:pPr>
            <w:r>
              <w:t xml:space="preserve"> 4.26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80044D6" w14:textId="77777777" w:rsidR="00ED0E85" w:rsidRDefault="00ED0E85" w:rsidP="00ED0E85">
            <w:pPr>
              <w:pStyle w:val="TableDataEntries"/>
              <w:rPr>
                <w:lang w:val="en-GB"/>
              </w:rPr>
            </w:pPr>
            <w:r>
              <w:t xml:space="preserve"> 3.90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D5D83A3" w14:textId="77777777" w:rsidR="00ED0E85" w:rsidRDefault="00ED0E85" w:rsidP="00ED0E85">
            <w:pPr>
              <w:pStyle w:val="TableDataEntries"/>
              <w:rPr>
                <w:lang w:val="en-GB"/>
              </w:rPr>
            </w:pPr>
            <w:r>
              <w:t xml:space="preserve"> 19.28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78FB90A" w14:textId="77777777" w:rsidR="00ED0E85" w:rsidRDefault="00ED0E85" w:rsidP="00ED0E85">
            <w:pPr>
              <w:pStyle w:val="TableDataEntries"/>
              <w:rPr>
                <w:lang w:val="en-GB"/>
              </w:rPr>
            </w:pPr>
            <w:r>
              <w:t xml:space="preserve"> 6.83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FBA90A5" w14:textId="77777777" w:rsidR="00ED0E85" w:rsidRDefault="00ED0E85" w:rsidP="00ED0E85">
            <w:pPr>
              <w:pStyle w:val="TableDataEntries"/>
              <w:rPr>
                <w:lang w:val="en-GB"/>
              </w:rPr>
            </w:pPr>
            <w:r>
              <w:t xml:space="preserve"> 0.57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34BE5E0" w14:textId="77777777" w:rsidR="00ED0E85" w:rsidRDefault="00ED0E85" w:rsidP="00ED0E85">
            <w:pPr>
              <w:pStyle w:val="TableDataEntries"/>
              <w:rPr>
                <w:lang w:val="en-GB"/>
              </w:rPr>
            </w:pPr>
            <w:r>
              <w:t xml:space="preserve"> 112.02</w:t>
            </w:r>
          </w:p>
        </w:tc>
      </w:tr>
      <w:tr w:rsidR="00ED0E85" w14:paraId="402043A2"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80A1FE" w14:textId="77777777" w:rsidR="00ED0E85" w:rsidRDefault="00ED0E85" w:rsidP="00ED0E85">
            <w:pPr>
              <w:pStyle w:val="TableDataEntries"/>
              <w:jc w:val="left"/>
              <w:rPr>
                <w:lang w:val="en-GB"/>
              </w:rPr>
            </w:pPr>
            <w:r>
              <w:rPr>
                <w:lang w:val="en-GB"/>
              </w:rPr>
              <w:t>Upgrade 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AD373ED" w14:textId="77777777" w:rsidR="00ED0E85" w:rsidRDefault="00ED0E85" w:rsidP="00ED0E85">
            <w:pPr>
              <w:pStyle w:val="TableDataEntries"/>
              <w:rPr>
                <w:lang w:val="en-GB"/>
              </w:rPr>
            </w:pPr>
            <w:r>
              <w:t>- 53.07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D131F17" w14:textId="77777777" w:rsidR="00ED0E85" w:rsidRDefault="00ED0E85" w:rsidP="00ED0E85">
            <w:pPr>
              <w:pStyle w:val="TableDataEntries"/>
              <w:rPr>
                <w:lang w:val="en-GB"/>
              </w:rPr>
            </w:pPr>
            <w:r>
              <w:t>- 53.66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9CA6F2" w14:textId="77777777" w:rsidR="00ED0E85" w:rsidRDefault="00ED0E85" w:rsidP="00ED0E85">
            <w:pPr>
              <w:pStyle w:val="TableDataEntries"/>
              <w:rPr>
                <w:lang w:val="en-GB"/>
              </w:rPr>
            </w:pPr>
            <w:r>
              <w:t>- 27.32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1BD79D7" w14:textId="77777777" w:rsidR="00ED0E85" w:rsidRDefault="00ED0E85" w:rsidP="00ED0E85">
            <w:pPr>
              <w:pStyle w:val="TableDataEntries"/>
              <w:rPr>
                <w:lang w:val="en-GB"/>
              </w:rPr>
            </w:pPr>
            <w:r>
              <w:t>- 13.68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CF80478" w14:textId="77777777" w:rsidR="00ED0E85" w:rsidRDefault="00ED0E85" w:rsidP="00ED0E85">
            <w:pPr>
              <w:pStyle w:val="TableDataEntries"/>
              <w:rPr>
                <w:lang w:val="en-GB"/>
              </w:rPr>
            </w:pPr>
            <w:r>
              <w:t>- 5.55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1D067DC" w14:textId="77777777" w:rsidR="00ED0E85" w:rsidRDefault="00ED0E85" w:rsidP="00ED0E85">
            <w:pPr>
              <w:pStyle w:val="TableDataEntries"/>
              <w:rPr>
                <w:lang w:val="en-GB"/>
              </w:rPr>
            </w:pPr>
            <w:r>
              <w:t>- 0.74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32D0491" w14:textId="77777777" w:rsidR="00ED0E85" w:rsidRDefault="00ED0E85" w:rsidP="00ED0E85">
            <w:pPr>
              <w:pStyle w:val="TableDataEntries"/>
              <w:rPr>
                <w:lang w:val="en-GB"/>
              </w:rPr>
            </w:pPr>
            <w:r>
              <w:t>- 9.26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14F782" w14:textId="77777777" w:rsidR="00ED0E85" w:rsidRDefault="00ED0E85" w:rsidP="00ED0E85">
            <w:pPr>
              <w:pStyle w:val="TableDataEntries"/>
              <w:rPr>
                <w:lang w:val="en-GB"/>
              </w:rPr>
            </w:pPr>
            <w:r>
              <w:t>- 1.11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C6815FB" w14:textId="77777777" w:rsidR="00ED0E85" w:rsidRDefault="00ED0E85" w:rsidP="00ED0E85">
            <w:pPr>
              <w:pStyle w:val="TableDataEntries"/>
              <w:rPr>
                <w:lang w:val="en-GB"/>
              </w:rPr>
            </w:pPr>
            <w:r>
              <w:t>- 164.39</w:t>
            </w:r>
          </w:p>
        </w:tc>
      </w:tr>
      <w:tr w:rsidR="00ED0E85" w14:paraId="037E15E1"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CF64A9" w14:textId="77777777" w:rsidR="00ED0E85" w:rsidRDefault="00ED0E85" w:rsidP="00ED0E85">
            <w:pPr>
              <w:pStyle w:val="TableDataEntries"/>
              <w:jc w:val="left"/>
              <w:rPr>
                <w:lang w:val="en-GB"/>
              </w:rPr>
            </w:pPr>
            <w:r>
              <w:rPr>
                <w:lang w:val="en-GB"/>
              </w:rPr>
              <w:t>Compliance costs - NABERS ratings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F5573D3" w14:textId="77777777" w:rsidR="00ED0E85" w:rsidRDefault="00ED0E85" w:rsidP="00ED0E85">
            <w:pPr>
              <w:pStyle w:val="TableDataEntries"/>
              <w:rPr>
                <w:lang w:val="en-GB"/>
              </w:rPr>
            </w:pPr>
            <w:r>
              <w:t>- 14.61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C49239F" w14:textId="77777777" w:rsidR="00ED0E85" w:rsidRDefault="00ED0E85" w:rsidP="00ED0E85">
            <w:pPr>
              <w:pStyle w:val="TableDataEntries"/>
              <w:rPr>
                <w:lang w:val="en-GB"/>
              </w:rPr>
            </w:pPr>
            <w:r>
              <w:t>- 10.21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E8468F" w14:textId="77777777" w:rsidR="00ED0E85" w:rsidRDefault="00ED0E85" w:rsidP="00ED0E85">
            <w:pPr>
              <w:pStyle w:val="TableDataEntries"/>
              <w:rPr>
                <w:lang w:val="en-GB"/>
              </w:rPr>
            </w:pPr>
            <w:r>
              <w:t>- 9.29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5E78D7A" w14:textId="77777777" w:rsidR="00ED0E85" w:rsidRDefault="00ED0E85" w:rsidP="00ED0E85">
            <w:pPr>
              <w:pStyle w:val="TableDataEntries"/>
              <w:rPr>
                <w:lang w:val="en-GB"/>
              </w:rPr>
            </w:pPr>
            <w:r>
              <w:t>- 5.67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F2B5DA1" w14:textId="77777777" w:rsidR="00ED0E85" w:rsidRDefault="00ED0E85" w:rsidP="00ED0E85">
            <w:pPr>
              <w:pStyle w:val="TableDataEntries"/>
              <w:rPr>
                <w:lang w:val="en-GB"/>
              </w:rPr>
            </w:pPr>
            <w:r>
              <w:t>- 2.52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DB3E14D" w14:textId="77777777" w:rsidR="00ED0E85" w:rsidRDefault="00ED0E85" w:rsidP="00ED0E85">
            <w:pPr>
              <w:pStyle w:val="TableDataEntries"/>
              <w:rPr>
                <w:lang w:val="en-GB"/>
              </w:rPr>
            </w:pPr>
            <w:r>
              <w:t>- 0.97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8D70B76" w14:textId="77777777" w:rsidR="00ED0E85" w:rsidRDefault="00ED0E85" w:rsidP="00ED0E85">
            <w:pPr>
              <w:pStyle w:val="TableDataEntries"/>
              <w:rPr>
                <w:lang w:val="en-GB"/>
              </w:rPr>
            </w:pPr>
            <w:r>
              <w:t>- 3.10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DF6218" w14:textId="77777777" w:rsidR="00ED0E85" w:rsidRDefault="00ED0E85" w:rsidP="00ED0E85">
            <w:pPr>
              <w:pStyle w:val="TableDataEntries"/>
              <w:rPr>
                <w:lang w:val="en-GB"/>
              </w:rPr>
            </w:pPr>
            <w:r>
              <w:t>- 0.78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0C2FD58" w14:textId="77777777" w:rsidR="00ED0E85" w:rsidRDefault="00ED0E85" w:rsidP="00ED0E85">
            <w:pPr>
              <w:pStyle w:val="TableDataEntries"/>
              <w:rPr>
                <w:lang w:val="en-GB"/>
              </w:rPr>
            </w:pPr>
            <w:r>
              <w:t>- 47.15</w:t>
            </w:r>
          </w:p>
        </w:tc>
      </w:tr>
      <w:tr w:rsidR="00ED0E85" w14:paraId="7D1C9CBC"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1A046D" w14:textId="77777777" w:rsidR="00ED0E85" w:rsidRDefault="00ED0E85" w:rsidP="00ED0E85">
            <w:pPr>
              <w:pStyle w:val="TableDataEntries"/>
              <w:jc w:val="left"/>
              <w:rPr>
                <w:lang w:val="en-GB"/>
              </w:rPr>
            </w:pPr>
            <w:r>
              <w:rPr>
                <w:lang w:val="en-GB"/>
              </w:rPr>
              <w:t>Compliance costs - TLAs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C28791A" w14:textId="77777777" w:rsidR="00ED0E85" w:rsidRDefault="00ED0E85" w:rsidP="00ED0E85">
            <w:pPr>
              <w:pStyle w:val="TableDataEntries"/>
              <w:rPr>
                <w:lang w:val="en-GB"/>
              </w:rPr>
            </w:pPr>
            <w:r>
              <w:t>- 3.38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7BABA6E" w14:textId="77777777" w:rsidR="00ED0E85" w:rsidRDefault="00ED0E85" w:rsidP="00ED0E85">
            <w:pPr>
              <w:pStyle w:val="TableDataEntries"/>
              <w:rPr>
                <w:lang w:val="en-GB"/>
              </w:rPr>
            </w:pPr>
            <w:r>
              <w:t>- 1.66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18EDB95" w14:textId="77777777" w:rsidR="00ED0E85" w:rsidRDefault="00ED0E85" w:rsidP="00ED0E85">
            <w:pPr>
              <w:pStyle w:val="TableDataEntries"/>
              <w:rPr>
                <w:lang w:val="en-GB"/>
              </w:rPr>
            </w:pPr>
            <w:r>
              <w:t>- 1.30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08AEA3A" w14:textId="77777777" w:rsidR="00ED0E85" w:rsidRDefault="00ED0E85" w:rsidP="00ED0E85">
            <w:pPr>
              <w:pStyle w:val="TableDataEntries"/>
              <w:rPr>
                <w:lang w:val="en-GB"/>
              </w:rPr>
            </w:pPr>
            <w:r>
              <w:t>- 0.84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C4879BA" w14:textId="77777777" w:rsidR="00ED0E85" w:rsidRDefault="00ED0E85" w:rsidP="00ED0E85">
            <w:pPr>
              <w:pStyle w:val="TableDataEntries"/>
              <w:rPr>
                <w:lang w:val="en-GB"/>
              </w:rPr>
            </w:pPr>
            <w:r>
              <w:t>- 0.39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372B96D" w14:textId="77777777" w:rsidR="00ED0E85" w:rsidRDefault="00ED0E85" w:rsidP="00ED0E85">
            <w:pPr>
              <w:pStyle w:val="TableDataEntries"/>
              <w:rPr>
                <w:lang w:val="en-GB"/>
              </w:rPr>
            </w:pPr>
            <w:r>
              <w:t>- 0.07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34050CF" w14:textId="77777777" w:rsidR="00ED0E85" w:rsidRDefault="00ED0E85" w:rsidP="00ED0E85">
            <w:pPr>
              <w:pStyle w:val="TableDataEntries"/>
              <w:rPr>
                <w:lang w:val="en-GB"/>
              </w:rPr>
            </w:pPr>
            <w:r>
              <w:t>- 0.50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568D03D" w14:textId="77777777" w:rsidR="00ED0E85" w:rsidRDefault="00ED0E85" w:rsidP="00ED0E85">
            <w:pPr>
              <w:pStyle w:val="TableDataEntries"/>
              <w:rPr>
                <w:lang w:val="en-GB"/>
              </w:rPr>
            </w:pPr>
            <w:r>
              <w:t>- 0.05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109B975" w14:textId="77777777" w:rsidR="00ED0E85" w:rsidRDefault="00ED0E85" w:rsidP="00ED0E85">
            <w:pPr>
              <w:pStyle w:val="TableDataEntries"/>
              <w:rPr>
                <w:lang w:val="en-GB"/>
              </w:rPr>
            </w:pPr>
            <w:r>
              <w:t>- 8.19</w:t>
            </w:r>
          </w:p>
        </w:tc>
      </w:tr>
      <w:tr w:rsidR="00ED0E85" w:rsidRPr="005F7960" w14:paraId="1B9B32DE"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B5D354" w14:textId="77777777" w:rsidR="00ED0E85" w:rsidRPr="00B004ED" w:rsidRDefault="00ED0E85" w:rsidP="00ED0E85">
            <w:pPr>
              <w:pStyle w:val="TableDataEntries"/>
              <w:jc w:val="left"/>
              <w:rPr>
                <w:rFonts w:ascii="Franklin Gothic Demi" w:hAnsi="Franklin Gothic Demi"/>
                <w:lang w:val="en-GB"/>
              </w:rPr>
            </w:pPr>
            <w:r w:rsidRPr="007B6E9A">
              <w:rPr>
                <w:rFonts w:ascii="Franklin Gothic Demi" w:hAnsi="Franklin Gothic Demi"/>
                <w:lang w:val="en-GB"/>
              </w:rPr>
              <w:t>Net private benefits/costs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379213F"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19.29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8FD3EA8"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28.01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659ABE4"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24.42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9242324"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8.16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A6509B4"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2.41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31E7E6"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- 2.54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29A5485"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0.45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5A956B9"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- 0.07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C70B9F8"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80.13</w:t>
            </w:r>
          </w:p>
        </w:tc>
      </w:tr>
      <w:tr w:rsidR="00ED0E85" w14:paraId="32FC9EC6"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FB24F9" w14:textId="77777777" w:rsidR="00ED0E85" w:rsidRDefault="00ED0E85" w:rsidP="00ED0E85">
            <w:pPr>
              <w:pStyle w:val="TableHeading2"/>
              <w:rPr>
                <w:lang w:val="en-GB"/>
              </w:rPr>
            </w:pPr>
            <w:r>
              <w:rPr>
                <w:lang w:val="en-GB"/>
              </w:rPr>
              <w:t>Other benefits/costs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CC63262"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A87AFD8"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271CDEF"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2F602D8"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2D7FB14"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2C7FA3F"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CD7FD68"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521534E"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A859D9F" w14:textId="77777777" w:rsidR="00ED0E85" w:rsidRDefault="00ED0E85" w:rsidP="00ED0E85">
            <w:pPr>
              <w:pStyle w:val="TableDataEntries"/>
              <w:rPr>
                <w:lang w:val="en-GB"/>
              </w:rPr>
            </w:pPr>
          </w:p>
        </w:tc>
      </w:tr>
      <w:tr w:rsidR="00ED0E85" w14:paraId="529F5A16"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63ECBF" w14:textId="77777777" w:rsidR="00ED0E85" w:rsidRDefault="00ED0E85" w:rsidP="00ED0E85">
            <w:pPr>
              <w:pStyle w:val="TableDataEntries"/>
              <w:jc w:val="left"/>
              <w:rPr>
                <w:lang w:val="en-GB"/>
              </w:rPr>
            </w:pPr>
            <w:r>
              <w:rPr>
                <w:lang w:val="en-GB"/>
              </w:rPr>
              <w:t>GHG emissions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47E148F" w14:textId="77777777" w:rsidR="00ED0E85" w:rsidRDefault="00ED0E85" w:rsidP="00ED0E85">
            <w:pPr>
              <w:pStyle w:val="TableDataEntries"/>
              <w:rPr>
                <w:lang w:val="en-GB"/>
              </w:rPr>
            </w:pPr>
            <w:r>
              <w:t xml:space="preserve"> 44.26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3E77C20" w14:textId="77777777" w:rsidR="00ED0E85" w:rsidRDefault="00ED0E85" w:rsidP="00ED0E85">
            <w:pPr>
              <w:pStyle w:val="TableDataEntries"/>
              <w:rPr>
                <w:lang w:val="en-GB"/>
              </w:rPr>
            </w:pPr>
            <w:r>
              <w:t xml:space="preserve"> 62.52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291D115" w14:textId="77777777" w:rsidR="00ED0E85" w:rsidRDefault="00ED0E85" w:rsidP="00ED0E85">
            <w:pPr>
              <w:pStyle w:val="TableDataEntries"/>
              <w:rPr>
                <w:lang w:val="en-GB"/>
              </w:rPr>
            </w:pPr>
            <w:r>
              <w:t xml:space="preserve"> 26.01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F0EFD53" w14:textId="77777777" w:rsidR="00ED0E85" w:rsidRDefault="00ED0E85" w:rsidP="00ED0E85">
            <w:pPr>
              <w:pStyle w:val="TableDataEntries"/>
              <w:rPr>
                <w:lang w:val="en-GB"/>
              </w:rPr>
            </w:pPr>
            <w:r>
              <w:t xml:space="preserve"> 11.57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194C2B" w14:textId="77777777" w:rsidR="00ED0E85" w:rsidRDefault="00ED0E85" w:rsidP="00ED0E85">
            <w:pPr>
              <w:pStyle w:val="TableDataEntries"/>
              <w:rPr>
                <w:lang w:val="en-GB"/>
              </w:rPr>
            </w:pPr>
            <w:r>
              <w:t xml:space="preserve"> 2.93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E8BE091" w14:textId="77777777" w:rsidR="00ED0E85" w:rsidRDefault="00ED0E85" w:rsidP="00ED0E85">
            <w:pPr>
              <w:pStyle w:val="TableDataEntries"/>
              <w:rPr>
                <w:lang w:val="en-GB"/>
              </w:rPr>
            </w:pPr>
            <w:r>
              <w:t xml:space="preserve"> 0.05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732F771" w14:textId="77777777" w:rsidR="00ED0E85" w:rsidRDefault="00ED0E85" w:rsidP="00ED0E85">
            <w:pPr>
              <w:pStyle w:val="TableDataEntries"/>
              <w:rPr>
                <w:lang w:val="en-GB"/>
              </w:rPr>
            </w:pPr>
            <w:r>
              <w:t xml:space="preserve"> 5.88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94B5895" w14:textId="77777777" w:rsidR="00ED0E85" w:rsidRDefault="00ED0E85" w:rsidP="00ED0E85">
            <w:pPr>
              <w:pStyle w:val="TableDataEntries"/>
              <w:rPr>
                <w:lang w:val="en-GB"/>
              </w:rPr>
            </w:pPr>
            <w:r>
              <w:t xml:space="preserve"> 0.67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A921E3F" w14:textId="77777777" w:rsidR="00ED0E85" w:rsidRDefault="00ED0E85" w:rsidP="00ED0E85">
            <w:pPr>
              <w:pStyle w:val="TableDataEntries"/>
              <w:rPr>
                <w:lang w:val="en-GB"/>
              </w:rPr>
            </w:pPr>
            <w:r>
              <w:t xml:space="preserve"> 153.88</w:t>
            </w:r>
          </w:p>
        </w:tc>
      </w:tr>
      <w:tr w:rsidR="00ED0E85" w14:paraId="7FEAB9F8"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4FD9EE" w14:textId="77777777" w:rsidR="00ED0E85" w:rsidRDefault="00ED0E85" w:rsidP="00ED0E85">
            <w:pPr>
              <w:pStyle w:val="TableDataEntries"/>
              <w:jc w:val="left"/>
              <w:rPr>
                <w:lang w:val="en-GB"/>
              </w:rPr>
            </w:pPr>
            <w:r>
              <w:rPr>
                <w:lang w:val="en-GB"/>
              </w:rPr>
              <w:t>Government 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068546F" w14:textId="77777777" w:rsidR="00ED0E85" w:rsidRDefault="00ED0E85" w:rsidP="00ED0E85">
            <w:pPr>
              <w:pStyle w:val="TableDataEntries"/>
              <w:rPr>
                <w:lang w:val="en-GB"/>
              </w:rPr>
            </w:pPr>
            <w:r>
              <w:t>- 6.62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D7BD90D" w14:textId="77777777" w:rsidR="00ED0E85" w:rsidRDefault="00ED0E85" w:rsidP="00ED0E85">
            <w:pPr>
              <w:pStyle w:val="TableDataEntries"/>
              <w:rPr>
                <w:lang w:val="en-GB"/>
              </w:rPr>
            </w:pPr>
            <w:r>
              <w:t>- 4.67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342A070" w14:textId="77777777" w:rsidR="00ED0E85" w:rsidRDefault="00ED0E85" w:rsidP="00ED0E85">
            <w:pPr>
              <w:pStyle w:val="TableDataEntries"/>
              <w:rPr>
                <w:lang w:val="en-GB"/>
              </w:rPr>
            </w:pPr>
            <w:r>
              <w:t>- 4.09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E11D350" w14:textId="77777777" w:rsidR="00ED0E85" w:rsidRDefault="00ED0E85" w:rsidP="00ED0E85">
            <w:pPr>
              <w:pStyle w:val="TableDataEntries"/>
              <w:rPr>
                <w:lang w:val="en-GB"/>
              </w:rPr>
            </w:pPr>
            <w:r>
              <w:t>- 2.46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CE469BF" w14:textId="77777777" w:rsidR="00ED0E85" w:rsidRDefault="00ED0E85" w:rsidP="00ED0E85">
            <w:pPr>
              <w:pStyle w:val="TableDataEntries"/>
              <w:rPr>
                <w:lang w:val="en-GB"/>
              </w:rPr>
            </w:pPr>
            <w:r>
              <w:t>- 1.07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1B99B60" w14:textId="77777777" w:rsidR="00ED0E85" w:rsidRDefault="00ED0E85" w:rsidP="00ED0E85">
            <w:pPr>
              <w:pStyle w:val="TableDataEntries"/>
              <w:rPr>
                <w:lang w:val="en-GB"/>
              </w:rPr>
            </w:pPr>
            <w:r>
              <w:t>- 0.41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88AADA7" w14:textId="77777777" w:rsidR="00ED0E85" w:rsidRDefault="00ED0E85" w:rsidP="00ED0E85">
            <w:pPr>
              <w:pStyle w:val="TableDataEntries"/>
              <w:rPr>
                <w:lang w:val="en-GB"/>
              </w:rPr>
            </w:pPr>
            <w:r>
              <w:t>- 1.31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B34E290" w14:textId="77777777" w:rsidR="00ED0E85" w:rsidRDefault="00ED0E85" w:rsidP="00ED0E85">
            <w:pPr>
              <w:pStyle w:val="TableDataEntries"/>
              <w:rPr>
                <w:lang w:val="en-GB"/>
              </w:rPr>
            </w:pPr>
            <w:r>
              <w:t>- 0.35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6E4BB1B" w14:textId="77777777" w:rsidR="00ED0E85" w:rsidRDefault="00ED0E85" w:rsidP="00ED0E85">
            <w:pPr>
              <w:pStyle w:val="TableDataEntries"/>
              <w:rPr>
                <w:lang w:val="en-GB"/>
              </w:rPr>
            </w:pPr>
            <w:r>
              <w:t>- 20.98</w:t>
            </w:r>
          </w:p>
        </w:tc>
      </w:tr>
      <w:tr w:rsidR="00ED0E85" w:rsidRPr="005F7960" w14:paraId="54D8BEED"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6AED6404" w14:textId="77777777" w:rsidR="00ED0E85" w:rsidRPr="00B004ED" w:rsidRDefault="00ED0E85" w:rsidP="00ED0E85">
            <w:pPr>
              <w:pStyle w:val="TableDataEntries"/>
              <w:jc w:val="left"/>
              <w:rPr>
                <w:rFonts w:ascii="Franklin Gothic Demi" w:hAnsi="Franklin Gothic Demi"/>
                <w:lang w:val="en-GB"/>
              </w:rPr>
            </w:pPr>
            <w:r w:rsidRPr="007B6E9A">
              <w:rPr>
                <w:rFonts w:ascii="Franklin Gothic Demi" w:hAnsi="Franklin Gothic Demi"/>
                <w:lang w:val="en-GB"/>
              </w:rPr>
              <w:t>Total net benefit/cost</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3022D049"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56.93</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429D4A79"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85.86</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273EE883"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46.33</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336ABA4A"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17.28</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2079746A"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4.26</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6E73BD94"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- 2.90</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693CC402"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5.02</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5B387AA2"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0.25</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20C58700"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213.03</w:t>
            </w:r>
          </w:p>
        </w:tc>
      </w:tr>
      <w:tr w:rsidR="00ED0E85" w14:paraId="0D4EA803" w14:textId="77777777" w:rsidTr="00ED0E85">
        <w:trPr>
          <w:trHeight w:val="317"/>
        </w:trPr>
        <w:tc>
          <w:tcPr>
            <w:tcW w:w="7934" w:type="dxa"/>
            <w:gridSpan w:val="10"/>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A215F38" w14:textId="77777777" w:rsidR="00ED0E85" w:rsidRDefault="00ED0E85" w:rsidP="00ED0E85">
            <w:pPr>
              <w:pStyle w:val="TableHeading1"/>
              <w:rPr>
                <w:lang w:val="en-GB"/>
              </w:rPr>
            </w:pPr>
            <w:r>
              <w:rPr>
                <w:lang w:val="en-GB"/>
              </w:rPr>
              <w:t>CBD Program - 2017 changes</w:t>
            </w:r>
          </w:p>
        </w:tc>
      </w:tr>
      <w:tr w:rsidR="00ED0E85" w14:paraId="01FF918C"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902534" w14:textId="77777777" w:rsidR="00ED0E85" w:rsidRDefault="00ED0E85" w:rsidP="00ED0E85">
            <w:pPr>
              <w:pStyle w:val="TableHeading2"/>
              <w:rPr>
                <w:lang w:val="en-GB"/>
              </w:rPr>
            </w:pPr>
            <w:r>
              <w:rPr>
                <w:lang w:val="en-GB"/>
              </w:rPr>
              <w:t>Private benefits/costs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DEFF284"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9377564"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F9F4317"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BDD80F4"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BA8E1F0"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8F09119"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FFB4EEA"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70F30E4"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CD3520C" w14:textId="77777777" w:rsidR="00ED0E85" w:rsidRDefault="00ED0E85" w:rsidP="00ED0E85">
            <w:pPr>
              <w:pStyle w:val="TableDataEntries"/>
              <w:rPr>
                <w:lang w:val="en-GB"/>
              </w:rPr>
            </w:pPr>
          </w:p>
        </w:tc>
      </w:tr>
      <w:tr w:rsidR="00ED0E85" w14:paraId="528657A7"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7F4CA6" w14:textId="77777777" w:rsidR="00ED0E85" w:rsidRDefault="00ED0E85" w:rsidP="00ED0E85">
            <w:pPr>
              <w:pStyle w:val="TableDataEntries"/>
              <w:jc w:val="left"/>
              <w:rPr>
                <w:lang w:val="en-GB"/>
              </w:rPr>
            </w:pPr>
            <w:r>
              <w:rPr>
                <w:lang w:val="en-GB"/>
              </w:rPr>
              <w:t>Electricity savings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2AC5D43" w14:textId="77777777" w:rsidR="00ED0E85" w:rsidRDefault="00ED0E85" w:rsidP="00ED0E85">
            <w:pPr>
              <w:pStyle w:val="TableDataEntries"/>
              <w:rPr>
                <w:lang w:val="en-GB"/>
              </w:rPr>
            </w:pPr>
            <w:r>
              <w:t xml:space="preserve"> 0.38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982C5D5" w14:textId="77777777" w:rsidR="00ED0E85" w:rsidRDefault="00ED0E85" w:rsidP="00ED0E85">
            <w:pPr>
              <w:pStyle w:val="TableDataEntries"/>
              <w:rPr>
                <w:lang w:val="en-GB"/>
              </w:rPr>
            </w:pPr>
            <w:r>
              <w:t xml:space="preserve"> 0.47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8EC44D5" w14:textId="77777777" w:rsidR="00ED0E85" w:rsidRDefault="00ED0E85" w:rsidP="00ED0E85">
            <w:pPr>
              <w:pStyle w:val="TableDataEntries"/>
              <w:rPr>
                <w:lang w:val="en-GB"/>
              </w:rPr>
            </w:pPr>
            <w:r>
              <w:t xml:space="preserve"> 0.46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B199206" w14:textId="77777777" w:rsidR="00ED0E85" w:rsidRDefault="00ED0E85" w:rsidP="00ED0E85">
            <w:pPr>
              <w:pStyle w:val="TableDataEntries"/>
              <w:rPr>
                <w:lang w:val="en-GB"/>
              </w:rPr>
            </w:pPr>
            <w:r>
              <w:t xml:space="preserve"> 0.47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F03A05C" w14:textId="77777777" w:rsidR="00ED0E85" w:rsidRDefault="00ED0E85" w:rsidP="00ED0E85">
            <w:pPr>
              <w:pStyle w:val="TableDataEntries"/>
              <w:rPr>
                <w:lang w:val="en-GB"/>
              </w:rPr>
            </w:pPr>
            <w:r>
              <w:t xml:space="preserve"> 0.04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92BBB66"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DC0E097" w14:textId="77777777" w:rsidR="00ED0E85" w:rsidRDefault="00ED0E85" w:rsidP="00ED0E85">
            <w:pPr>
              <w:pStyle w:val="TableDataEntries"/>
              <w:rPr>
                <w:lang w:val="en-GB"/>
              </w:rPr>
            </w:pPr>
            <w:r>
              <w:t xml:space="preserve"> 0.07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B74E4F6" w14:textId="77777777" w:rsidR="00ED0E85" w:rsidRDefault="00ED0E85" w:rsidP="00ED0E85">
            <w:pPr>
              <w:pStyle w:val="TableDataEntries"/>
              <w:rPr>
                <w:lang w:val="en-GB"/>
              </w:rPr>
            </w:pPr>
            <w:r>
              <w:t xml:space="preserve"> 0.05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E807E9E" w14:textId="77777777" w:rsidR="00ED0E85" w:rsidRDefault="00ED0E85" w:rsidP="00ED0E85">
            <w:pPr>
              <w:pStyle w:val="TableDataEntries"/>
              <w:rPr>
                <w:lang w:val="en-GB"/>
              </w:rPr>
            </w:pPr>
            <w:r>
              <w:t xml:space="preserve"> 1.94</w:t>
            </w:r>
          </w:p>
        </w:tc>
      </w:tr>
      <w:tr w:rsidR="00ED0E85" w14:paraId="07F9FA48"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DD7D02" w14:textId="77777777" w:rsidR="00ED0E85" w:rsidRDefault="00ED0E85" w:rsidP="00ED0E85">
            <w:pPr>
              <w:pStyle w:val="TableDataEntries"/>
              <w:jc w:val="left"/>
              <w:rPr>
                <w:lang w:val="en-GB"/>
              </w:rPr>
            </w:pPr>
            <w:r>
              <w:rPr>
                <w:lang w:val="en-GB"/>
              </w:rPr>
              <w:t>Gas savings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A11794F" w14:textId="77777777" w:rsidR="00ED0E85" w:rsidRDefault="00ED0E85" w:rsidP="00ED0E85">
            <w:pPr>
              <w:pStyle w:val="TableDataEntries"/>
              <w:rPr>
                <w:lang w:val="en-GB"/>
              </w:rPr>
            </w:pPr>
            <w:r>
              <w:t xml:space="preserve"> 0.23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B67C5C3" w14:textId="77777777" w:rsidR="00ED0E85" w:rsidRDefault="00ED0E85" w:rsidP="00ED0E85">
            <w:pPr>
              <w:pStyle w:val="TableDataEntries"/>
              <w:rPr>
                <w:lang w:val="en-GB"/>
              </w:rPr>
            </w:pPr>
            <w:r>
              <w:t xml:space="preserve"> 0.14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71A7945" w14:textId="77777777" w:rsidR="00ED0E85" w:rsidRDefault="00ED0E85" w:rsidP="00ED0E85">
            <w:pPr>
              <w:pStyle w:val="TableDataEntries"/>
              <w:rPr>
                <w:lang w:val="en-GB"/>
              </w:rPr>
            </w:pPr>
            <w:r>
              <w:t xml:space="preserve"> 0.28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DAB2515" w14:textId="77777777" w:rsidR="00ED0E85" w:rsidRDefault="00ED0E85" w:rsidP="00ED0E85">
            <w:pPr>
              <w:pStyle w:val="TableDataEntries"/>
              <w:rPr>
                <w:lang w:val="en-GB"/>
              </w:rPr>
            </w:pPr>
            <w:r>
              <w:t xml:space="preserve"> 0.08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9BA6860" w14:textId="77777777" w:rsidR="00ED0E85" w:rsidRDefault="00ED0E85" w:rsidP="00ED0E85">
            <w:pPr>
              <w:pStyle w:val="TableDataEntries"/>
              <w:rPr>
                <w:lang w:val="en-GB"/>
              </w:rPr>
            </w:pPr>
            <w:r>
              <w:t xml:space="preserve"> 0.02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F430B3C"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A12C6E7" w14:textId="77777777" w:rsidR="00ED0E85" w:rsidRDefault="00ED0E85" w:rsidP="00ED0E85">
            <w:pPr>
              <w:pStyle w:val="TableDataEntries"/>
              <w:rPr>
                <w:lang w:val="en-GB"/>
              </w:rPr>
            </w:pPr>
            <w:r>
              <w:t xml:space="preserve"> 0.08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D65580B" w14:textId="77777777" w:rsidR="00ED0E85" w:rsidRDefault="00ED0E85" w:rsidP="00ED0E85">
            <w:pPr>
              <w:pStyle w:val="TableDataEntries"/>
              <w:rPr>
                <w:lang w:val="en-GB"/>
              </w:rPr>
            </w:pPr>
            <w:r>
              <w:t xml:space="preserve"> 0.02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3EF8CD1" w14:textId="77777777" w:rsidR="00ED0E85" w:rsidRDefault="00ED0E85" w:rsidP="00ED0E85">
            <w:pPr>
              <w:pStyle w:val="TableDataEntries"/>
              <w:rPr>
                <w:lang w:val="en-GB"/>
              </w:rPr>
            </w:pPr>
            <w:r>
              <w:t xml:space="preserve"> 0.85</w:t>
            </w:r>
          </w:p>
        </w:tc>
      </w:tr>
      <w:tr w:rsidR="00ED0E85" w14:paraId="3FCF0098"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035328" w14:textId="77777777" w:rsidR="00ED0E85" w:rsidRDefault="00ED0E85" w:rsidP="00ED0E85">
            <w:pPr>
              <w:pStyle w:val="TableDataEntries"/>
              <w:jc w:val="left"/>
              <w:rPr>
                <w:lang w:val="en-GB"/>
              </w:rPr>
            </w:pPr>
            <w:r>
              <w:rPr>
                <w:lang w:val="en-GB"/>
              </w:rPr>
              <w:t>Upgrade 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699E572" w14:textId="77777777" w:rsidR="00ED0E85" w:rsidRDefault="00ED0E85" w:rsidP="00ED0E85">
            <w:pPr>
              <w:pStyle w:val="TableDataEntries"/>
              <w:rPr>
                <w:lang w:val="en-GB"/>
              </w:rPr>
            </w:pPr>
            <w:r>
              <w:t>- 0.35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9041DEF" w14:textId="77777777" w:rsidR="00ED0E85" w:rsidRDefault="00ED0E85" w:rsidP="00ED0E85">
            <w:pPr>
              <w:pStyle w:val="TableDataEntries"/>
              <w:rPr>
                <w:lang w:val="en-GB"/>
              </w:rPr>
            </w:pPr>
            <w:r>
              <w:t>- 0.33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FD134B" w14:textId="77777777" w:rsidR="00ED0E85" w:rsidRDefault="00ED0E85" w:rsidP="00ED0E85">
            <w:pPr>
              <w:pStyle w:val="TableDataEntries"/>
              <w:rPr>
                <w:lang w:val="en-GB"/>
              </w:rPr>
            </w:pPr>
            <w:r>
              <w:t>- 0.32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0DA0A4D" w14:textId="77777777" w:rsidR="00ED0E85" w:rsidRDefault="00ED0E85" w:rsidP="00ED0E85">
            <w:pPr>
              <w:pStyle w:val="TableDataEntries"/>
              <w:rPr>
                <w:lang w:val="en-GB"/>
              </w:rPr>
            </w:pPr>
            <w:r>
              <w:t>- 0.24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7C9EE95" w14:textId="77777777" w:rsidR="00ED0E85" w:rsidRDefault="00ED0E85" w:rsidP="00ED0E85">
            <w:pPr>
              <w:pStyle w:val="TableDataEntries"/>
              <w:rPr>
                <w:lang w:val="en-GB"/>
              </w:rPr>
            </w:pPr>
            <w:r>
              <w:t>- 0.03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8D2B654"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6A97E8C" w14:textId="77777777" w:rsidR="00ED0E85" w:rsidRDefault="00ED0E85" w:rsidP="00ED0E85">
            <w:pPr>
              <w:pStyle w:val="TableDataEntries"/>
              <w:rPr>
                <w:lang w:val="en-GB"/>
              </w:rPr>
            </w:pPr>
            <w:r>
              <w:t>- 0.08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F688605" w14:textId="77777777" w:rsidR="00ED0E85" w:rsidRDefault="00ED0E85" w:rsidP="00ED0E85">
            <w:pPr>
              <w:pStyle w:val="TableDataEntries"/>
              <w:rPr>
                <w:lang w:val="en-GB"/>
              </w:rPr>
            </w:pPr>
            <w:r>
              <w:t>- 0.03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7EA3A66" w14:textId="77777777" w:rsidR="00ED0E85" w:rsidRDefault="00ED0E85" w:rsidP="00ED0E85">
            <w:pPr>
              <w:pStyle w:val="TableDataEntries"/>
              <w:rPr>
                <w:lang w:val="en-GB"/>
              </w:rPr>
            </w:pPr>
            <w:r>
              <w:t>- 1.37</w:t>
            </w:r>
          </w:p>
        </w:tc>
      </w:tr>
      <w:tr w:rsidR="00ED0E85" w14:paraId="656E59E2"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56A123" w14:textId="77777777" w:rsidR="00ED0E85" w:rsidRDefault="00ED0E85" w:rsidP="00ED0E85">
            <w:pPr>
              <w:pStyle w:val="TableDataEntries"/>
              <w:jc w:val="left"/>
              <w:rPr>
                <w:lang w:val="en-GB"/>
              </w:rPr>
            </w:pPr>
            <w:r>
              <w:rPr>
                <w:lang w:val="en-GB"/>
              </w:rPr>
              <w:t>Compliance costs - NABERS ratings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706DFE" w14:textId="77777777" w:rsidR="00ED0E85" w:rsidRDefault="00ED0E85" w:rsidP="00ED0E85">
            <w:pPr>
              <w:pStyle w:val="TableDataEntries"/>
              <w:rPr>
                <w:lang w:val="en-GB"/>
              </w:rPr>
            </w:pPr>
            <w:r>
              <w:t>- 0.40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387E8B" w14:textId="77777777" w:rsidR="00ED0E85" w:rsidRDefault="00ED0E85" w:rsidP="00ED0E85">
            <w:pPr>
              <w:pStyle w:val="TableDataEntries"/>
              <w:rPr>
                <w:lang w:val="en-GB"/>
              </w:rPr>
            </w:pPr>
            <w:r>
              <w:t>- 0.32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B5B6919" w14:textId="77777777" w:rsidR="00ED0E85" w:rsidRDefault="00ED0E85" w:rsidP="00ED0E85">
            <w:pPr>
              <w:pStyle w:val="TableDataEntries"/>
              <w:rPr>
                <w:lang w:val="en-GB"/>
              </w:rPr>
            </w:pPr>
            <w:r>
              <w:t>- 0.39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CDBAC50" w14:textId="77777777" w:rsidR="00ED0E85" w:rsidRDefault="00ED0E85" w:rsidP="00ED0E85">
            <w:pPr>
              <w:pStyle w:val="TableDataEntries"/>
              <w:rPr>
                <w:lang w:val="en-GB"/>
              </w:rPr>
            </w:pPr>
            <w:r>
              <w:t>- 0.31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26E56CD" w14:textId="77777777" w:rsidR="00ED0E85" w:rsidRDefault="00ED0E85" w:rsidP="00ED0E85">
            <w:pPr>
              <w:pStyle w:val="TableDataEntries"/>
              <w:rPr>
                <w:lang w:val="en-GB"/>
              </w:rPr>
            </w:pPr>
            <w:r>
              <w:t>- 0.12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E04B2DD" w14:textId="77777777" w:rsidR="00ED0E85" w:rsidRDefault="00ED0E85" w:rsidP="00ED0E85">
            <w:pPr>
              <w:pStyle w:val="TableDataEntries"/>
              <w:rPr>
                <w:lang w:val="en-GB"/>
              </w:rPr>
            </w:pPr>
            <w:r>
              <w:t>- 0.02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54EB190" w14:textId="77777777" w:rsidR="00ED0E85" w:rsidRDefault="00ED0E85" w:rsidP="00ED0E85">
            <w:pPr>
              <w:pStyle w:val="TableDataEntries"/>
              <w:rPr>
                <w:lang w:val="en-GB"/>
              </w:rPr>
            </w:pPr>
            <w:r>
              <w:t>- 0.07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FE9CBC" w14:textId="77777777" w:rsidR="00ED0E85" w:rsidRDefault="00ED0E85" w:rsidP="00ED0E85">
            <w:pPr>
              <w:pStyle w:val="TableDataEntries"/>
              <w:rPr>
                <w:lang w:val="en-GB"/>
              </w:rPr>
            </w:pPr>
            <w:r>
              <w:t>- 0.04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0CF8D58" w14:textId="77777777" w:rsidR="00ED0E85" w:rsidRDefault="00ED0E85" w:rsidP="00ED0E85">
            <w:pPr>
              <w:pStyle w:val="TableDataEntries"/>
              <w:rPr>
                <w:lang w:val="en-GB"/>
              </w:rPr>
            </w:pPr>
            <w:r>
              <w:t>- 1.67</w:t>
            </w:r>
          </w:p>
        </w:tc>
      </w:tr>
      <w:tr w:rsidR="00ED0E85" w14:paraId="0DF6C3EC"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7B291D" w14:textId="77777777" w:rsidR="00ED0E85" w:rsidRDefault="00ED0E85" w:rsidP="00ED0E85">
            <w:pPr>
              <w:pStyle w:val="TableDataEntries"/>
              <w:jc w:val="left"/>
              <w:rPr>
                <w:lang w:val="en-GB"/>
              </w:rPr>
            </w:pPr>
            <w:r>
              <w:rPr>
                <w:lang w:val="en-GB"/>
              </w:rPr>
              <w:t>Compliance costs - TLAs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0E51A98" w14:textId="77777777" w:rsidR="00ED0E85" w:rsidRDefault="00ED0E85" w:rsidP="00ED0E85">
            <w:pPr>
              <w:pStyle w:val="TableDataEntries"/>
              <w:rPr>
                <w:lang w:val="en-GB"/>
              </w:rPr>
            </w:pPr>
            <w:r>
              <w:t xml:space="preserve"> 1.95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03A29FD" w14:textId="77777777" w:rsidR="00ED0E85" w:rsidRDefault="00ED0E85" w:rsidP="00ED0E85">
            <w:pPr>
              <w:pStyle w:val="TableDataEntries"/>
              <w:rPr>
                <w:lang w:val="en-GB"/>
              </w:rPr>
            </w:pPr>
            <w:r>
              <w:t xml:space="preserve"> 0.72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269909F" w14:textId="77777777" w:rsidR="00ED0E85" w:rsidRDefault="00ED0E85" w:rsidP="00ED0E85">
            <w:pPr>
              <w:pStyle w:val="TableDataEntries"/>
              <w:rPr>
                <w:lang w:val="en-GB"/>
              </w:rPr>
            </w:pPr>
            <w:r>
              <w:t xml:space="preserve"> 0.29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6DE0910" w14:textId="77777777" w:rsidR="00ED0E85" w:rsidRDefault="00ED0E85" w:rsidP="00ED0E85">
            <w:pPr>
              <w:pStyle w:val="TableDataEntries"/>
              <w:rPr>
                <w:lang w:val="en-GB"/>
              </w:rPr>
            </w:pPr>
            <w:r>
              <w:t xml:space="preserve"> 0.35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F0E9AD5" w14:textId="77777777" w:rsidR="00ED0E85" w:rsidRDefault="00ED0E85" w:rsidP="00ED0E85">
            <w:pPr>
              <w:pStyle w:val="TableDataEntries"/>
              <w:rPr>
                <w:lang w:val="en-GB"/>
              </w:rPr>
            </w:pPr>
            <w:r>
              <w:t xml:space="preserve"> 0.07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E56A610" w14:textId="77777777" w:rsidR="00ED0E85" w:rsidRDefault="00ED0E85" w:rsidP="00ED0E85">
            <w:pPr>
              <w:pStyle w:val="TableDataEntries"/>
              <w:rPr>
                <w:lang w:val="en-GB"/>
              </w:rPr>
            </w:pPr>
            <w:r>
              <w:t>- 0.01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2D6EA2" w14:textId="77777777" w:rsidR="00ED0E85" w:rsidRDefault="00ED0E85" w:rsidP="00ED0E85">
            <w:pPr>
              <w:pStyle w:val="TableDataEntries"/>
              <w:rPr>
                <w:lang w:val="en-GB"/>
              </w:rPr>
            </w:pPr>
            <w:r>
              <w:t xml:space="preserve"> 0.20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2FA06E2" w14:textId="77777777" w:rsidR="00ED0E85" w:rsidRDefault="00ED0E85" w:rsidP="00ED0E85">
            <w:pPr>
              <w:pStyle w:val="TableDataEntries"/>
              <w:rPr>
                <w:lang w:val="en-GB"/>
              </w:rPr>
            </w:pPr>
            <w:r>
              <w:t>- 0.57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CE6D144" w14:textId="77777777" w:rsidR="00ED0E85" w:rsidRDefault="00ED0E85" w:rsidP="00ED0E85">
            <w:pPr>
              <w:pStyle w:val="TableDataEntries"/>
              <w:rPr>
                <w:lang w:val="en-GB"/>
              </w:rPr>
            </w:pPr>
            <w:r>
              <w:t xml:space="preserve"> 2.99</w:t>
            </w:r>
          </w:p>
        </w:tc>
      </w:tr>
      <w:tr w:rsidR="00ED0E85" w:rsidRPr="005F7960" w14:paraId="79651FD7"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C6DA46" w14:textId="77777777" w:rsidR="00ED0E85" w:rsidRPr="00B004ED" w:rsidRDefault="00ED0E85" w:rsidP="00ED0E85">
            <w:pPr>
              <w:pStyle w:val="TableDataEntries"/>
              <w:jc w:val="left"/>
              <w:rPr>
                <w:rFonts w:ascii="Franklin Gothic Demi" w:hAnsi="Franklin Gothic Demi"/>
                <w:lang w:val="en-GB"/>
              </w:rPr>
            </w:pPr>
            <w:r w:rsidRPr="007B6E9A">
              <w:rPr>
                <w:rFonts w:ascii="Franklin Gothic Demi" w:hAnsi="Franklin Gothic Demi"/>
                <w:lang w:val="en-GB"/>
              </w:rPr>
              <w:t>Net private benefits/costs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DB08958"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1.82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891CD9C"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0.68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C89AEF1"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0.33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9092226"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0.35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E6FFA66"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- 0.03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8E5F8CA"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- 0.03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9864023"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0.20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E5767FD"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- 0.57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A3D369E"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2.74</w:t>
            </w:r>
          </w:p>
        </w:tc>
      </w:tr>
      <w:tr w:rsidR="00ED0E85" w14:paraId="1CFA7DA5"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837025" w14:textId="77777777" w:rsidR="00ED0E85" w:rsidRDefault="00ED0E85" w:rsidP="00ED0E85">
            <w:pPr>
              <w:pStyle w:val="TableHeading2"/>
              <w:rPr>
                <w:lang w:val="en-GB"/>
              </w:rPr>
            </w:pPr>
            <w:r>
              <w:rPr>
                <w:lang w:val="en-GB"/>
              </w:rPr>
              <w:t>Other benefits/costs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8720ACA"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A14CEEF"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B5381B6"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DA4099E"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911DED3"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D9DF1D5"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F536687"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D90FCF9"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E458B37" w14:textId="77777777" w:rsidR="00ED0E85" w:rsidRDefault="00ED0E85" w:rsidP="00ED0E85">
            <w:pPr>
              <w:pStyle w:val="TableDataEntries"/>
              <w:rPr>
                <w:lang w:val="en-GB"/>
              </w:rPr>
            </w:pPr>
          </w:p>
        </w:tc>
      </w:tr>
      <w:tr w:rsidR="00ED0E85" w14:paraId="41C3FB33"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B2F36A" w14:textId="77777777" w:rsidR="00ED0E85" w:rsidRDefault="00ED0E85" w:rsidP="00ED0E85">
            <w:pPr>
              <w:pStyle w:val="TableDataEntries"/>
              <w:jc w:val="left"/>
              <w:rPr>
                <w:lang w:val="en-GB"/>
              </w:rPr>
            </w:pPr>
            <w:r>
              <w:rPr>
                <w:lang w:val="en-GB"/>
              </w:rPr>
              <w:t>GHG emissions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C31067E" w14:textId="77777777" w:rsidR="00ED0E85" w:rsidRDefault="00ED0E85" w:rsidP="00ED0E85">
            <w:pPr>
              <w:pStyle w:val="TableDataEntries"/>
              <w:rPr>
                <w:lang w:val="en-GB"/>
              </w:rPr>
            </w:pPr>
            <w:r>
              <w:t xml:space="preserve"> 0.32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FD2F992" w14:textId="77777777" w:rsidR="00ED0E85" w:rsidRDefault="00ED0E85" w:rsidP="00ED0E85">
            <w:pPr>
              <w:pStyle w:val="TableDataEntries"/>
              <w:rPr>
                <w:lang w:val="en-GB"/>
              </w:rPr>
            </w:pPr>
            <w:r>
              <w:t xml:space="preserve"> 0.43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BBD4229" w14:textId="77777777" w:rsidR="00ED0E85" w:rsidRDefault="00ED0E85" w:rsidP="00ED0E85">
            <w:pPr>
              <w:pStyle w:val="TableDataEntries"/>
              <w:rPr>
                <w:lang w:val="en-GB"/>
              </w:rPr>
            </w:pPr>
            <w:r>
              <w:t xml:space="preserve"> 0.33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9FFCEF" w14:textId="77777777" w:rsidR="00ED0E85" w:rsidRDefault="00ED0E85" w:rsidP="00ED0E85">
            <w:pPr>
              <w:pStyle w:val="TableDataEntries"/>
              <w:rPr>
                <w:lang w:val="en-GB"/>
              </w:rPr>
            </w:pPr>
            <w:r>
              <w:t xml:space="preserve"> 0.24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2B70EBA" w14:textId="77777777" w:rsidR="00ED0E85" w:rsidRDefault="00ED0E85" w:rsidP="00ED0E85">
            <w:pPr>
              <w:pStyle w:val="TableDataEntries"/>
              <w:rPr>
                <w:lang w:val="en-GB"/>
              </w:rPr>
            </w:pPr>
            <w:r>
              <w:t xml:space="preserve"> 0.02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3BCCE5D"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D4582A0" w14:textId="77777777" w:rsidR="00ED0E85" w:rsidRDefault="00ED0E85" w:rsidP="00ED0E85">
            <w:pPr>
              <w:pStyle w:val="TableDataEntries"/>
              <w:rPr>
                <w:lang w:val="en-GB"/>
              </w:rPr>
            </w:pPr>
            <w:r>
              <w:t xml:space="preserve"> 0.07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EB120D8" w14:textId="77777777" w:rsidR="00ED0E85" w:rsidRDefault="00ED0E85" w:rsidP="00ED0E85">
            <w:pPr>
              <w:pStyle w:val="TableDataEntries"/>
              <w:rPr>
                <w:lang w:val="en-GB"/>
              </w:rPr>
            </w:pPr>
            <w:r>
              <w:t xml:space="preserve"> 0.03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C45EDE4" w14:textId="77777777" w:rsidR="00ED0E85" w:rsidRDefault="00ED0E85" w:rsidP="00ED0E85">
            <w:pPr>
              <w:pStyle w:val="TableDataEntries"/>
              <w:rPr>
                <w:lang w:val="en-GB"/>
              </w:rPr>
            </w:pPr>
            <w:r>
              <w:t xml:space="preserve"> 1.43</w:t>
            </w:r>
          </w:p>
        </w:tc>
      </w:tr>
      <w:tr w:rsidR="00ED0E85" w14:paraId="31F11720"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88B649" w14:textId="77777777" w:rsidR="00ED0E85" w:rsidRDefault="00ED0E85" w:rsidP="00ED0E85">
            <w:pPr>
              <w:pStyle w:val="TableDataEntries"/>
              <w:jc w:val="left"/>
              <w:rPr>
                <w:lang w:val="en-GB"/>
              </w:rPr>
            </w:pPr>
            <w:r>
              <w:rPr>
                <w:lang w:val="en-GB"/>
              </w:rPr>
              <w:t>Government 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5C5D16F"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004AAA"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33D5690"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32EC75A"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4A296E4"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C83A8CF"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1EFC9F8"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723EE7B" w14:textId="77777777" w:rsidR="00ED0E85" w:rsidRDefault="00ED0E85" w:rsidP="00ED0E85">
            <w:pPr>
              <w:pStyle w:val="TableDataEntries"/>
              <w:rPr>
                <w:lang w:val="en-GB"/>
              </w:rPr>
            </w:pPr>
            <w:r>
              <w:t xml:space="preserve"> 0.00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880D826" w14:textId="77777777" w:rsidR="00ED0E85" w:rsidRDefault="00ED0E85" w:rsidP="00ED0E85">
            <w:pPr>
              <w:pStyle w:val="TableDataEntries"/>
              <w:rPr>
                <w:lang w:val="en-GB"/>
              </w:rPr>
            </w:pPr>
            <w:r>
              <w:t xml:space="preserve"> 0.00</w:t>
            </w:r>
          </w:p>
        </w:tc>
      </w:tr>
      <w:tr w:rsidR="00ED0E85" w:rsidRPr="005F7960" w14:paraId="28BDB70F"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tcPr>
          <w:p w14:paraId="091100FE" w14:textId="77777777" w:rsidR="00ED0E85" w:rsidRPr="00B004ED" w:rsidRDefault="00ED0E85" w:rsidP="00ED0E85">
            <w:pPr>
              <w:pStyle w:val="TableDataEntries"/>
              <w:jc w:val="left"/>
              <w:rPr>
                <w:rFonts w:ascii="Franklin Gothic Demi" w:hAnsi="Franklin Gothic Demi"/>
                <w:lang w:val="en-GB"/>
              </w:rPr>
            </w:pPr>
            <w:r w:rsidRPr="007B6E9A">
              <w:rPr>
                <w:rFonts w:ascii="Franklin Gothic Demi" w:hAnsi="Franklin Gothic Demi"/>
                <w:lang w:val="en-GB"/>
              </w:rPr>
              <w:t>Total net benefit/cost</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6C5FC5FF"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2.14</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313BAA8B"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1.10</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590A6758"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0.66</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7F2B746E"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0.58</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411E9B85"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- 0.01</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4E410506"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- 0.03</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2F6A8A80"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0.27</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255029BE"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- 0.55</w:t>
            </w:r>
          </w:p>
        </w:tc>
        <w:tc>
          <w:tcPr>
            <w:tcW w:w="698" w:type="dxa"/>
            <w:tcBorders>
              <w:top w:val="single" w:sz="8" w:space="0" w:color="FFFFFF" w:themeColor="background1"/>
              <w:bottom w:val="single" w:sz="8" w:space="0" w:color="FFFFFF" w:themeColor="background1"/>
            </w:tcBorders>
            <w:shd w:val="clear" w:color="auto" w:fill="C2DADB" w:themeFill="accent6" w:themeFillTint="99"/>
            <w:tcMar>
              <w:left w:w="57" w:type="dxa"/>
              <w:right w:w="57" w:type="dxa"/>
            </w:tcMar>
            <w:vAlign w:val="bottom"/>
          </w:tcPr>
          <w:p w14:paraId="0F5E1E51"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4.17</w:t>
            </w:r>
          </w:p>
        </w:tc>
      </w:tr>
      <w:tr w:rsidR="00ED0E85" w14:paraId="33398EFE" w14:textId="77777777" w:rsidTr="00ED0E85">
        <w:trPr>
          <w:trHeight w:val="374"/>
        </w:trPr>
        <w:tc>
          <w:tcPr>
            <w:tcW w:w="1652"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12485AE" w14:textId="77777777" w:rsidR="00ED0E85" w:rsidRDefault="00ED0E85" w:rsidP="00ED0E85">
            <w:pPr>
              <w:pStyle w:val="TableHeading1"/>
              <w:rPr>
                <w:lang w:val="en-GB"/>
              </w:rPr>
            </w:pPr>
            <w:r>
              <w:rPr>
                <w:lang w:val="en-GB"/>
              </w:rPr>
              <w:t>CBD Program - total</w:t>
            </w:r>
          </w:p>
        </w:tc>
        <w:tc>
          <w:tcPr>
            <w:tcW w:w="69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412925C6"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629AF44B"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6D9AD981"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68971828"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07869EC3"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5285455A"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5DC27578"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08216C64"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vAlign w:val="bottom"/>
          </w:tcPr>
          <w:p w14:paraId="0547EC1C" w14:textId="77777777" w:rsidR="00ED0E85" w:rsidRDefault="00ED0E85" w:rsidP="00ED0E85">
            <w:pPr>
              <w:pStyle w:val="TableDataEntries"/>
              <w:rPr>
                <w:lang w:val="en-GB"/>
              </w:rPr>
            </w:pPr>
          </w:p>
        </w:tc>
      </w:tr>
      <w:tr w:rsidR="00ED0E85" w14:paraId="499DCA58"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2F6F2E" w14:textId="77777777" w:rsidR="00ED0E85" w:rsidRDefault="00ED0E85" w:rsidP="00ED0E85">
            <w:pPr>
              <w:pStyle w:val="TableHeading2"/>
              <w:rPr>
                <w:lang w:val="en-GB"/>
              </w:rPr>
            </w:pPr>
            <w:r>
              <w:rPr>
                <w:lang w:val="en-GB"/>
              </w:rPr>
              <w:t>Private benefits/costs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0C90770"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B2F115B"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7B99657"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5C96FFB"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BD9CB00"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D4D782C"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007FA29"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14F05B"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7559765" w14:textId="77777777" w:rsidR="00ED0E85" w:rsidRDefault="00ED0E85" w:rsidP="00ED0E85">
            <w:pPr>
              <w:pStyle w:val="TableDataEntries"/>
              <w:rPr>
                <w:lang w:val="en-GB"/>
              </w:rPr>
            </w:pPr>
          </w:p>
        </w:tc>
      </w:tr>
      <w:tr w:rsidR="00ED0E85" w14:paraId="310DAA2B"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6864D7" w14:textId="77777777" w:rsidR="00ED0E85" w:rsidRDefault="00ED0E85" w:rsidP="00ED0E85">
            <w:pPr>
              <w:pStyle w:val="TableDataEntries"/>
              <w:jc w:val="left"/>
              <w:rPr>
                <w:lang w:val="en-GB"/>
              </w:rPr>
            </w:pPr>
            <w:r>
              <w:rPr>
                <w:lang w:val="en-GB"/>
              </w:rPr>
              <w:t>Electricity savings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0F161E6" w14:textId="77777777" w:rsidR="00ED0E85" w:rsidRDefault="00ED0E85" w:rsidP="00ED0E85">
            <w:pPr>
              <w:pStyle w:val="TableDataEntries"/>
              <w:rPr>
                <w:lang w:val="en-GB"/>
              </w:rPr>
            </w:pPr>
            <w:r>
              <w:t xml:space="preserve"> 57.77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7458D92" w14:textId="77777777" w:rsidR="00ED0E85" w:rsidRDefault="00ED0E85" w:rsidP="00ED0E85">
            <w:pPr>
              <w:pStyle w:val="TableDataEntries"/>
              <w:rPr>
                <w:lang w:val="en-GB"/>
              </w:rPr>
            </w:pPr>
            <w:r>
              <w:t xml:space="preserve"> 73.15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254EBCA" w14:textId="77777777" w:rsidR="00ED0E85" w:rsidRDefault="00ED0E85" w:rsidP="00ED0E85">
            <w:pPr>
              <w:pStyle w:val="TableDataEntries"/>
              <w:rPr>
                <w:lang w:val="en-GB"/>
              </w:rPr>
            </w:pPr>
            <w:r>
              <w:t xml:space="preserve"> 39.45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EE65E61" w14:textId="77777777" w:rsidR="00ED0E85" w:rsidRDefault="00ED0E85" w:rsidP="00ED0E85">
            <w:pPr>
              <w:pStyle w:val="TableDataEntries"/>
              <w:rPr>
                <w:lang w:val="en-GB"/>
              </w:rPr>
            </w:pPr>
            <w:r>
              <w:t xml:space="preserve"> 24.56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6BF7957" w14:textId="77777777" w:rsidR="00ED0E85" w:rsidRDefault="00ED0E85" w:rsidP="00ED0E85">
            <w:pPr>
              <w:pStyle w:val="TableDataEntries"/>
              <w:rPr>
                <w:lang w:val="en-GB"/>
              </w:rPr>
            </w:pPr>
            <w:r>
              <w:t xml:space="preserve"> 7.00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A9EF119" w14:textId="77777777" w:rsidR="00ED0E85" w:rsidRDefault="00ED0E85" w:rsidP="00ED0E85">
            <w:pPr>
              <w:pStyle w:val="TableDataEntries"/>
              <w:rPr>
                <w:lang w:val="en-GB"/>
              </w:rPr>
            </w:pPr>
            <w:r>
              <w:t>- 20.03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E94148B" w14:textId="77777777" w:rsidR="00ED0E85" w:rsidRDefault="00ED0E85" w:rsidP="00ED0E85">
            <w:pPr>
              <w:pStyle w:val="TableDataEntries"/>
              <w:rPr>
                <w:lang w:val="en-GB"/>
              </w:rPr>
            </w:pPr>
            <w:r>
              <w:t xml:space="preserve"> 6.56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E4BE68" w14:textId="77777777" w:rsidR="00ED0E85" w:rsidRDefault="00ED0E85" w:rsidP="00ED0E85">
            <w:pPr>
              <w:pStyle w:val="TableDataEntries"/>
              <w:rPr>
                <w:lang w:val="en-GB"/>
              </w:rPr>
            </w:pPr>
            <w:r>
              <w:t xml:space="preserve"> 1.35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F69988A" w14:textId="77777777" w:rsidR="00ED0E85" w:rsidRDefault="00ED0E85" w:rsidP="00ED0E85">
            <w:pPr>
              <w:pStyle w:val="TableDataEntries"/>
              <w:rPr>
                <w:lang w:val="en-GB"/>
              </w:rPr>
            </w:pPr>
            <w:r>
              <w:t xml:space="preserve"> 189.79</w:t>
            </w:r>
          </w:p>
        </w:tc>
      </w:tr>
      <w:tr w:rsidR="00ED0E85" w14:paraId="5A1D5C84"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460AC3" w14:textId="77777777" w:rsidR="00ED0E85" w:rsidRDefault="00ED0E85" w:rsidP="00ED0E85">
            <w:pPr>
              <w:pStyle w:val="TableDataEntries"/>
              <w:jc w:val="left"/>
              <w:rPr>
                <w:lang w:val="en-GB"/>
              </w:rPr>
            </w:pPr>
            <w:r>
              <w:rPr>
                <w:lang w:val="en-GB"/>
              </w:rPr>
              <w:t>Gas savings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E17BE32" w14:textId="77777777" w:rsidR="00ED0E85" w:rsidRDefault="00ED0E85" w:rsidP="00ED0E85">
            <w:pPr>
              <w:pStyle w:val="TableDataEntries"/>
              <w:rPr>
                <w:lang w:val="en-GB"/>
              </w:rPr>
            </w:pPr>
            <w:r>
              <w:t xml:space="preserve"> 33.19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FE8589C" w14:textId="77777777" w:rsidR="00ED0E85" w:rsidRDefault="00ED0E85" w:rsidP="00ED0E85">
            <w:pPr>
              <w:pStyle w:val="TableDataEntries"/>
              <w:rPr>
                <w:lang w:val="en-GB"/>
              </w:rPr>
            </w:pPr>
            <w:r>
              <w:t xml:space="preserve"> 21.00</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F9C2758" w14:textId="77777777" w:rsidR="00ED0E85" w:rsidRDefault="00ED0E85" w:rsidP="00ED0E85">
            <w:pPr>
              <w:pStyle w:val="TableDataEntries"/>
              <w:rPr>
                <w:lang w:val="en-GB"/>
              </w:rPr>
            </w:pPr>
            <w:r>
              <w:t xml:space="preserve"> 23.63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49E5089" w14:textId="77777777" w:rsidR="00ED0E85" w:rsidRDefault="00ED0E85" w:rsidP="00ED0E85">
            <w:pPr>
              <w:pStyle w:val="TableDataEntries"/>
              <w:rPr>
                <w:lang w:val="en-GB"/>
              </w:rPr>
            </w:pPr>
            <w:r>
              <w:t xml:space="preserve"> 4.34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8844B18" w14:textId="77777777" w:rsidR="00ED0E85" w:rsidRDefault="00ED0E85" w:rsidP="00ED0E85">
            <w:pPr>
              <w:pStyle w:val="TableDataEntries"/>
              <w:rPr>
                <w:lang w:val="en-GB"/>
              </w:rPr>
            </w:pPr>
            <w:r>
              <w:t xml:space="preserve"> 3.92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641C1D1" w14:textId="77777777" w:rsidR="00ED0E85" w:rsidRDefault="00ED0E85" w:rsidP="00ED0E85">
            <w:pPr>
              <w:pStyle w:val="TableDataEntries"/>
              <w:rPr>
                <w:lang w:val="en-GB"/>
              </w:rPr>
            </w:pPr>
            <w:r>
              <w:t xml:space="preserve"> 19.28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3B5508F" w14:textId="77777777" w:rsidR="00ED0E85" w:rsidRDefault="00ED0E85" w:rsidP="00ED0E85">
            <w:pPr>
              <w:pStyle w:val="TableDataEntries"/>
              <w:rPr>
                <w:lang w:val="en-GB"/>
              </w:rPr>
            </w:pPr>
            <w:r>
              <w:t xml:space="preserve"> 6.91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E04B6D" w14:textId="77777777" w:rsidR="00ED0E85" w:rsidRDefault="00ED0E85" w:rsidP="00ED0E85">
            <w:pPr>
              <w:pStyle w:val="TableDataEntries"/>
              <w:rPr>
                <w:lang w:val="en-GB"/>
              </w:rPr>
            </w:pPr>
            <w:r>
              <w:t xml:space="preserve"> 0.59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0BA6766" w14:textId="77777777" w:rsidR="00ED0E85" w:rsidRDefault="00ED0E85" w:rsidP="00ED0E85">
            <w:pPr>
              <w:pStyle w:val="TableDataEntries"/>
              <w:rPr>
                <w:lang w:val="en-GB"/>
              </w:rPr>
            </w:pPr>
            <w:r>
              <w:t xml:space="preserve"> 112.87</w:t>
            </w:r>
          </w:p>
        </w:tc>
      </w:tr>
      <w:tr w:rsidR="00ED0E85" w14:paraId="3746F085"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731117" w14:textId="77777777" w:rsidR="00ED0E85" w:rsidRDefault="00ED0E85" w:rsidP="00ED0E85">
            <w:pPr>
              <w:pStyle w:val="TableDataEntries"/>
              <w:jc w:val="left"/>
              <w:rPr>
                <w:lang w:val="en-GB"/>
              </w:rPr>
            </w:pPr>
            <w:r>
              <w:rPr>
                <w:lang w:val="en-GB"/>
              </w:rPr>
              <w:t>Upgrade 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06370BA" w14:textId="77777777" w:rsidR="00ED0E85" w:rsidRDefault="00ED0E85" w:rsidP="00ED0E85">
            <w:pPr>
              <w:pStyle w:val="TableDataEntries"/>
              <w:rPr>
                <w:lang w:val="en-GB"/>
              </w:rPr>
            </w:pPr>
            <w:r>
              <w:t>- 53.41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1E87373" w14:textId="77777777" w:rsidR="00ED0E85" w:rsidRDefault="00ED0E85" w:rsidP="00ED0E85">
            <w:pPr>
              <w:pStyle w:val="TableDataEntries"/>
              <w:rPr>
                <w:lang w:val="en-GB"/>
              </w:rPr>
            </w:pPr>
            <w:r>
              <w:t>- 53.99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A1E17D" w14:textId="77777777" w:rsidR="00ED0E85" w:rsidRDefault="00ED0E85" w:rsidP="00ED0E85">
            <w:pPr>
              <w:pStyle w:val="TableDataEntries"/>
              <w:rPr>
                <w:lang w:val="en-GB"/>
              </w:rPr>
            </w:pPr>
            <w:r>
              <w:t>- 27.63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65442AA" w14:textId="77777777" w:rsidR="00ED0E85" w:rsidRDefault="00ED0E85" w:rsidP="00ED0E85">
            <w:pPr>
              <w:pStyle w:val="TableDataEntries"/>
              <w:rPr>
                <w:lang w:val="en-GB"/>
              </w:rPr>
            </w:pPr>
            <w:r>
              <w:t>- 13.92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98E4DD2" w14:textId="77777777" w:rsidR="00ED0E85" w:rsidRDefault="00ED0E85" w:rsidP="00ED0E85">
            <w:pPr>
              <w:pStyle w:val="TableDataEntries"/>
              <w:rPr>
                <w:lang w:val="en-GB"/>
              </w:rPr>
            </w:pPr>
            <w:r>
              <w:t>- 5.58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34C57DE" w14:textId="77777777" w:rsidR="00ED0E85" w:rsidRDefault="00ED0E85" w:rsidP="00ED0E85">
            <w:pPr>
              <w:pStyle w:val="TableDataEntries"/>
              <w:rPr>
                <w:lang w:val="en-GB"/>
              </w:rPr>
            </w:pPr>
            <w:r>
              <w:t>- 0.74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2D3ACAC" w14:textId="77777777" w:rsidR="00ED0E85" w:rsidRDefault="00ED0E85" w:rsidP="00ED0E85">
            <w:pPr>
              <w:pStyle w:val="TableDataEntries"/>
              <w:rPr>
                <w:lang w:val="en-GB"/>
              </w:rPr>
            </w:pPr>
            <w:r>
              <w:t>- 9.34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D943832" w14:textId="77777777" w:rsidR="00ED0E85" w:rsidRDefault="00ED0E85" w:rsidP="00ED0E85">
            <w:pPr>
              <w:pStyle w:val="TableDataEntries"/>
              <w:rPr>
                <w:lang w:val="en-GB"/>
              </w:rPr>
            </w:pPr>
            <w:r>
              <w:t>- 1.14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A3CBDB6" w14:textId="77777777" w:rsidR="00ED0E85" w:rsidRDefault="00ED0E85" w:rsidP="00ED0E85">
            <w:pPr>
              <w:pStyle w:val="TableDataEntries"/>
              <w:rPr>
                <w:lang w:val="en-GB"/>
              </w:rPr>
            </w:pPr>
            <w:r>
              <w:t>- 165.76</w:t>
            </w:r>
          </w:p>
        </w:tc>
      </w:tr>
      <w:tr w:rsidR="00ED0E85" w14:paraId="4332FB17"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85EC64" w14:textId="77777777" w:rsidR="00ED0E85" w:rsidRDefault="00ED0E85" w:rsidP="00ED0E85">
            <w:pPr>
              <w:pStyle w:val="TableDataEntries"/>
              <w:jc w:val="left"/>
              <w:rPr>
                <w:lang w:val="en-GB"/>
              </w:rPr>
            </w:pPr>
            <w:r>
              <w:rPr>
                <w:lang w:val="en-GB"/>
              </w:rPr>
              <w:t>Compliance costs - NABERS ratings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7CA9C82" w14:textId="77777777" w:rsidR="00ED0E85" w:rsidRDefault="00ED0E85" w:rsidP="00ED0E85">
            <w:pPr>
              <w:pStyle w:val="TableDataEntries"/>
              <w:rPr>
                <w:lang w:val="en-GB"/>
              </w:rPr>
            </w:pPr>
            <w:r>
              <w:t>- 15.01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2E2FB73" w14:textId="77777777" w:rsidR="00ED0E85" w:rsidRDefault="00ED0E85" w:rsidP="00ED0E85">
            <w:pPr>
              <w:pStyle w:val="TableDataEntries"/>
              <w:rPr>
                <w:lang w:val="en-GB"/>
              </w:rPr>
            </w:pPr>
            <w:r>
              <w:t>- 10.53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8D5248B" w14:textId="77777777" w:rsidR="00ED0E85" w:rsidRDefault="00ED0E85" w:rsidP="00ED0E85">
            <w:pPr>
              <w:pStyle w:val="TableDataEntries"/>
              <w:rPr>
                <w:lang w:val="en-GB"/>
              </w:rPr>
            </w:pPr>
            <w:r>
              <w:t>- 9.68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3E7EA6C" w14:textId="77777777" w:rsidR="00ED0E85" w:rsidRDefault="00ED0E85" w:rsidP="00ED0E85">
            <w:pPr>
              <w:pStyle w:val="TableDataEntries"/>
              <w:rPr>
                <w:lang w:val="en-GB"/>
              </w:rPr>
            </w:pPr>
            <w:r>
              <w:t>- 5.98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31909E1" w14:textId="77777777" w:rsidR="00ED0E85" w:rsidRDefault="00ED0E85" w:rsidP="00ED0E85">
            <w:pPr>
              <w:pStyle w:val="TableDataEntries"/>
              <w:rPr>
                <w:lang w:val="en-GB"/>
              </w:rPr>
            </w:pPr>
            <w:r>
              <w:t>- 2.64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29CABA5" w14:textId="77777777" w:rsidR="00ED0E85" w:rsidRDefault="00ED0E85" w:rsidP="00ED0E85">
            <w:pPr>
              <w:pStyle w:val="TableDataEntries"/>
              <w:rPr>
                <w:lang w:val="en-GB"/>
              </w:rPr>
            </w:pPr>
            <w:r>
              <w:t>- 0.99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F71A78B" w14:textId="77777777" w:rsidR="00ED0E85" w:rsidRDefault="00ED0E85" w:rsidP="00ED0E85">
            <w:pPr>
              <w:pStyle w:val="TableDataEntries"/>
              <w:rPr>
                <w:lang w:val="en-GB"/>
              </w:rPr>
            </w:pPr>
            <w:r>
              <w:t>- 3.17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63547BB" w14:textId="77777777" w:rsidR="00ED0E85" w:rsidRDefault="00ED0E85" w:rsidP="00ED0E85">
            <w:pPr>
              <w:pStyle w:val="TableDataEntries"/>
              <w:rPr>
                <w:lang w:val="en-GB"/>
              </w:rPr>
            </w:pPr>
            <w:r>
              <w:t>- 0.82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50D884F" w14:textId="77777777" w:rsidR="00ED0E85" w:rsidRDefault="00ED0E85" w:rsidP="00ED0E85">
            <w:pPr>
              <w:pStyle w:val="TableDataEntries"/>
              <w:rPr>
                <w:lang w:val="en-GB"/>
              </w:rPr>
            </w:pPr>
            <w:r>
              <w:t>- 48.82</w:t>
            </w:r>
          </w:p>
        </w:tc>
      </w:tr>
      <w:tr w:rsidR="00ED0E85" w14:paraId="4AF6E79C"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D78AA2" w14:textId="77777777" w:rsidR="00ED0E85" w:rsidRDefault="00ED0E85" w:rsidP="00ED0E85">
            <w:pPr>
              <w:pStyle w:val="TableDataEntries"/>
              <w:jc w:val="left"/>
              <w:rPr>
                <w:lang w:val="en-GB"/>
              </w:rPr>
            </w:pPr>
            <w:r>
              <w:rPr>
                <w:lang w:val="en-GB"/>
              </w:rPr>
              <w:t>Compliance costs - TLAs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8EE2433" w14:textId="77777777" w:rsidR="00ED0E85" w:rsidRDefault="00ED0E85" w:rsidP="00ED0E85">
            <w:pPr>
              <w:pStyle w:val="TableDataEntries"/>
              <w:rPr>
                <w:lang w:val="en-GB"/>
              </w:rPr>
            </w:pPr>
            <w:r>
              <w:t>- 1.43</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2EF669C" w14:textId="77777777" w:rsidR="00ED0E85" w:rsidRDefault="00ED0E85" w:rsidP="00ED0E85">
            <w:pPr>
              <w:pStyle w:val="TableDataEntries"/>
              <w:rPr>
                <w:lang w:val="en-GB"/>
              </w:rPr>
            </w:pPr>
            <w:r>
              <w:t>- 0.95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5403D59" w14:textId="77777777" w:rsidR="00ED0E85" w:rsidRDefault="00ED0E85" w:rsidP="00ED0E85">
            <w:pPr>
              <w:pStyle w:val="TableDataEntries"/>
              <w:rPr>
                <w:lang w:val="en-GB"/>
              </w:rPr>
            </w:pPr>
            <w:r>
              <w:t>- 1.02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C7E4E88" w14:textId="77777777" w:rsidR="00ED0E85" w:rsidRDefault="00ED0E85" w:rsidP="00ED0E85">
            <w:pPr>
              <w:pStyle w:val="TableDataEntries"/>
              <w:rPr>
                <w:lang w:val="en-GB"/>
              </w:rPr>
            </w:pPr>
            <w:r>
              <w:t>- 0.49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4979106" w14:textId="77777777" w:rsidR="00ED0E85" w:rsidRDefault="00ED0E85" w:rsidP="00ED0E85">
            <w:pPr>
              <w:pStyle w:val="TableDataEntries"/>
              <w:rPr>
                <w:lang w:val="en-GB"/>
              </w:rPr>
            </w:pPr>
            <w:r>
              <w:t>- 0.31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5A34FF2" w14:textId="77777777" w:rsidR="00ED0E85" w:rsidRDefault="00ED0E85" w:rsidP="00ED0E85">
            <w:pPr>
              <w:pStyle w:val="TableDataEntries"/>
              <w:rPr>
                <w:lang w:val="en-GB"/>
              </w:rPr>
            </w:pPr>
            <w:r>
              <w:t>- 0.09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53EDCAB" w14:textId="77777777" w:rsidR="00ED0E85" w:rsidRDefault="00ED0E85" w:rsidP="00ED0E85">
            <w:pPr>
              <w:pStyle w:val="TableDataEntries"/>
              <w:rPr>
                <w:lang w:val="en-GB"/>
              </w:rPr>
            </w:pPr>
            <w:r>
              <w:t>- 0.31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7A45938" w14:textId="77777777" w:rsidR="00ED0E85" w:rsidRDefault="00ED0E85" w:rsidP="00ED0E85">
            <w:pPr>
              <w:pStyle w:val="TableDataEntries"/>
              <w:rPr>
                <w:lang w:val="en-GB"/>
              </w:rPr>
            </w:pPr>
            <w:r>
              <w:t>- 0.62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6FFB605" w14:textId="77777777" w:rsidR="00ED0E85" w:rsidRDefault="00ED0E85" w:rsidP="00ED0E85">
            <w:pPr>
              <w:pStyle w:val="TableDataEntries"/>
              <w:rPr>
                <w:lang w:val="en-GB"/>
              </w:rPr>
            </w:pPr>
            <w:r>
              <w:t>- 5.20</w:t>
            </w:r>
          </w:p>
        </w:tc>
      </w:tr>
      <w:tr w:rsidR="00ED0E85" w:rsidRPr="005F7960" w14:paraId="541C4698"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202702" w14:textId="77777777" w:rsidR="00ED0E85" w:rsidRPr="00B004ED" w:rsidRDefault="00ED0E85" w:rsidP="00ED0E85">
            <w:pPr>
              <w:pStyle w:val="TableDataEntries"/>
              <w:jc w:val="left"/>
              <w:rPr>
                <w:rFonts w:ascii="Franklin Gothic Demi" w:hAnsi="Franklin Gothic Demi"/>
                <w:lang w:val="en-GB"/>
              </w:rPr>
            </w:pPr>
            <w:r w:rsidRPr="007B6E9A">
              <w:rPr>
                <w:rFonts w:ascii="Franklin Gothic Demi" w:hAnsi="Franklin Gothic Demi"/>
                <w:lang w:val="en-GB"/>
              </w:rPr>
              <w:t xml:space="preserve">Net </w:t>
            </w:r>
            <w:r w:rsidRPr="00B004ED">
              <w:rPr>
                <w:rFonts w:ascii="Franklin Gothic Demi" w:hAnsi="Franklin Gothic Demi"/>
                <w:lang w:val="en-GB"/>
              </w:rPr>
              <w:t>private benefits/costs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58561AD"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21.11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900FDB0"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28.69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61152F5"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24.75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1A84AF5"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8.51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0507D8F"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2.38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AEDA7A5"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- 2.57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A4556D5"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0.65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12106D1"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- 0.64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B0F46CF"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82.88</w:t>
            </w:r>
          </w:p>
        </w:tc>
      </w:tr>
      <w:tr w:rsidR="00ED0E85" w14:paraId="521302AA"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CD156D" w14:textId="77777777" w:rsidR="00ED0E85" w:rsidRDefault="00ED0E85" w:rsidP="00ED0E85">
            <w:pPr>
              <w:pStyle w:val="TableHeading2"/>
              <w:rPr>
                <w:lang w:val="en-GB"/>
              </w:rPr>
            </w:pPr>
            <w:r>
              <w:rPr>
                <w:lang w:val="en-GB"/>
              </w:rPr>
              <w:t>Other benefits/costs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65BBD920"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2859B5B"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AA5E022"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8942563"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66B00D0"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20AE7BB"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768C54E"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966090B" w14:textId="77777777" w:rsidR="00ED0E85" w:rsidRDefault="00ED0E85" w:rsidP="00ED0E85">
            <w:pPr>
              <w:pStyle w:val="TableDataEntries"/>
              <w:rPr>
                <w:lang w:val="en-GB"/>
              </w:rPr>
            </w:pP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A75BE51" w14:textId="77777777" w:rsidR="00ED0E85" w:rsidRDefault="00ED0E85" w:rsidP="00ED0E85">
            <w:pPr>
              <w:pStyle w:val="TableDataEntries"/>
              <w:rPr>
                <w:lang w:val="en-GB"/>
              </w:rPr>
            </w:pPr>
          </w:p>
        </w:tc>
      </w:tr>
      <w:tr w:rsidR="00ED0E85" w14:paraId="1C6C1375"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5A1A69" w14:textId="77777777" w:rsidR="00ED0E85" w:rsidRDefault="00ED0E85" w:rsidP="00ED0E85">
            <w:pPr>
              <w:pStyle w:val="TableDataEntries"/>
              <w:jc w:val="left"/>
              <w:rPr>
                <w:lang w:val="en-GB"/>
              </w:rPr>
            </w:pPr>
            <w:r>
              <w:rPr>
                <w:lang w:val="en-GB"/>
              </w:rPr>
              <w:t>GHG emissions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1B40224" w14:textId="77777777" w:rsidR="00ED0E85" w:rsidRDefault="00ED0E85" w:rsidP="00ED0E85">
            <w:pPr>
              <w:pStyle w:val="TableDataEntries"/>
              <w:rPr>
                <w:lang w:val="en-GB"/>
              </w:rPr>
            </w:pPr>
            <w:r>
              <w:t xml:space="preserve"> 44.58</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11C2EA4F" w14:textId="77777777" w:rsidR="00ED0E85" w:rsidRDefault="00ED0E85" w:rsidP="00ED0E85">
            <w:pPr>
              <w:pStyle w:val="TableDataEntries"/>
              <w:rPr>
                <w:lang w:val="en-GB"/>
              </w:rPr>
            </w:pPr>
            <w:r>
              <w:t xml:space="preserve"> 62.94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DA39A42" w14:textId="77777777" w:rsidR="00ED0E85" w:rsidRDefault="00ED0E85" w:rsidP="00ED0E85">
            <w:pPr>
              <w:pStyle w:val="TableDataEntries"/>
              <w:rPr>
                <w:lang w:val="en-GB"/>
              </w:rPr>
            </w:pPr>
            <w:r>
              <w:t xml:space="preserve"> 26.34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861D3B6" w14:textId="77777777" w:rsidR="00ED0E85" w:rsidRDefault="00ED0E85" w:rsidP="00ED0E85">
            <w:pPr>
              <w:pStyle w:val="TableDataEntries"/>
              <w:rPr>
                <w:lang w:val="en-GB"/>
              </w:rPr>
            </w:pPr>
            <w:r>
              <w:t xml:space="preserve"> 11.81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C0398CD" w14:textId="77777777" w:rsidR="00ED0E85" w:rsidRDefault="00ED0E85" w:rsidP="00ED0E85">
            <w:pPr>
              <w:pStyle w:val="TableDataEntries"/>
              <w:rPr>
                <w:lang w:val="en-GB"/>
              </w:rPr>
            </w:pPr>
            <w:r>
              <w:t xml:space="preserve"> 2.94</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109C658" w14:textId="77777777" w:rsidR="00ED0E85" w:rsidRDefault="00ED0E85" w:rsidP="00ED0E85">
            <w:pPr>
              <w:pStyle w:val="TableDataEntries"/>
              <w:rPr>
                <w:lang w:val="en-GB"/>
              </w:rPr>
            </w:pPr>
            <w:r>
              <w:t xml:space="preserve"> 0.05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0F0AD798" w14:textId="77777777" w:rsidR="00ED0E85" w:rsidRDefault="00ED0E85" w:rsidP="00ED0E85">
            <w:pPr>
              <w:pStyle w:val="TableDataEntries"/>
              <w:rPr>
                <w:lang w:val="en-GB"/>
              </w:rPr>
            </w:pPr>
            <w:r>
              <w:t xml:space="preserve"> 5.95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FD897C" w14:textId="77777777" w:rsidR="00ED0E85" w:rsidRDefault="00ED0E85" w:rsidP="00ED0E85">
            <w:pPr>
              <w:pStyle w:val="TableDataEntries"/>
              <w:rPr>
                <w:lang w:val="en-GB"/>
              </w:rPr>
            </w:pPr>
            <w:r>
              <w:t xml:space="preserve"> 0.69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290146A" w14:textId="77777777" w:rsidR="00ED0E85" w:rsidRDefault="00ED0E85" w:rsidP="00ED0E85">
            <w:pPr>
              <w:pStyle w:val="TableDataEntries"/>
              <w:rPr>
                <w:lang w:val="en-GB"/>
              </w:rPr>
            </w:pPr>
            <w:r>
              <w:t xml:space="preserve"> 155.30</w:t>
            </w:r>
          </w:p>
        </w:tc>
      </w:tr>
      <w:tr w:rsidR="00ED0E85" w14:paraId="5B346BA1" w14:textId="77777777" w:rsidTr="00ED0E85">
        <w:trPr>
          <w:trHeight w:val="230"/>
        </w:trPr>
        <w:tc>
          <w:tcPr>
            <w:tcW w:w="1652"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33272C" w14:textId="77777777" w:rsidR="00ED0E85" w:rsidRDefault="00ED0E85" w:rsidP="00ED0E85">
            <w:pPr>
              <w:pStyle w:val="TableDataEntries"/>
              <w:jc w:val="left"/>
              <w:rPr>
                <w:lang w:val="en-GB"/>
              </w:rPr>
            </w:pPr>
            <w:r>
              <w:rPr>
                <w:lang w:val="en-GB"/>
              </w:rPr>
              <w:t>Government costs</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A72C19D" w14:textId="77777777" w:rsidR="00ED0E85" w:rsidRDefault="00ED0E85" w:rsidP="00ED0E85">
            <w:pPr>
              <w:pStyle w:val="TableDataEntries"/>
              <w:rPr>
                <w:lang w:val="en-GB"/>
              </w:rPr>
            </w:pPr>
            <w:r>
              <w:t>- 6.62</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F7A7CF9" w14:textId="77777777" w:rsidR="00ED0E85" w:rsidRDefault="00ED0E85" w:rsidP="00ED0E85">
            <w:pPr>
              <w:pStyle w:val="TableDataEntries"/>
              <w:rPr>
                <w:lang w:val="en-GB"/>
              </w:rPr>
            </w:pPr>
            <w:r>
              <w:t>- 4.67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9194D98" w14:textId="77777777" w:rsidR="00ED0E85" w:rsidRDefault="00ED0E85" w:rsidP="00ED0E85">
            <w:pPr>
              <w:pStyle w:val="TableDataEntries"/>
              <w:rPr>
                <w:lang w:val="en-GB"/>
              </w:rPr>
            </w:pPr>
            <w:r>
              <w:t>- 4.09</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5AC2CB0F" w14:textId="77777777" w:rsidR="00ED0E85" w:rsidRDefault="00ED0E85" w:rsidP="00ED0E85">
            <w:pPr>
              <w:pStyle w:val="TableDataEntries"/>
              <w:rPr>
                <w:lang w:val="en-GB"/>
              </w:rPr>
            </w:pPr>
            <w:r>
              <w:t>- 2.46</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7DF4EE9D" w14:textId="77777777" w:rsidR="00ED0E85" w:rsidRDefault="00ED0E85" w:rsidP="00ED0E85">
            <w:pPr>
              <w:pStyle w:val="TableDataEntries"/>
              <w:rPr>
                <w:lang w:val="en-GB"/>
              </w:rPr>
            </w:pPr>
            <w:r>
              <w:t>- 1.07</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3872FA04" w14:textId="77777777" w:rsidR="00ED0E85" w:rsidRDefault="00ED0E85" w:rsidP="00ED0E85">
            <w:pPr>
              <w:pStyle w:val="TableDataEntries"/>
              <w:rPr>
                <w:lang w:val="en-GB"/>
              </w:rPr>
            </w:pPr>
            <w:r>
              <w:t>- 0.41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DEE4465" w14:textId="77777777" w:rsidR="00ED0E85" w:rsidRDefault="00ED0E85" w:rsidP="00ED0E85">
            <w:pPr>
              <w:pStyle w:val="TableDataEntries"/>
              <w:rPr>
                <w:lang w:val="en-GB"/>
              </w:rPr>
            </w:pPr>
            <w:r>
              <w:t>- 1.31</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28C2A179" w14:textId="77777777" w:rsidR="00ED0E85" w:rsidRDefault="00ED0E85" w:rsidP="00ED0E85">
            <w:pPr>
              <w:pStyle w:val="TableDataEntries"/>
              <w:rPr>
                <w:lang w:val="en-GB"/>
              </w:rPr>
            </w:pPr>
            <w:r>
              <w:t>- 0.35</w:t>
            </w:r>
          </w:p>
        </w:tc>
        <w:tc>
          <w:tcPr>
            <w:tcW w:w="69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vAlign w:val="bottom"/>
          </w:tcPr>
          <w:p w14:paraId="4DB95D12" w14:textId="77777777" w:rsidR="00ED0E85" w:rsidRDefault="00ED0E85" w:rsidP="00ED0E85">
            <w:pPr>
              <w:pStyle w:val="TableDataEntries"/>
              <w:rPr>
                <w:lang w:val="en-GB"/>
              </w:rPr>
            </w:pPr>
            <w:r>
              <w:t>- 20.98</w:t>
            </w:r>
          </w:p>
        </w:tc>
      </w:tr>
      <w:tr w:rsidR="00ED0E85" w:rsidRPr="005F7960" w14:paraId="0B8AE49A" w14:textId="77777777" w:rsidTr="00ED0E85">
        <w:trPr>
          <w:trHeight w:val="230"/>
        </w:trPr>
        <w:tc>
          <w:tcPr>
            <w:tcW w:w="1652"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511F581" w14:textId="77777777" w:rsidR="00ED0E85" w:rsidRPr="00B004ED" w:rsidRDefault="00ED0E85" w:rsidP="00ED0E85">
            <w:pPr>
              <w:pStyle w:val="TableDataEntries"/>
              <w:jc w:val="left"/>
              <w:rPr>
                <w:rFonts w:ascii="Franklin Gothic Demi" w:hAnsi="Franklin Gothic Demi"/>
                <w:lang w:val="en-GB"/>
              </w:rPr>
            </w:pPr>
            <w:r w:rsidRPr="007B6E9A">
              <w:rPr>
                <w:rFonts w:ascii="Franklin Gothic Demi" w:hAnsi="Franklin Gothic Demi"/>
                <w:lang w:val="en-GB"/>
              </w:rPr>
              <w:t>Total net benefit/cost</w:t>
            </w:r>
          </w:p>
        </w:tc>
        <w:tc>
          <w:tcPr>
            <w:tcW w:w="69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1D040C90"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59.07</w:t>
            </w:r>
          </w:p>
        </w:tc>
        <w:tc>
          <w:tcPr>
            <w:tcW w:w="69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3F62BAB7"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86.96</w:t>
            </w:r>
          </w:p>
        </w:tc>
        <w:tc>
          <w:tcPr>
            <w:tcW w:w="69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49A1E67B"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47.00</w:t>
            </w:r>
          </w:p>
        </w:tc>
        <w:tc>
          <w:tcPr>
            <w:tcW w:w="69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6313DB04"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17.86</w:t>
            </w:r>
          </w:p>
        </w:tc>
        <w:tc>
          <w:tcPr>
            <w:tcW w:w="69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0BC61C98"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4.25</w:t>
            </w:r>
          </w:p>
        </w:tc>
        <w:tc>
          <w:tcPr>
            <w:tcW w:w="69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4A43BB86"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- 2.93</w:t>
            </w:r>
          </w:p>
        </w:tc>
        <w:tc>
          <w:tcPr>
            <w:tcW w:w="69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237DE863"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5.29</w:t>
            </w:r>
          </w:p>
        </w:tc>
        <w:tc>
          <w:tcPr>
            <w:tcW w:w="69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3048D63D"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- 0.30</w:t>
            </w:r>
          </w:p>
        </w:tc>
        <w:tc>
          <w:tcPr>
            <w:tcW w:w="698" w:type="dxa"/>
            <w:tcBorders>
              <w:top w:val="single" w:sz="8" w:space="0" w:color="FFFFFF" w:themeColor="background1"/>
              <w:bottom w:val="single" w:sz="6" w:space="0" w:color="6F6652"/>
            </w:tcBorders>
            <w:shd w:val="clear" w:color="auto" w:fill="C2DADB" w:themeFill="accent6" w:themeFillTint="99"/>
            <w:tcMar>
              <w:left w:w="57" w:type="dxa"/>
              <w:right w:w="57" w:type="dxa"/>
            </w:tcMar>
            <w:vAlign w:val="bottom"/>
          </w:tcPr>
          <w:p w14:paraId="754FA571" w14:textId="77777777" w:rsidR="00ED0E85" w:rsidRPr="007B6E9A" w:rsidRDefault="00ED0E85" w:rsidP="00ED0E85">
            <w:pPr>
              <w:pStyle w:val="TableDataEntries"/>
              <w:rPr>
                <w:rFonts w:ascii="Franklin Gothic Demi" w:hAnsi="Franklin Gothic Demi"/>
                <w:lang w:val="en-GB"/>
              </w:rPr>
            </w:pPr>
            <w:r w:rsidRPr="009253DC">
              <w:rPr>
                <w:rFonts w:ascii="Franklin Gothic Demi" w:hAnsi="Franklin Gothic Demi"/>
              </w:rPr>
              <w:t xml:space="preserve"> 217.20</w:t>
            </w:r>
          </w:p>
        </w:tc>
      </w:tr>
    </w:tbl>
    <w:p w14:paraId="6A70A7DB" w14:textId="77777777" w:rsidR="00ED0E85" w:rsidRDefault="00ED0E85" w:rsidP="00ED0E85">
      <w:pPr>
        <w:pStyle w:val="Note"/>
      </w:pPr>
      <w:r w:rsidRPr="007D1B4F">
        <w:rPr>
          <w:i/>
        </w:rPr>
        <w:t>Note:</w:t>
      </w:r>
      <w:r w:rsidRPr="00E879B8">
        <w:t xml:space="preserve"> </w:t>
      </w:r>
      <w:r>
        <w:t>Costs and benefits are presented in present value terms over the period from where the CBD Program commenced in 2010/11 to 2029</w:t>
      </w:r>
      <w:r>
        <w:noBreakHyphen/>
        <w:t>30. As the energy efficiency upgrades made over this period will continue to deliver benefits into the future, energy saving benefits have been extended for an additional ten years.</w:t>
      </w:r>
    </w:p>
    <w:p w14:paraId="7EE47A6F" w14:textId="77777777" w:rsidR="00ED0E85" w:rsidRDefault="00ED0E85" w:rsidP="00ED0E85">
      <w:pPr>
        <w:pStyle w:val="Source"/>
      </w:pPr>
      <w:r>
        <w:rPr>
          <w:i/>
        </w:rPr>
        <w:t>Source</w:t>
      </w:r>
      <w:r w:rsidRPr="00E4232C">
        <w:rPr>
          <w:i/>
        </w:rPr>
        <w:t>:</w:t>
      </w:r>
      <w:r>
        <w:t xml:space="preserve"> CIE estimates.</w:t>
      </w:r>
    </w:p>
    <w:p w14:paraId="1E39FA86" w14:textId="77777777" w:rsidR="00ED0E85" w:rsidRDefault="00ED0E85" w:rsidP="00ED0E85">
      <w:pPr>
        <w:pStyle w:val="Heading6"/>
        <w:numPr>
          <w:ilvl w:val="5"/>
          <w:numId w:val="5"/>
        </w:numPr>
      </w:pPr>
      <w:bookmarkStart w:id="6761" w:name="_Toc19275554"/>
      <w:bookmarkStart w:id="6762" w:name="_Toc19276164"/>
      <w:bookmarkStart w:id="6763" w:name="_Toc19280163"/>
      <w:r>
        <w:t>Valuing the benefits of saving energy</w:t>
      </w:r>
      <w:bookmarkEnd w:id="6626"/>
      <w:bookmarkEnd w:id="6627"/>
      <w:bookmarkEnd w:id="6628"/>
      <w:bookmarkEnd w:id="6629"/>
      <w:bookmarkEnd w:id="6630"/>
      <w:bookmarkEnd w:id="6631"/>
      <w:bookmarkEnd w:id="6761"/>
      <w:bookmarkEnd w:id="6762"/>
      <w:bookmarkEnd w:id="6763"/>
    </w:p>
    <w:p w14:paraId="314CA672" w14:textId="77777777" w:rsidR="00ED0E85" w:rsidRDefault="00ED0E85" w:rsidP="00ED0E85">
      <w:pPr>
        <w:pStyle w:val="BodyText"/>
      </w:pPr>
      <w:r>
        <w:t>Energy saved is typically valued in terms of:</w:t>
      </w:r>
    </w:p>
    <w:p w14:paraId="649A2CFE" w14:textId="77777777" w:rsidR="00ED0E85" w:rsidRDefault="00ED0E85" w:rsidP="001F5383">
      <w:pPr>
        <w:pStyle w:val="ListBullet"/>
        <w:numPr>
          <w:ilvl w:val="0"/>
          <w:numId w:val="17"/>
        </w:numPr>
      </w:pPr>
      <w:r>
        <w:t>the resource cost savings, and</w:t>
      </w:r>
    </w:p>
    <w:p w14:paraId="09BCF45A" w14:textId="77777777" w:rsidR="00ED0E85" w:rsidRDefault="00ED0E85" w:rsidP="001F5383">
      <w:pPr>
        <w:pStyle w:val="ListBullet"/>
        <w:numPr>
          <w:ilvl w:val="0"/>
          <w:numId w:val="17"/>
        </w:numPr>
      </w:pPr>
      <w:r>
        <w:t>the environmental benefits.</w:t>
      </w:r>
    </w:p>
    <w:p w14:paraId="30F6DFA3" w14:textId="77777777" w:rsidR="00ED0E85" w:rsidRDefault="00ED0E85" w:rsidP="00ED0E85">
      <w:pPr>
        <w:pStyle w:val="Heading7"/>
        <w:numPr>
          <w:ilvl w:val="6"/>
          <w:numId w:val="5"/>
        </w:numPr>
      </w:pPr>
      <w:bookmarkStart w:id="6764" w:name="_Toc499847032"/>
      <w:bookmarkStart w:id="6765" w:name="_Toc505120628"/>
      <w:bookmarkStart w:id="6766" w:name="_Toc507523780"/>
      <w:bookmarkStart w:id="6767" w:name="_Toc509220829"/>
      <w:bookmarkStart w:id="6768" w:name="_Toc530476946"/>
      <w:r>
        <w:t>Resource cost savings</w:t>
      </w:r>
      <w:bookmarkEnd w:id="6764"/>
      <w:bookmarkEnd w:id="6765"/>
      <w:bookmarkEnd w:id="6766"/>
      <w:bookmarkEnd w:id="6767"/>
      <w:bookmarkEnd w:id="6768"/>
    </w:p>
    <w:p w14:paraId="09EE39DF" w14:textId="77777777" w:rsidR="00ED0E85" w:rsidRDefault="00ED0E85" w:rsidP="00ED0E85">
      <w:pPr>
        <w:pStyle w:val="BodyText"/>
      </w:pPr>
      <w:r>
        <w:t>According to Lazar and Colborn (2013)</w:t>
      </w:r>
      <w:r>
        <w:rPr>
          <w:rStyle w:val="FootnoteReference"/>
        </w:rPr>
        <w:footnoteReference w:id="97"/>
      </w:r>
      <w:r>
        <w:t>, there are two broad approaches to valuing the benefits of reduced energy consumption.</w:t>
      </w:r>
    </w:p>
    <w:p w14:paraId="132EE8B2" w14:textId="77777777" w:rsidR="00ED0E85" w:rsidRDefault="00ED0E85" w:rsidP="001F5383">
      <w:pPr>
        <w:pStyle w:val="ListBullet"/>
        <w:numPr>
          <w:ilvl w:val="0"/>
          <w:numId w:val="17"/>
        </w:numPr>
      </w:pPr>
      <w:r>
        <w:t>Capacity and energy approach — under this approach, the costs of building and operating power plants are separated into capacity component (this includes the capital costs of meeting peak demand) and an energy component representing the remaining costs of power supply.</w:t>
      </w:r>
    </w:p>
    <w:p w14:paraId="09A1AF7D" w14:textId="77777777" w:rsidR="00ED0E85" w:rsidRDefault="00ED0E85" w:rsidP="001F5383">
      <w:pPr>
        <w:pStyle w:val="ListBullet"/>
        <w:numPr>
          <w:ilvl w:val="0"/>
          <w:numId w:val="17"/>
        </w:numPr>
      </w:pPr>
      <w:r>
        <w:t>Market pricing approach — under this approach, the energy saved through improved energy efficiency is valued based on the market price (i.e. bill savings). Lazar and Colborn (2013) argue that in many cases, the market price internalises many of the generation, transmission and distribution costs and therefore may be a more precise measure of costs (depending on what costs are internalised in the market price).</w:t>
      </w:r>
    </w:p>
    <w:p w14:paraId="1AD5F214" w14:textId="77777777" w:rsidR="00ED0E85" w:rsidRDefault="00ED0E85" w:rsidP="00ED0E85">
      <w:pPr>
        <w:pStyle w:val="BodyText"/>
      </w:pPr>
      <w:r>
        <w:t>Both approaches have been used in energy efficiency studies in the Australian context.</w:t>
      </w:r>
    </w:p>
    <w:p w14:paraId="1CB4AE6D" w14:textId="77777777" w:rsidR="00ED0E85" w:rsidRDefault="00ED0E85" w:rsidP="00ED0E85">
      <w:pPr>
        <w:pStyle w:val="Heading8"/>
        <w:numPr>
          <w:ilvl w:val="7"/>
          <w:numId w:val="5"/>
        </w:numPr>
      </w:pPr>
      <w:r>
        <w:t>The capacity and energy approach</w:t>
      </w:r>
    </w:p>
    <w:p w14:paraId="5A94582C" w14:textId="77777777" w:rsidR="00ED0E85" w:rsidRDefault="00ED0E85" w:rsidP="00ED0E85">
      <w:pPr>
        <w:pStyle w:val="BodyText"/>
      </w:pPr>
      <w:r>
        <w:t>In a CBA of NSW Government energy efficiency schemes, Jacobs (2014) used the capacity and energy approach, with the benefits including:</w:t>
      </w:r>
    </w:p>
    <w:p w14:paraId="08078241" w14:textId="77777777" w:rsidR="00ED0E85" w:rsidRDefault="00ED0E85" w:rsidP="001F5383">
      <w:pPr>
        <w:pStyle w:val="ListBullet"/>
        <w:numPr>
          <w:ilvl w:val="0"/>
          <w:numId w:val="17"/>
        </w:numPr>
      </w:pPr>
      <w:r>
        <w:t>Wholesale market benefits, including:</w:t>
      </w:r>
    </w:p>
    <w:p w14:paraId="231CAB2B" w14:textId="77777777" w:rsidR="00ED0E85" w:rsidRDefault="00ED0E85" w:rsidP="001F5383">
      <w:pPr>
        <w:pStyle w:val="ListBullet2"/>
        <w:numPr>
          <w:ilvl w:val="1"/>
          <w:numId w:val="17"/>
        </w:numPr>
      </w:pPr>
      <w:r>
        <w:t>electricity market benefits, such as avoided fuel costs, avoided variable operating and maintenance costs and deferred infrastructure; and</w:t>
      </w:r>
    </w:p>
    <w:p w14:paraId="1DDF42E7" w14:textId="77777777" w:rsidR="00ED0E85" w:rsidRDefault="00ED0E85" w:rsidP="001F5383">
      <w:pPr>
        <w:pStyle w:val="ListBullet2"/>
        <w:numPr>
          <w:ilvl w:val="1"/>
          <w:numId w:val="17"/>
        </w:numPr>
      </w:pPr>
      <w:r>
        <w:t>gas market benefits including deferred gas production and delivery infrastructure.</w:t>
      </w:r>
    </w:p>
    <w:p w14:paraId="191646D3" w14:textId="77777777" w:rsidR="00ED0E85" w:rsidRDefault="00ED0E85" w:rsidP="001F5383">
      <w:pPr>
        <w:pStyle w:val="ListBullet"/>
        <w:numPr>
          <w:ilvl w:val="0"/>
          <w:numId w:val="17"/>
        </w:numPr>
      </w:pPr>
      <w:r>
        <w:t>Network benefits, including transmission and distribution infrastructure deferrals. These are estimated by:</w:t>
      </w:r>
    </w:p>
    <w:p w14:paraId="06A7DB42" w14:textId="77777777" w:rsidR="00ED0E85" w:rsidRDefault="00ED0E85" w:rsidP="001F5383">
      <w:pPr>
        <w:pStyle w:val="ListBullet2"/>
        <w:numPr>
          <w:ilvl w:val="1"/>
          <w:numId w:val="17"/>
        </w:numPr>
      </w:pPr>
      <w:r>
        <w:t>estimating peak reduction by network service area by converting the energy savings to peak reduction using estimates of the conservation load factor (CLF);</w:t>
      </w:r>
    </w:p>
    <w:p w14:paraId="709314D7" w14:textId="77777777" w:rsidR="00ED0E85" w:rsidRDefault="00ED0E85" w:rsidP="001F5383">
      <w:pPr>
        <w:pStyle w:val="ListBullet2"/>
        <w:numPr>
          <w:ilvl w:val="1"/>
          <w:numId w:val="17"/>
        </w:numPr>
      </w:pPr>
      <w:r>
        <w:t>converting peak demand reductions to an estimate of network capacity deferral, by calculating the year on year incremental growth; and</w:t>
      </w:r>
    </w:p>
    <w:p w14:paraId="55938034" w14:textId="77777777" w:rsidR="00ED0E85" w:rsidRDefault="00ED0E85" w:rsidP="001F5383">
      <w:pPr>
        <w:pStyle w:val="ListBullet2"/>
        <w:numPr>
          <w:ilvl w:val="1"/>
          <w:numId w:val="17"/>
        </w:numPr>
      </w:pPr>
      <w:r>
        <w:t>applying a distribution and transmission deferral benefit factor to the estimates of network capacity deferral.</w:t>
      </w:r>
      <w:r>
        <w:rPr>
          <w:rStyle w:val="FootnoteReference"/>
        </w:rPr>
        <w:footnoteReference w:id="98"/>
      </w:r>
    </w:p>
    <w:p w14:paraId="16AA2DB9" w14:textId="77777777" w:rsidR="00ED0E85" w:rsidRDefault="00ED0E85" w:rsidP="00ED0E85">
      <w:pPr>
        <w:pStyle w:val="BodyText"/>
      </w:pPr>
      <w:r>
        <w:t>Similarly, a recent report by Houston</w:t>
      </w:r>
      <w:r>
        <w:noBreakHyphen/>
        <w:t>Kemp for the Department of the Environment and Energy (DEE) setting out a CBA methodology in relation to residential energy efficiency, also advocates valuing energy savings based on avoided wholesale and network</w:t>
      </w:r>
      <w:r>
        <w:noBreakHyphen/>
        <w:t>related costs, although proposes a different approach to valuing these elements. Under the approach proposed by Houston</w:t>
      </w:r>
      <w:r>
        <w:noBreakHyphen/>
        <w:t>Kemp:</w:t>
      </w:r>
    </w:p>
    <w:p w14:paraId="19A8DC17" w14:textId="77777777" w:rsidR="00ED0E85" w:rsidRDefault="00ED0E85" w:rsidP="001F5383">
      <w:pPr>
        <w:pStyle w:val="ListBullet"/>
        <w:numPr>
          <w:ilvl w:val="0"/>
          <w:numId w:val="17"/>
        </w:numPr>
      </w:pPr>
      <w:r>
        <w:t>wholesale costs are valued at wholesale market prices; and</w:t>
      </w:r>
    </w:p>
    <w:p w14:paraId="7E101593" w14:textId="45C6E0F7" w:rsidR="00ED0E85" w:rsidRDefault="00ED0E85" w:rsidP="001F5383">
      <w:pPr>
        <w:pStyle w:val="ListBullet"/>
        <w:numPr>
          <w:ilvl w:val="0"/>
          <w:numId w:val="17"/>
        </w:numPr>
      </w:pPr>
      <w:r>
        <w:t>network</w:t>
      </w:r>
      <w:r>
        <w:noBreakHyphen/>
        <w:t>related costs are valued using the long</w:t>
      </w:r>
      <w:r>
        <w:noBreakHyphen/>
        <w:t>run marginal cost (LRMC — see box </w:t>
      </w:r>
      <w:r>
        <w:rPr>
          <w:noProof/>
        </w:rPr>
        <w:fldChar w:fldCharType="begin"/>
      </w:r>
      <w:r>
        <w:rPr>
          <w:noProof/>
        </w:rPr>
        <w:instrText xml:space="preserve"> REF _Caption9986 </w:instrText>
      </w:r>
      <w:r>
        <w:rPr>
          <w:noProof/>
        </w:rPr>
        <w:fldChar w:fldCharType="separate"/>
      </w:r>
      <w:r w:rsidR="00AD3561">
        <w:rPr>
          <w:noProof/>
        </w:rPr>
        <w:t>B</w:t>
      </w:r>
      <w:r w:rsidR="00AD3561" w:rsidRPr="00E05C8C">
        <w:rPr>
          <w:noProof/>
        </w:rPr>
        <w:t>.</w:t>
      </w:r>
      <w:r w:rsidR="00AD3561">
        <w:rPr>
          <w:noProof/>
        </w:rPr>
        <w:t>1</w:t>
      </w:r>
      <w:r>
        <w:rPr>
          <w:noProof/>
        </w:rPr>
        <w:fldChar w:fldCharType="end"/>
      </w:r>
      <w:r>
        <w:t xml:space="preserve"> for further details).</w:t>
      </w:r>
      <w:r>
        <w:rPr>
          <w:rStyle w:val="FootnoteReference"/>
        </w:rPr>
        <w:footnoteReference w:id="99"/>
      </w:r>
    </w:p>
    <w:p w14:paraId="4A18A396" w14:textId="77777777" w:rsidR="00ED0E85" w:rsidRDefault="00ED0E85" w:rsidP="00ED0E85">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Pr>
      <w:tblGrid>
        <w:gridCol w:w="7938"/>
      </w:tblGrid>
      <w:tr w:rsidR="00ED0E85" w:rsidRPr="00E05C8C" w14:paraId="2DE2A6E6" w14:textId="77777777" w:rsidTr="00ED0E85">
        <w:trPr>
          <w:cantSplit/>
        </w:trPr>
        <w:tc>
          <w:tcPr>
            <w:tcW w:w="7938" w:type="dxa"/>
            <w:tcBorders>
              <w:top w:val="nil"/>
              <w:left w:val="nil"/>
              <w:bottom w:val="nil"/>
              <w:right w:val="nil"/>
            </w:tcBorders>
            <w:shd w:val="clear" w:color="auto" w:fill="C6BFAB" w:themeFill="accent3"/>
          </w:tcPr>
          <w:p w14:paraId="2E487CA6" w14:textId="64C27E2A" w:rsidR="00ED0E85" w:rsidRPr="00E05C8C" w:rsidRDefault="00ED0E85" w:rsidP="001F5383">
            <w:pPr>
              <w:pStyle w:val="Caption"/>
              <w:numPr>
                <w:ilvl w:val="0"/>
                <w:numId w:val="13"/>
              </w:numPr>
              <w:spacing w:before="120" w:after="100"/>
            </w:pPr>
            <w:r w:rsidRPr="00E05C8C">
              <w:fldChar w:fldCharType="begin"/>
            </w:r>
            <w:r w:rsidRPr="00E05C8C">
              <w:instrText xml:space="preserve"> IF 1 = 1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B</w:instrText>
            </w:r>
            <w:r>
              <w:rPr>
                <w:noProof/>
              </w:rPr>
              <w:fldChar w:fldCharType="end"/>
            </w:r>
            <w:r w:rsidRPr="00E05C8C">
              <w:instrText xml:space="preserve"> = 0 "</w:instrText>
            </w:r>
            <w:r w:rsidRPr="00E05C8C">
              <w:fldChar w:fldCharType="begin"/>
            </w:r>
            <w:r w:rsidRPr="00E05C8C">
              <w:instrText xml:space="preserve"> IF </w:instrText>
            </w:r>
            <w:r w:rsidRPr="00E05C8C">
              <w:fldChar w:fldCharType="begin"/>
            </w:r>
            <w:r w:rsidRPr="00E05C8C">
              <w:instrText xml:space="preserve"> STYLEREF "Heading 1" \l \n </w:instrText>
            </w:r>
            <w:r w:rsidRPr="00E05C8C">
              <w:fldChar w:fldCharType="separate"/>
            </w:r>
            <w:r>
              <w:rPr>
                <w:b/>
                <w:bCs/>
                <w:noProof/>
                <w:lang w:val="en-US"/>
              </w:rPr>
              <w:instrText>Error! No text of specified style in document.</w:instrText>
            </w:r>
            <w:r w:rsidRPr="00E05C8C">
              <w:fldChar w:fldCharType="end"/>
            </w:r>
            <w:r w:rsidRPr="00E05C8C">
              <w:instrText xml:space="preserve"> = 0 "" "</w:instrText>
            </w:r>
            <w:r w:rsidRPr="00E05C8C">
              <w:fldChar w:fldCharType="begin"/>
            </w:r>
            <w:r w:rsidRPr="00E05C8C">
              <w:instrText xml:space="preserve"> STYLEREF "Heading 1" \l \n </w:instrText>
            </w:r>
            <w:r w:rsidRPr="00E05C8C">
              <w:fldChar w:fldCharType="separate"/>
            </w:r>
            <w:r>
              <w:rPr>
                <w:b/>
                <w:bCs/>
                <w:noProof/>
                <w:lang w:val="en-US"/>
              </w:rPr>
              <w:instrText>Error! No text of specified style in document.</w:instrText>
            </w:r>
            <w:r w:rsidRPr="00E05C8C">
              <w:fldChar w:fldCharType="end"/>
            </w:r>
            <w:r w:rsidRPr="00E05C8C">
              <w:instrText xml:space="preserve">." </w:instrText>
            </w:r>
            <w:r w:rsidRPr="00E05C8C">
              <w:fldChar w:fldCharType="separate"/>
            </w:r>
            <w:r>
              <w:rPr>
                <w:b/>
                <w:bCs/>
                <w:noProof/>
                <w:lang w:val="en-US"/>
              </w:rPr>
              <w:instrText>Error! No text of specified style in document.</w:instrText>
            </w:r>
            <w:r w:rsidRPr="00E05C8C">
              <w:rPr>
                <w:noProof/>
              </w:rPr>
              <w:instrText>.</w:instrText>
            </w:r>
            <w:r w:rsidRPr="00E05C8C">
              <w:fldChar w:fldCharType="end"/>
            </w:r>
            <w:r w:rsidRPr="00E05C8C">
              <w:instrText>" "</w:instrText>
            </w:r>
            <w:r>
              <w:rPr>
                <w:noProof/>
              </w:rPr>
              <w:fldChar w:fldCharType="begin"/>
            </w:r>
            <w:r>
              <w:rPr>
                <w:noProof/>
              </w:rPr>
              <w:instrText xml:space="preserve"> STYLEREF "Heading 6" \l \n </w:instrText>
            </w:r>
            <w:r>
              <w:rPr>
                <w:noProof/>
              </w:rPr>
              <w:fldChar w:fldCharType="separate"/>
            </w:r>
            <w:r w:rsidR="00AD3561">
              <w:rPr>
                <w:noProof/>
              </w:rPr>
              <w:instrText>B</w:instrText>
            </w:r>
            <w:r>
              <w:rPr>
                <w:noProof/>
              </w:rPr>
              <w:fldChar w:fldCharType="end"/>
            </w:r>
            <w:r w:rsidRPr="00E05C8C">
              <w:instrText xml:space="preserve">." </w:instrText>
            </w:r>
            <w:r w:rsidRPr="00E05C8C">
              <w:fldChar w:fldCharType="separate"/>
            </w:r>
            <w:r w:rsidR="00AD3561">
              <w:rPr>
                <w:noProof/>
              </w:rPr>
              <w:instrText>B</w:instrText>
            </w:r>
            <w:r w:rsidR="00AD3561"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B</w:instrText>
            </w:r>
            <w:r>
              <w:rPr>
                <w:noProof/>
              </w:rPr>
              <w:fldChar w:fldCharType="end"/>
            </w:r>
            <w:r w:rsidRPr="00E05C8C">
              <w:instrText xml:space="preserve"> = 0 "</w:instrText>
            </w:r>
            <w:r w:rsidRPr="00E05C8C">
              <w:fldChar w:fldCharType="begin"/>
            </w:r>
            <w:r w:rsidRPr="00E05C8C">
              <w:instrText xml:space="preserve"> IF </w:instrText>
            </w:r>
            <w:r w:rsidRPr="00E05C8C">
              <w:fldChar w:fldCharType="begin"/>
            </w:r>
            <w:r w:rsidRPr="00E05C8C">
              <w:instrText xml:space="preserve"> STYLEREF "Heading 1" \l \n </w:instrText>
            </w:r>
            <w:r w:rsidRPr="00E05C8C">
              <w:fldChar w:fldCharType="separate"/>
            </w:r>
            <w:r>
              <w:rPr>
                <w:b/>
                <w:bCs/>
                <w:noProof/>
                <w:lang w:val="en-US"/>
              </w:rPr>
              <w:instrText>Error! No text of specified style in document.</w:instrText>
            </w:r>
            <w:r w:rsidRPr="00E05C8C">
              <w:fldChar w:fldCharType="end"/>
            </w:r>
            <w:r w:rsidRPr="00E05C8C">
              <w:instrText xml:space="preserve"> = 0 "" "1" </w:instrText>
            </w:r>
            <w:r w:rsidRPr="00E05C8C">
              <w:fldChar w:fldCharType="separate"/>
            </w:r>
            <w:r w:rsidRPr="00E05C8C">
              <w:rPr>
                <w:noProof/>
              </w:rPr>
              <w:instrText>1</w:instrText>
            </w:r>
            <w:r w:rsidRPr="00E05C8C">
              <w:fldChar w:fldCharType="end"/>
            </w:r>
            <w:r w:rsidRPr="00E05C8C">
              <w:instrText xml:space="preserve">" "6" </w:instrText>
            </w:r>
            <w:r w:rsidRPr="00E05C8C">
              <w:fldChar w:fldCharType="separate"/>
            </w:r>
            <w:r w:rsidR="00AD3561" w:rsidRPr="00E05C8C">
              <w:rPr>
                <w:noProof/>
              </w:rPr>
              <w:instrText>6</w:instrText>
            </w:r>
            <w:r w:rsidRPr="00E05C8C">
              <w:fldChar w:fldCharType="end"/>
            </w:r>
            <w:r w:rsidRPr="00E05C8C">
              <w:instrText xml:space="preserve"> </w:instrText>
            </w:r>
            <w:r w:rsidRPr="00E05C8C">
              <w:fldChar w:fldCharType="separate"/>
            </w:r>
            <w:r w:rsidR="00AD3561">
              <w:rPr>
                <w:noProof/>
              </w:rPr>
              <w:instrText>1</w:instrText>
            </w:r>
            <w:r w:rsidRPr="00E05C8C">
              <w:fldChar w:fldCharType="end"/>
            </w:r>
            <w:r w:rsidRPr="00E05C8C">
              <w:instrText xml:space="preserve">" "" </w:instrText>
            </w:r>
            <w:r w:rsidRPr="00E05C8C">
              <w:fldChar w:fldCharType="separate"/>
            </w:r>
            <w:bookmarkStart w:id="6770" w:name="_Caption3351"/>
            <w:bookmarkStart w:id="6771" w:name="_Caption5007"/>
            <w:bookmarkStart w:id="6772" w:name="_Caption5056"/>
            <w:bookmarkStart w:id="6773" w:name="_Caption7251"/>
            <w:bookmarkStart w:id="6774" w:name="_Caption0167"/>
            <w:bookmarkStart w:id="6775" w:name="_Caption6373"/>
            <w:bookmarkStart w:id="6776" w:name="_Caption0446"/>
            <w:bookmarkStart w:id="6777" w:name="_Caption4730"/>
            <w:bookmarkStart w:id="6778" w:name="_Caption9591"/>
            <w:bookmarkStart w:id="6779" w:name="_Caption8463"/>
            <w:bookmarkStart w:id="6780" w:name="_Caption0749"/>
            <w:bookmarkStart w:id="6781" w:name="_Caption1805"/>
            <w:bookmarkStart w:id="6782" w:name="_Caption9744"/>
            <w:bookmarkStart w:id="6783" w:name="_Caption6348"/>
            <w:bookmarkStart w:id="6784" w:name="_Caption1198"/>
            <w:bookmarkStart w:id="6785" w:name="_Caption5131"/>
            <w:bookmarkStart w:id="6786" w:name="_Caption4045"/>
            <w:bookmarkStart w:id="6787" w:name="_Caption1011"/>
            <w:bookmarkStart w:id="6788" w:name="_Caption8595"/>
            <w:bookmarkStart w:id="6789" w:name="_Caption8815"/>
            <w:bookmarkStart w:id="6790" w:name="_Caption2243"/>
            <w:bookmarkStart w:id="6791" w:name="_Caption8500"/>
            <w:bookmarkStart w:id="6792" w:name="_Caption3682"/>
            <w:bookmarkStart w:id="6793" w:name="_Caption7140"/>
            <w:bookmarkStart w:id="6794" w:name="_Caption3199"/>
            <w:bookmarkStart w:id="6795" w:name="_Caption8030"/>
            <w:bookmarkStart w:id="6796" w:name="_Caption1803"/>
            <w:bookmarkStart w:id="6797" w:name="_Caption3354"/>
            <w:bookmarkStart w:id="6798" w:name="_Caption5172"/>
            <w:bookmarkStart w:id="6799" w:name="_Caption5722"/>
            <w:bookmarkStart w:id="6800" w:name="_Caption9708"/>
            <w:bookmarkStart w:id="6801" w:name="_Caption5481"/>
            <w:bookmarkStart w:id="6802" w:name="_Caption7108"/>
            <w:bookmarkStart w:id="6803" w:name="_Caption1897"/>
            <w:bookmarkStart w:id="6804" w:name="_Caption3932"/>
            <w:bookmarkStart w:id="6805" w:name="_Caption9190"/>
            <w:bookmarkStart w:id="6806" w:name="_Caption7749"/>
            <w:bookmarkStart w:id="6807" w:name="_Caption1525"/>
            <w:bookmarkStart w:id="6808" w:name="_Caption8024"/>
            <w:bookmarkStart w:id="6809" w:name="_Caption2005"/>
            <w:bookmarkStart w:id="6810" w:name="_Caption6322"/>
            <w:bookmarkStart w:id="6811" w:name="_Caption0401"/>
            <w:bookmarkStart w:id="6812" w:name="_Caption5862"/>
            <w:bookmarkStart w:id="6813" w:name="_Caption3407"/>
            <w:bookmarkStart w:id="6814" w:name="_Caption0429"/>
            <w:bookmarkStart w:id="6815" w:name="_Caption7170"/>
            <w:bookmarkStart w:id="6816" w:name="_Caption5580"/>
            <w:bookmarkStart w:id="6817" w:name="_Caption7700"/>
            <w:bookmarkStart w:id="6818" w:name="_Caption4437"/>
            <w:bookmarkStart w:id="6819" w:name="_Caption8364"/>
            <w:bookmarkStart w:id="6820" w:name="_Caption5553"/>
            <w:bookmarkStart w:id="6821" w:name="_Caption6596"/>
            <w:bookmarkStart w:id="6822" w:name="_Caption2775"/>
            <w:bookmarkStart w:id="6823" w:name="_Caption9619"/>
            <w:bookmarkStart w:id="6824" w:name="_Caption6883"/>
            <w:bookmarkStart w:id="6825" w:name="_Caption8213"/>
            <w:bookmarkStart w:id="6826" w:name="_Caption4676"/>
            <w:bookmarkStart w:id="6827" w:name="_Caption2330"/>
            <w:bookmarkStart w:id="6828" w:name="_Caption5970"/>
            <w:bookmarkStart w:id="6829" w:name="_Caption4943"/>
            <w:bookmarkStart w:id="6830" w:name="_Caption3997"/>
            <w:bookmarkStart w:id="6831" w:name="_Caption4423"/>
            <w:bookmarkStart w:id="6832" w:name="_Caption1707"/>
            <w:bookmarkStart w:id="6833" w:name="_Caption2763"/>
            <w:bookmarkStart w:id="6834" w:name="_Caption1829"/>
            <w:bookmarkStart w:id="6835" w:name="_Caption4700"/>
            <w:bookmarkStart w:id="6836" w:name="_Caption9646"/>
            <w:bookmarkStart w:id="6837" w:name="_Caption9718"/>
            <w:bookmarkStart w:id="6838" w:name="_Caption3079"/>
            <w:bookmarkStart w:id="6839" w:name="_Caption3582"/>
            <w:bookmarkStart w:id="6840" w:name="_Caption9076"/>
            <w:bookmarkStart w:id="6841" w:name="_Caption1020"/>
            <w:bookmarkStart w:id="6842" w:name="_Caption4267"/>
            <w:bookmarkStart w:id="6843" w:name="_Caption2930"/>
            <w:bookmarkStart w:id="6844" w:name="_Caption8239"/>
            <w:bookmarkStart w:id="6845" w:name="_Caption9147"/>
            <w:bookmarkStart w:id="6846" w:name="_Caption0563"/>
            <w:bookmarkStart w:id="6847" w:name="_Caption2509"/>
            <w:bookmarkStart w:id="6848" w:name="_Caption4224"/>
            <w:bookmarkStart w:id="6849" w:name="_Caption0559"/>
            <w:bookmarkStart w:id="6850" w:name="_Caption0165"/>
            <w:bookmarkStart w:id="6851" w:name="_Caption1049"/>
            <w:bookmarkStart w:id="6852" w:name="_Caption2246"/>
            <w:bookmarkStart w:id="6853" w:name="_Caption5266"/>
            <w:bookmarkStart w:id="6854" w:name="_Caption1873"/>
            <w:bookmarkStart w:id="6855" w:name="_Caption9986"/>
            <w:bookmarkStart w:id="6856" w:name="_Caption3394"/>
            <w:bookmarkStart w:id="6857" w:name="_Caption2589"/>
            <w:bookmarkStart w:id="6858" w:name="_Caption3119"/>
            <w:bookmarkStart w:id="6859" w:name="_Caption7899"/>
            <w:bookmarkStart w:id="6860" w:name="_Caption9609"/>
            <w:bookmarkStart w:id="6861" w:name="_Caption3528"/>
            <w:bookmarkStart w:id="6862" w:name="_Caption8775"/>
            <w:bookmarkStart w:id="6863" w:name="_Caption6788"/>
            <w:bookmarkStart w:id="6864" w:name="_Caption3318"/>
            <w:bookmarkStart w:id="6865" w:name="_Caption1457"/>
            <w:bookmarkStart w:id="6866" w:name="_Caption7687"/>
            <w:bookmarkStart w:id="6867" w:name="_Caption3238"/>
            <w:bookmarkStart w:id="6868" w:name="_Caption0676"/>
            <w:bookmarkStart w:id="6869" w:name="_Caption9255"/>
            <w:bookmarkStart w:id="6870" w:name="_Caption3482"/>
            <w:bookmarkStart w:id="6871" w:name="_Caption8819"/>
            <w:bookmarkStart w:id="6872" w:name="_Caption8115"/>
            <w:bookmarkStart w:id="6873" w:name="_Caption0759"/>
            <w:bookmarkStart w:id="6874" w:name="_Caption9320"/>
            <w:bookmarkStart w:id="6875" w:name="_Caption8648"/>
            <w:bookmarkStart w:id="6876" w:name="_Caption2292"/>
            <w:bookmarkStart w:id="6877" w:name="_Caption5018"/>
            <w:bookmarkStart w:id="6878" w:name="_Caption7693"/>
            <w:bookmarkStart w:id="6879" w:name="_Caption0498"/>
            <w:bookmarkStart w:id="6880" w:name="_Caption6672"/>
            <w:bookmarkStart w:id="6881" w:name="_Caption5735"/>
            <w:bookmarkStart w:id="6882" w:name="_Caption0919"/>
            <w:bookmarkStart w:id="6883" w:name="_Caption9078"/>
            <w:bookmarkStart w:id="6884" w:name="_Caption9539"/>
            <w:bookmarkStart w:id="6885" w:name="_Caption2264"/>
            <w:bookmarkStart w:id="6886" w:name="_Caption2464"/>
            <w:bookmarkStart w:id="6887" w:name="_Caption6662"/>
            <w:bookmarkStart w:id="6888" w:name="_Caption8681"/>
            <w:bookmarkStart w:id="6889" w:name="_Caption1522"/>
            <w:bookmarkStart w:id="6890" w:name="_Caption4140"/>
            <w:bookmarkStart w:id="6891" w:name="_Caption9259"/>
            <w:bookmarkStart w:id="6892" w:name="_Caption3710"/>
            <w:bookmarkStart w:id="6893" w:name="_Caption1009"/>
            <w:bookmarkStart w:id="6894" w:name="_Caption0913"/>
            <w:bookmarkStart w:id="6895" w:name="_Caption7861"/>
            <w:bookmarkStart w:id="6896" w:name="_Caption3637"/>
            <w:bookmarkStart w:id="6897" w:name="_Caption4908"/>
            <w:bookmarkStart w:id="6898" w:name="_Caption2342"/>
            <w:bookmarkStart w:id="6899" w:name="_Caption6022"/>
            <w:bookmarkStart w:id="6900" w:name="_Caption4526"/>
            <w:bookmarkStart w:id="6901" w:name="_Caption7754"/>
            <w:bookmarkStart w:id="6902" w:name="_Caption4658"/>
            <w:bookmarkStart w:id="6903" w:name="_Caption5771"/>
            <w:bookmarkStart w:id="6904" w:name="_Caption4220"/>
            <w:bookmarkStart w:id="6905" w:name="_Caption4744"/>
            <w:bookmarkStart w:id="6906" w:name="_Caption5307"/>
            <w:bookmarkStart w:id="6907" w:name="_Caption0898"/>
            <w:bookmarkStart w:id="6908" w:name="_Caption2546"/>
            <w:bookmarkStart w:id="6909" w:name="_Caption9841"/>
            <w:bookmarkStart w:id="6910" w:name="_Caption5195"/>
            <w:bookmarkStart w:id="6911" w:name="_Caption3384"/>
            <w:bookmarkStart w:id="6912" w:name="_Caption0873"/>
            <w:bookmarkStart w:id="6913" w:name="_Caption1385"/>
            <w:bookmarkStart w:id="6914" w:name="_Caption3180"/>
            <w:bookmarkStart w:id="6915" w:name="_Caption2462"/>
            <w:bookmarkStart w:id="6916" w:name="_Caption9209"/>
            <w:bookmarkStart w:id="6917" w:name="_Caption0651"/>
            <w:bookmarkStart w:id="6918" w:name="_Caption2550"/>
            <w:bookmarkStart w:id="6919" w:name="_Caption4252"/>
            <w:bookmarkStart w:id="6920" w:name="_Caption4025"/>
            <w:bookmarkStart w:id="6921" w:name="_Caption7985"/>
            <w:bookmarkStart w:id="6922" w:name="_Caption5008"/>
            <w:bookmarkStart w:id="6923" w:name="_Caption3597"/>
            <w:bookmarkStart w:id="6924" w:name="_Caption5241"/>
            <w:bookmarkStart w:id="6925" w:name="_Caption8884"/>
            <w:bookmarkStart w:id="6926" w:name="_Caption4890"/>
            <w:bookmarkStart w:id="6927" w:name="_Caption3122"/>
            <w:bookmarkStart w:id="6928" w:name="_Caption6386"/>
            <w:bookmarkStart w:id="6929" w:name="_Caption5073"/>
            <w:bookmarkStart w:id="6930" w:name="_Caption4501"/>
            <w:bookmarkStart w:id="6931" w:name="_Caption2472"/>
            <w:bookmarkStart w:id="6932" w:name="_Caption5817"/>
            <w:bookmarkStart w:id="6933" w:name="_Caption4946"/>
            <w:bookmarkStart w:id="6934" w:name="_Caption5397"/>
            <w:bookmarkStart w:id="6935" w:name="_Caption7624"/>
            <w:bookmarkStart w:id="6936" w:name="_Caption5366"/>
            <w:bookmarkStart w:id="6937" w:name="_Caption8490"/>
            <w:bookmarkStart w:id="6938" w:name="_Caption4498"/>
            <w:bookmarkStart w:id="6939" w:name="_Caption5699"/>
            <w:bookmarkStart w:id="6940" w:name="_Caption3481"/>
            <w:bookmarkStart w:id="6941" w:name="_Caption8203"/>
            <w:bookmarkStart w:id="6942" w:name="_Toc499847084"/>
            <w:bookmarkStart w:id="6943" w:name="_Toc505120697"/>
            <w:bookmarkStart w:id="6944" w:name="_Toc509220902"/>
            <w:bookmarkStart w:id="6945" w:name="_Toc530477062"/>
            <w:bookmarkStart w:id="6946" w:name="_Toc19275659"/>
            <w:bookmarkStart w:id="6947" w:name="_Toc19276269"/>
            <w:bookmarkStart w:id="6948" w:name="_Toc19280268"/>
            <w:r w:rsidR="00C353B5">
              <w:rPr>
                <w:noProof/>
              </w:rPr>
              <w:t>B</w:t>
            </w:r>
            <w:r w:rsidR="00C353B5" w:rsidRPr="00E05C8C">
              <w:rPr>
                <w:noProof/>
              </w:rPr>
              <w:t>.</w:t>
            </w:r>
            <w:r w:rsidR="00C353B5">
              <w:rPr>
                <w:noProof/>
              </w:rPr>
              <w:t>1</w:t>
            </w:r>
            <w:bookmarkStart w:id="6949" w:name="_Toc507523853"/>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r w:rsidRPr="00E05C8C">
              <w:fldChar w:fldCharType="end"/>
            </w:r>
            <w:r w:rsidRPr="00E05C8C">
              <w:tab/>
            </w:r>
            <w:r>
              <w:t>Long-run marginal cost</w:t>
            </w:r>
            <w:bookmarkEnd w:id="6942"/>
            <w:bookmarkEnd w:id="6943"/>
            <w:bookmarkEnd w:id="6944"/>
            <w:bookmarkEnd w:id="6945"/>
            <w:bookmarkEnd w:id="6946"/>
            <w:bookmarkEnd w:id="6947"/>
            <w:bookmarkEnd w:id="6948"/>
            <w:bookmarkEnd w:id="6949"/>
          </w:p>
        </w:tc>
      </w:tr>
      <w:tr w:rsidR="00ED0E85" w14:paraId="05639547" w14:textId="77777777" w:rsidTr="00ED0E85">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9E8E5" w:themeFill="background2"/>
          </w:tcPr>
          <w:p w14:paraId="6B29A10A" w14:textId="77777777" w:rsidR="00ED0E85" w:rsidRDefault="00ED0E85" w:rsidP="00ED0E85">
            <w:pPr>
              <w:pStyle w:val="BodyText"/>
            </w:pPr>
            <w:r>
              <w:t>Marginal cost is a key concept in economic analysis. It is the additional cost of supplying an additional unit of production. Standard economic theory suggests that in a competitive market, prices reflect the marginal cost of the last unit traded.</w:t>
            </w:r>
          </w:p>
          <w:p w14:paraId="3713F485" w14:textId="77777777" w:rsidR="00ED0E85" w:rsidRDefault="00ED0E85" w:rsidP="00ED0E85">
            <w:pPr>
              <w:pStyle w:val="BodyText"/>
            </w:pPr>
            <w:r>
              <w:t>In the context of network services, there is an important distinction between:</w:t>
            </w:r>
          </w:p>
          <w:p w14:paraId="13985DC6" w14:textId="77777777" w:rsidR="00ED0E85" w:rsidRDefault="00ED0E85" w:rsidP="001F5383">
            <w:pPr>
              <w:pStyle w:val="ListBullet"/>
              <w:numPr>
                <w:ilvl w:val="0"/>
                <w:numId w:val="17"/>
              </w:numPr>
            </w:pPr>
            <w:r>
              <w:t>short</w:t>
            </w:r>
            <w:r>
              <w:noBreakHyphen/>
              <w:t>run marginal cost (SRMC) — this is defined as the cost of an incremental change in demand holding physical capacity constant; and</w:t>
            </w:r>
          </w:p>
          <w:p w14:paraId="57522508" w14:textId="77777777" w:rsidR="00ED0E85" w:rsidRPr="00BF2F67" w:rsidRDefault="00ED0E85" w:rsidP="001F5383">
            <w:pPr>
              <w:pStyle w:val="ListBullet"/>
              <w:numPr>
                <w:ilvl w:val="0"/>
                <w:numId w:val="17"/>
              </w:numPr>
            </w:pPr>
            <w:r>
              <w:t>long</w:t>
            </w:r>
            <w:r>
              <w:noBreakHyphen/>
              <w:t>run marginal cost (LRMC) — this is the cost of an incremental change in demand including the cost of expanding network capacity.</w:t>
            </w:r>
            <w:r>
              <w:rPr>
                <w:rStyle w:val="FootnoteReference"/>
              </w:rPr>
              <w:footnoteReference w:id="100"/>
            </w:r>
          </w:p>
        </w:tc>
      </w:tr>
      <w:tr w:rsidR="00ED0E85" w14:paraId="53A72C82" w14:textId="77777777" w:rsidTr="00ED0E85">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tcBorders>
              <w:bottom w:val="single" w:sz="6" w:space="0" w:color="9B917E" w:themeColor="accent4"/>
            </w:tcBorders>
            <w:shd w:val="clear" w:color="auto" w:fill="E9E8E5" w:themeFill="background2"/>
          </w:tcPr>
          <w:p w14:paraId="58627173" w14:textId="77777777" w:rsidR="00ED0E85" w:rsidRDefault="00ED0E85" w:rsidP="00ED0E85"/>
        </w:tc>
      </w:tr>
      <w:tr w:rsidR="00ED0E85" w14:paraId="2ECDFA7F" w14:textId="77777777" w:rsidTr="00ED0E85">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98"/>
        </w:trPr>
        <w:tc>
          <w:tcPr>
            <w:tcW w:w="7938" w:type="dxa"/>
            <w:tcBorders>
              <w:top w:val="single" w:sz="6" w:space="0" w:color="9B917E" w:themeColor="accent4"/>
            </w:tcBorders>
            <w:shd w:val="clear" w:color="6F6652" w:fill="auto"/>
          </w:tcPr>
          <w:p w14:paraId="4F634800" w14:textId="77777777" w:rsidR="00ED0E85" w:rsidRDefault="00ED0E85" w:rsidP="00ED0E85"/>
        </w:tc>
      </w:tr>
    </w:tbl>
    <w:p w14:paraId="2F0FB374" w14:textId="77777777" w:rsidR="00ED0E85" w:rsidRDefault="00ED0E85" w:rsidP="00ED0E85">
      <w:pPr>
        <w:pStyle w:val="Heading8"/>
        <w:numPr>
          <w:ilvl w:val="7"/>
          <w:numId w:val="5"/>
        </w:numPr>
      </w:pPr>
      <w:r>
        <w:t>The retail price approach</w:t>
      </w:r>
    </w:p>
    <w:p w14:paraId="08643067" w14:textId="77777777" w:rsidR="00ED0E85" w:rsidRDefault="00ED0E85" w:rsidP="00ED0E85">
      <w:pPr>
        <w:pStyle w:val="BodyText"/>
      </w:pPr>
      <w:r>
        <w:t>On the other hand, a range of other studies have valued energy savings based on retail prices. There are broadly four components to retail electricity prices:</w:t>
      </w:r>
      <w:r>
        <w:rPr>
          <w:rStyle w:val="FootnoteReference"/>
        </w:rPr>
        <w:footnoteReference w:id="101"/>
      </w:r>
    </w:p>
    <w:p w14:paraId="06A188EF" w14:textId="77777777" w:rsidR="00ED0E85" w:rsidRDefault="00ED0E85" w:rsidP="001F5383">
      <w:pPr>
        <w:pStyle w:val="ListBullet"/>
        <w:numPr>
          <w:ilvl w:val="0"/>
          <w:numId w:val="17"/>
        </w:numPr>
      </w:pPr>
      <w:r>
        <w:t>Wholesale costs — these costs are set in the wholesale market.</w:t>
      </w:r>
    </w:p>
    <w:p w14:paraId="7E0EDE0F" w14:textId="77777777" w:rsidR="00ED0E85" w:rsidRDefault="00ED0E85" w:rsidP="001F5383">
      <w:pPr>
        <w:pStyle w:val="ListBullet"/>
        <w:numPr>
          <w:ilvl w:val="0"/>
          <w:numId w:val="17"/>
        </w:numPr>
      </w:pPr>
      <w:r>
        <w:t>Network costs (including transmission and distribution) — reflecting the natural monopoly characteristics of electricity networks, this element is regulated by the Australian Energy Regulatory (AER).</w:t>
      </w:r>
    </w:p>
    <w:p w14:paraId="1B69F038" w14:textId="77777777" w:rsidR="00ED0E85" w:rsidRDefault="00ED0E85" w:rsidP="001F5383">
      <w:pPr>
        <w:pStyle w:val="ListBullet"/>
        <w:numPr>
          <w:ilvl w:val="0"/>
          <w:numId w:val="17"/>
        </w:numPr>
      </w:pPr>
      <w:r>
        <w:t>Environmental schemes — this includes costs imposed on retailers (and passed onto users) associated with schemes, such as:</w:t>
      </w:r>
    </w:p>
    <w:p w14:paraId="4A31571B" w14:textId="77777777" w:rsidR="00ED0E85" w:rsidRDefault="00ED0E85" w:rsidP="001F5383">
      <w:pPr>
        <w:pStyle w:val="ListBullet2"/>
        <w:numPr>
          <w:ilvl w:val="1"/>
          <w:numId w:val="17"/>
        </w:numPr>
      </w:pPr>
      <w:r>
        <w:t>the Renewable Energy Target;</w:t>
      </w:r>
    </w:p>
    <w:p w14:paraId="61E77A94" w14:textId="77777777" w:rsidR="00ED0E85" w:rsidRDefault="00ED0E85" w:rsidP="001F5383">
      <w:pPr>
        <w:pStyle w:val="ListBullet2"/>
        <w:numPr>
          <w:ilvl w:val="1"/>
          <w:numId w:val="17"/>
        </w:numPr>
      </w:pPr>
      <w:r>
        <w:t>State</w:t>
      </w:r>
      <w:r>
        <w:noBreakHyphen/>
        <w:t>based certificate and efficiency schemes (such as the Victorian Energy Efficiency Target, the NSW Energy Saving Scheme); and</w:t>
      </w:r>
    </w:p>
    <w:p w14:paraId="08565C75" w14:textId="77777777" w:rsidR="00ED0E85" w:rsidRDefault="00ED0E85" w:rsidP="001F5383">
      <w:pPr>
        <w:pStyle w:val="ListBullet2"/>
        <w:numPr>
          <w:ilvl w:val="1"/>
          <w:numId w:val="17"/>
        </w:numPr>
      </w:pPr>
      <w:r>
        <w:t>solar feed</w:t>
      </w:r>
      <w:r>
        <w:noBreakHyphen/>
        <w:t>in tariffs.</w:t>
      </w:r>
    </w:p>
    <w:p w14:paraId="74259C10" w14:textId="77777777" w:rsidR="00ED0E85" w:rsidRDefault="00ED0E85" w:rsidP="001F5383">
      <w:pPr>
        <w:pStyle w:val="ListBullet"/>
        <w:numPr>
          <w:ilvl w:val="0"/>
          <w:numId w:val="17"/>
        </w:numPr>
      </w:pPr>
      <w:r>
        <w:t>Retail costs and margins — together retail costs and margins are referred to as the gross margin. The costs incurred by retailers can sometimes be split into: costs to serve (the costs incurred to provide retail services to an existing customer, such as billing services, losses to bad debts, customer assistance and regulatory compliance costs); and the costs to acquire and retain customers (this includes marketing and advertising). Also included is a net margin for the retailers.</w:t>
      </w:r>
    </w:p>
    <w:p w14:paraId="61E10E6B" w14:textId="77777777" w:rsidR="00ED0E85" w:rsidRDefault="00ED0E85" w:rsidP="00ED0E85">
      <w:pPr>
        <w:pStyle w:val="Heading8"/>
        <w:numPr>
          <w:ilvl w:val="7"/>
          <w:numId w:val="5"/>
        </w:numPr>
      </w:pPr>
      <w:r>
        <w:t>Comparing the various approaches</w:t>
      </w:r>
    </w:p>
    <w:p w14:paraId="11F2FB69" w14:textId="77777777" w:rsidR="00ED0E85" w:rsidRDefault="00ED0E85" w:rsidP="00ED0E85">
      <w:pPr>
        <w:pStyle w:val="BodyText"/>
      </w:pPr>
      <w:r>
        <w:t>An obvious difference between the two approaches is that the approach based on retail pricing includes some additional costs, including the cost of environmental schemes and retail costs and margins.</w:t>
      </w:r>
    </w:p>
    <w:p w14:paraId="31A3AB22" w14:textId="77777777" w:rsidR="00ED0E85" w:rsidRDefault="00ED0E85" w:rsidP="001F5383">
      <w:pPr>
        <w:pStyle w:val="ListBullet"/>
        <w:numPr>
          <w:ilvl w:val="0"/>
          <w:numId w:val="17"/>
        </w:numPr>
      </w:pPr>
      <w:r>
        <w:t>Where there is a reduction in demand, retailers will generally incur lower costs to comply with the various environmental schemes. These costs should therefore be included.</w:t>
      </w:r>
    </w:p>
    <w:p w14:paraId="6EE915D5" w14:textId="77777777" w:rsidR="00ED0E85" w:rsidRDefault="00ED0E85" w:rsidP="001F5383">
      <w:pPr>
        <w:pStyle w:val="ListBullet"/>
        <w:numPr>
          <w:ilvl w:val="0"/>
          <w:numId w:val="17"/>
        </w:numPr>
      </w:pPr>
      <w:r>
        <w:t>On the other hand, most retail costs and the net margin may not change much due to lower demand. This suggests there is a conceptual case to exclude these costs. That said, the ACCC reports that these costs made up only around 3 per cent of the retail price for commercial and industrial customers in 2015/16.</w:t>
      </w:r>
      <w:r>
        <w:rPr>
          <w:rStyle w:val="FootnoteReference"/>
        </w:rPr>
        <w:footnoteReference w:id="102"/>
      </w:r>
      <w:r>
        <w:t xml:space="preserve"> We note that the Houston</w:t>
      </w:r>
      <w:r>
        <w:noBreakHyphen/>
        <w:t>Kemp report relates to residential buildings, where retail costs and margins make up around 24 per cent of total costs.</w:t>
      </w:r>
    </w:p>
    <w:p w14:paraId="7EF78E73" w14:textId="77777777" w:rsidR="00ED0E85" w:rsidRDefault="00ED0E85" w:rsidP="00ED0E85">
      <w:pPr>
        <w:pStyle w:val="BodyText"/>
      </w:pPr>
      <w:r>
        <w:t>The other significant difference relates to the treatment of avoided network costs. The approach used by Jacobs and others explicitly attempts to measure the reduction in peak loads and the extent to which this defers investment to expand capacity. However, in general, the approach to estimating the unit cost of expanding supply capacity is less robust than LRMC estimates suggested by Houston</w:t>
      </w:r>
      <w:r>
        <w:noBreakHyphen/>
        <w:t>Kemp. In particular, it appears to be based on capital expenditure related to demand growth in a single year.</w:t>
      </w:r>
    </w:p>
    <w:p w14:paraId="7A20DE90" w14:textId="77777777" w:rsidR="00ED0E85" w:rsidRDefault="00ED0E85" w:rsidP="00ED0E85">
      <w:pPr>
        <w:pStyle w:val="BodyText"/>
      </w:pPr>
      <w:r>
        <w:t xml:space="preserve">As discussed above, network charges are regulated by the AER. Under the AER’s pricing principles, each tariff must be based on the long run marginal cost of providing the service to which it relates to the retail customers assigned to that tariff with the method of calculating such cost and the manner in which that method is applied to be determined having regard to: </w:t>
      </w:r>
    </w:p>
    <w:p w14:paraId="5A074634" w14:textId="77777777" w:rsidR="00ED0E85" w:rsidRDefault="00ED0E85" w:rsidP="001F5383">
      <w:pPr>
        <w:pStyle w:val="ListBullet"/>
        <w:numPr>
          <w:ilvl w:val="0"/>
          <w:numId w:val="17"/>
        </w:numPr>
      </w:pPr>
      <w:r>
        <w:t xml:space="preserve">the costs and benefits associated with calculating, implementing and applying that method as proposed; </w:t>
      </w:r>
    </w:p>
    <w:p w14:paraId="641D1786" w14:textId="77777777" w:rsidR="00ED0E85" w:rsidRDefault="00ED0E85" w:rsidP="001F5383">
      <w:pPr>
        <w:pStyle w:val="ListBullet"/>
        <w:numPr>
          <w:ilvl w:val="0"/>
          <w:numId w:val="17"/>
        </w:numPr>
      </w:pPr>
      <w:r>
        <w:t xml:space="preserve">the additional costs likely to be associated with meeting demand from retail customers that are assigned to that tariff at times of greatest utilisation of the relevant part of the distribution network; and </w:t>
      </w:r>
    </w:p>
    <w:p w14:paraId="4B1C5954" w14:textId="77777777" w:rsidR="00ED0E85" w:rsidRDefault="00ED0E85" w:rsidP="001F5383">
      <w:pPr>
        <w:pStyle w:val="ListBullet"/>
        <w:numPr>
          <w:ilvl w:val="0"/>
          <w:numId w:val="17"/>
        </w:numPr>
      </w:pPr>
      <w:r>
        <w:t>the location of retail customers that are assigned to that tariff and the extent to which costs vary between different locations in the distribution network.</w:t>
      </w:r>
      <w:r>
        <w:rPr>
          <w:rStyle w:val="FootnoteReference"/>
        </w:rPr>
        <w:footnoteReference w:id="103"/>
      </w:r>
    </w:p>
    <w:p w14:paraId="199BC9B4" w14:textId="77777777" w:rsidR="00ED0E85" w:rsidRPr="00B739B1" w:rsidRDefault="00ED0E85" w:rsidP="00ED0E85">
      <w:pPr>
        <w:pStyle w:val="BodyText"/>
        <w:rPr>
          <w:lang w:val="en-GB"/>
        </w:rPr>
      </w:pPr>
      <w:r>
        <w:t>Consequently, retail tariffs should broadly reflect the LRMC of supply.</w:t>
      </w:r>
    </w:p>
    <w:p w14:paraId="0895BE3C" w14:textId="77777777" w:rsidR="00ED0E85" w:rsidRDefault="00ED0E85" w:rsidP="001F5383">
      <w:pPr>
        <w:pStyle w:val="ListBullet"/>
        <w:numPr>
          <w:ilvl w:val="0"/>
          <w:numId w:val="17"/>
        </w:numPr>
      </w:pPr>
      <w:r>
        <w:t>If the energy saved through energy efficiency measures is skewed towards peak times (or more skewed towards peak times than average consumption) and/or buildings are not on tariffs that differentiate between peak and off</w:t>
      </w:r>
      <w:r>
        <w:noBreakHyphen/>
        <w:t>peak times, the retail price approach may understate peak</w:t>
      </w:r>
      <w:r>
        <w:noBreakHyphen/>
        <w:t>related costs.</w:t>
      </w:r>
    </w:p>
    <w:p w14:paraId="73AFADFB" w14:textId="77777777" w:rsidR="00ED0E85" w:rsidRDefault="00ED0E85" w:rsidP="001F5383">
      <w:pPr>
        <w:pStyle w:val="ListBullet"/>
        <w:numPr>
          <w:ilvl w:val="0"/>
          <w:numId w:val="17"/>
        </w:numPr>
      </w:pPr>
      <w:r>
        <w:t>On the other hand, if the energy saved is skewed towards non</w:t>
      </w:r>
      <w:r>
        <w:noBreakHyphen/>
        <w:t>peak times (or more skewed toward non</w:t>
      </w:r>
      <w:r>
        <w:noBreakHyphen/>
        <w:t>peak times than average consumption), the retail price approach could potentially overstate peak</w:t>
      </w:r>
      <w:r>
        <w:noBreakHyphen/>
        <w:t>related costs.</w:t>
      </w:r>
    </w:p>
    <w:p w14:paraId="35B25A24" w14:textId="77777777" w:rsidR="00ED0E85" w:rsidRDefault="00ED0E85" w:rsidP="00ED0E85">
      <w:pPr>
        <w:pStyle w:val="BodyText"/>
      </w:pPr>
      <w:r>
        <w:t>That said, there is limited information available on peak load profiles for commercial buildings and these may vary significantly across different buildings and climate zones. The CLFs used in some CBAs may be an approximation only, so it is unclear whether the alternative approach would be an improvement.</w:t>
      </w:r>
    </w:p>
    <w:p w14:paraId="1638D68C" w14:textId="77777777" w:rsidR="00ED0E85" w:rsidRDefault="00ED0E85" w:rsidP="00ED0E85">
      <w:pPr>
        <w:pStyle w:val="BodyText"/>
      </w:pPr>
      <w:r>
        <w:t xml:space="preserve">Some studies appear to argue that the impact of energy efficiency policies on peak demand should be included in </w:t>
      </w:r>
      <w:r w:rsidRPr="005D74B3">
        <w:rPr>
          <w:b/>
        </w:rPr>
        <w:t>addition</w:t>
      </w:r>
      <w:r>
        <w:t xml:space="preserve"> to the bill savings (based on retail prices).</w:t>
      </w:r>
      <w:r>
        <w:rPr>
          <w:rStyle w:val="FootnoteReference"/>
        </w:rPr>
        <w:footnoteReference w:id="104"/>
      </w:r>
      <w:r>
        <w:t xml:space="preserve"> However, this approach double</w:t>
      </w:r>
      <w:r>
        <w:noBreakHyphen/>
        <w:t>counts the network component of costs.</w:t>
      </w:r>
    </w:p>
    <w:p w14:paraId="1D8B6691" w14:textId="77777777" w:rsidR="00ED0E85" w:rsidRDefault="00ED0E85" w:rsidP="00ED0E85">
      <w:pPr>
        <w:pStyle w:val="BodyText"/>
      </w:pPr>
      <w:r>
        <w:t>In the CBA we use the retail price approach to valuing energy savings. As this approach includes retail costs and margins that would be excluded from the capacity and energy approach, it may result in slightly higher estimates of the benefits of energy efficiency.</w:t>
      </w:r>
    </w:p>
    <w:p w14:paraId="07EA9AE0" w14:textId="6C85FF15" w:rsidR="00ED0E85" w:rsidRDefault="00ED0E85" w:rsidP="00ED0E85">
      <w:pPr>
        <w:pStyle w:val="BodyText"/>
      </w:pPr>
      <w:r>
        <w:t>The Department of Environment and Energy has also commissioned Energeia to examine the impacts of reduced commercial energy use. The results of this study are set out in box </w:t>
      </w:r>
      <w:r w:rsidR="004550CB">
        <w:rPr>
          <w:noProof/>
        </w:rPr>
        <w:fldChar w:fldCharType="begin"/>
      </w:r>
      <w:r w:rsidR="004550CB">
        <w:rPr>
          <w:noProof/>
        </w:rPr>
        <w:instrText xml:space="preserve"> REF _Caption7604 </w:instrText>
      </w:r>
      <w:r w:rsidR="004550CB">
        <w:rPr>
          <w:noProof/>
        </w:rPr>
        <w:fldChar w:fldCharType="separate"/>
      </w:r>
      <w:r w:rsidR="00AD3561">
        <w:rPr>
          <w:noProof/>
        </w:rPr>
        <w:t>B</w:t>
      </w:r>
      <w:r w:rsidR="00AD3561" w:rsidRPr="00E05C8C">
        <w:rPr>
          <w:noProof/>
        </w:rPr>
        <w:t>.</w:t>
      </w:r>
      <w:r w:rsidR="00AD3561">
        <w:rPr>
          <w:noProof/>
        </w:rPr>
        <w:t>2</w:t>
      </w:r>
      <w:r w:rsidR="004550CB">
        <w:rPr>
          <w:noProof/>
        </w:rPr>
        <w:fldChar w:fldCharType="end"/>
      </w:r>
      <w:r>
        <w:t>. This confirms that using the retail price may overstate estimated benefits relative to measuring the avoided costs for power generators, and distributors.</w:t>
      </w:r>
    </w:p>
    <w:p w14:paraId="4E4440D1" w14:textId="77777777" w:rsidR="00ED0E85" w:rsidRDefault="00ED0E85" w:rsidP="00ED0E85">
      <w:pPr>
        <w:pStyle w:val="Invisiblepara"/>
      </w:pPr>
    </w:p>
    <w:tbl>
      <w:tblPr>
        <w:tblW w:w="7938" w:type="dxa"/>
        <w:tblBorders>
          <w:top w:val="single" w:sz="2" w:space="0" w:color="auto"/>
          <w:left w:val="single" w:sz="2" w:space="0" w:color="auto"/>
          <w:bottom w:val="single" w:sz="2" w:space="0" w:color="auto"/>
          <w:right w:val="single" w:sz="2" w:space="0" w:color="auto"/>
        </w:tblBorders>
        <w:tblLayout w:type="fixed"/>
        <w:tblCellMar>
          <w:left w:w="142" w:type="dxa"/>
          <w:right w:w="142" w:type="dxa"/>
        </w:tblCellMar>
        <w:tblLook w:val="0000" w:firstRow="0" w:lastRow="0" w:firstColumn="0" w:lastColumn="0" w:noHBand="0" w:noVBand="0"/>
      </w:tblPr>
      <w:tblGrid>
        <w:gridCol w:w="7938"/>
      </w:tblGrid>
      <w:tr w:rsidR="00ED0E85" w:rsidRPr="00E05C8C" w14:paraId="1F1D9380" w14:textId="77777777" w:rsidTr="00ED0E85">
        <w:trPr>
          <w:cantSplit/>
        </w:trPr>
        <w:tc>
          <w:tcPr>
            <w:tcW w:w="7938" w:type="dxa"/>
            <w:tcBorders>
              <w:top w:val="nil"/>
              <w:left w:val="nil"/>
              <w:bottom w:val="nil"/>
              <w:right w:val="nil"/>
            </w:tcBorders>
            <w:shd w:val="clear" w:color="auto" w:fill="C6BFAB" w:themeFill="accent3"/>
          </w:tcPr>
          <w:p w14:paraId="2B7769AB" w14:textId="3E50EBC9" w:rsidR="00ED0E85" w:rsidRPr="00E05C8C" w:rsidRDefault="00ED0E85" w:rsidP="001F5383">
            <w:pPr>
              <w:pStyle w:val="Caption"/>
              <w:numPr>
                <w:ilvl w:val="0"/>
                <w:numId w:val="13"/>
              </w:numPr>
              <w:spacing w:before="120" w:after="100"/>
            </w:pPr>
            <w:r w:rsidRPr="00E05C8C">
              <w:fldChar w:fldCharType="begin"/>
            </w:r>
            <w:r w:rsidRPr="00E05C8C">
              <w:instrText xml:space="preserve"> IF 1 = 1 "</w:instrText>
            </w:r>
            <w:r w:rsidRPr="00E05C8C">
              <w:fldChar w:fldCharType="begin"/>
            </w:r>
            <w:r w:rsidRPr="00E05C8C">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B</w:instrText>
            </w:r>
            <w:r w:rsidR="004550CB">
              <w:rPr>
                <w:noProof/>
              </w:rPr>
              <w:fldChar w:fldCharType="end"/>
            </w:r>
            <w:r w:rsidRPr="00E05C8C">
              <w:instrText xml:space="preserve"> = 0 "</w:instrText>
            </w:r>
            <w:r w:rsidRPr="00E05C8C">
              <w:fldChar w:fldCharType="begin"/>
            </w:r>
            <w:r w:rsidRPr="00E05C8C">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0</w:instrText>
            </w:r>
            <w:r w:rsidR="004550CB">
              <w:rPr>
                <w:noProof/>
              </w:rPr>
              <w:fldChar w:fldCharType="end"/>
            </w:r>
            <w:r w:rsidRPr="00E05C8C">
              <w:instrText xml:space="preserve"> = 0 "" "</w:instrText>
            </w:r>
            <w:r w:rsidRPr="00E05C8C">
              <w:fldChar w:fldCharType="begin"/>
            </w:r>
            <w:r w:rsidRPr="00E05C8C">
              <w:instrText xml:space="preserve"> STYLEREF "Heading 1" \l \n </w:instrText>
            </w:r>
            <w:r w:rsidRPr="00E05C8C">
              <w:fldChar w:fldCharType="separate"/>
            </w:r>
            <w:r>
              <w:rPr>
                <w:b/>
                <w:bCs/>
                <w:noProof/>
                <w:lang w:val="en-US"/>
              </w:rPr>
              <w:instrText>Error! No text of specified style in document.</w:instrText>
            </w:r>
            <w:r w:rsidRPr="00E05C8C">
              <w:fldChar w:fldCharType="end"/>
            </w:r>
            <w:r w:rsidRPr="00E05C8C">
              <w:instrText xml:space="preserve">." </w:instrText>
            </w:r>
            <w:r w:rsidRPr="00E05C8C">
              <w:fldChar w:fldCharType="end"/>
            </w:r>
            <w:r w:rsidRPr="00E05C8C">
              <w:instrText>"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B</w:instrText>
            </w:r>
            <w:r w:rsidR="004550CB">
              <w:rPr>
                <w:noProof/>
              </w:rPr>
              <w:fldChar w:fldCharType="end"/>
            </w:r>
            <w:r w:rsidRPr="00E05C8C">
              <w:instrText xml:space="preserve">." </w:instrText>
            </w:r>
            <w:r w:rsidRPr="00E05C8C">
              <w:fldChar w:fldCharType="separate"/>
            </w:r>
            <w:r w:rsidR="00AD3561">
              <w:rPr>
                <w:noProof/>
              </w:rPr>
              <w:instrText>B</w:instrText>
            </w:r>
            <w:r w:rsidR="00AD3561" w:rsidRPr="00E05C8C">
              <w:rPr>
                <w:noProof/>
              </w:rPr>
              <w:instrText>.</w:instrText>
            </w:r>
            <w:r w:rsidRPr="00E05C8C">
              <w:fldChar w:fldCharType="end"/>
            </w:r>
            <w:r w:rsidRPr="00E05C8C">
              <w:fldChar w:fldCharType="begin"/>
            </w:r>
            <w:r w:rsidRPr="00E05C8C">
              <w:instrText xml:space="preserve"> SEQ Item \* ARABIC \s </w:instrText>
            </w:r>
            <w:r w:rsidRPr="00E05C8C">
              <w:fldChar w:fldCharType="begin"/>
            </w:r>
            <w:r w:rsidRPr="00E05C8C">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B</w:instrText>
            </w:r>
            <w:r w:rsidR="004550CB">
              <w:rPr>
                <w:noProof/>
              </w:rPr>
              <w:fldChar w:fldCharType="end"/>
            </w:r>
            <w:r w:rsidRPr="00E05C8C">
              <w:instrText xml:space="preserve"> = 0 "</w:instrText>
            </w:r>
            <w:r w:rsidRPr="00E05C8C">
              <w:fldChar w:fldCharType="begin"/>
            </w:r>
            <w:r w:rsidRPr="00E05C8C">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0</w:instrText>
            </w:r>
            <w:r w:rsidR="004550CB">
              <w:rPr>
                <w:noProof/>
              </w:rPr>
              <w:fldChar w:fldCharType="end"/>
            </w:r>
            <w:r w:rsidRPr="00E05C8C">
              <w:instrText xml:space="preserve"> = 0 "" "1" </w:instrText>
            </w:r>
            <w:r w:rsidRPr="00E05C8C">
              <w:fldChar w:fldCharType="end"/>
            </w:r>
            <w:r w:rsidRPr="00E05C8C">
              <w:instrText xml:space="preserve">" "6" </w:instrText>
            </w:r>
            <w:r w:rsidRPr="00E05C8C">
              <w:fldChar w:fldCharType="separate"/>
            </w:r>
            <w:r w:rsidR="00AD3561" w:rsidRPr="00E05C8C">
              <w:rPr>
                <w:noProof/>
              </w:rPr>
              <w:instrText>6</w:instrText>
            </w:r>
            <w:r w:rsidRPr="00E05C8C">
              <w:fldChar w:fldCharType="end"/>
            </w:r>
            <w:r w:rsidRPr="00E05C8C">
              <w:instrText xml:space="preserve"> </w:instrText>
            </w:r>
            <w:r w:rsidRPr="00E05C8C">
              <w:fldChar w:fldCharType="separate"/>
            </w:r>
            <w:r w:rsidR="00AD3561">
              <w:rPr>
                <w:noProof/>
              </w:rPr>
              <w:instrText>2</w:instrText>
            </w:r>
            <w:r w:rsidRPr="00E05C8C">
              <w:fldChar w:fldCharType="end"/>
            </w:r>
            <w:r w:rsidRPr="00E05C8C">
              <w:instrText xml:space="preserve">" "" </w:instrText>
            </w:r>
            <w:r w:rsidRPr="00E05C8C">
              <w:fldChar w:fldCharType="separate"/>
            </w:r>
            <w:bookmarkStart w:id="6950" w:name="_Caption8585"/>
            <w:bookmarkStart w:id="6951" w:name="_Caption5798"/>
            <w:bookmarkStart w:id="6952" w:name="_Caption7281"/>
            <w:bookmarkStart w:id="6953" w:name="_Caption8798"/>
            <w:bookmarkStart w:id="6954" w:name="_Caption9942"/>
            <w:bookmarkStart w:id="6955" w:name="_Caption4424"/>
            <w:bookmarkStart w:id="6956" w:name="_Caption4182"/>
            <w:bookmarkStart w:id="6957" w:name="_Caption6064"/>
            <w:bookmarkStart w:id="6958" w:name="_Caption5359"/>
            <w:bookmarkStart w:id="6959" w:name="_Caption0694"/>
            <w:bookmarkStart w:id="6960" w:name="_Caption8466"/>
            <w:bookmarkStart w:id="6961" w:name="_Caption2085"/>
            <w:bookmarkStart w:id="6962" w:name="_Caption8768"/>
            <w:bookmarkStart w:id="6963" w:name="_Caption3570"/>
            <w:bookmarkStart w:id="6964" w:name="_Caption5136"/>
            <w:bookmarkStart w:id="6965" w:name="_Caption3702"/>
            <w:bookmarkStart w:id="6966" w:name="_Caption7120"/>
            <w:bookmarkStart w:id="6967" w:name="_Caption7403"/>
            <w:bookmarkStart w:id="6968" w:name="_Caption2374"/>
            <w:bookmarkStart w:id="6969" w:name="_Caption4436"/>
            <w:bookmarkStart w:id="6970" w:name="_Caption7050"/>
            <w:bookmarkStart w:id="6971" w:name="_Caption9289"/>
            <w:bookmarkStart w:id="6972" w:name="_Caption7207"/>
            <w:bookmarkStart w:id="6973" w:name="_Caption6820"/>
            <w:bookmarkStart w:id="6974" w:name="_Caption7604"/>
            <w:bookmarkStart w:id="6975" w:name="_Caption5115"/>
            <w:bookmarkStart w:id="6976" w:name="_Caption8680"/>
            <w:bookmarkStart w:id="6977" w:name="_Caption8953"/>
            <w:bookmarkStart w:id="6978" w:name="_Caption4973"/>
            <w:bookmarkStart w:id="6979" w:name="_Caption7571"/>
            <w:bookmarkStart w:id="6980" w:name="_Caption3578"/>
            <w:bookmarkStart w:id="6981" w:name="_Caption9148"/>
            <w:bookmarkStart w:id="6982" w:name="_Caption2980"/>
            <w:bookmarkStart w:id="6983" w:name="_Caption8641"/>
            <w:bookmarkStart w:id="6984" w:name="_Caption9161"/>
            <w:bookmarkStart w:id="6985" w:name="_Caption3831"/>
            <w:bookmarkStart w:id="6986" w:name="_Caption0264"/>
            <w:bookmarkStart w:id="6987" w:name="_Caption7987"/>
            <w:bookmarkStart w:id="6988" w:name="_Caption2335"/>
            <w:bookmarkStart w:id="6989" w:name="_Caption1160"/>
            <w:bookmarkStart w:id="6990" w:name="_Caption3175"/>
            <w:bookmarkStart w:id="6991" w:name="_Caption0428"/>
            <w:bookmarkStart w:id="6992" w:name="_Caption8958"/>
            <w:bookmarkStart w:id="6993" w:name="_Caption4838"/>
            <w:bookmarkStart w:id="6994" w:name="_Caption2924"/>
            <w:bookmarkStart w:id="6995" w:name="_Toc19275660"/>
            <w:bookmarkStart w:id="6996" w:name="_Toc19276270"/>
            <w:bookmarkStart w:id="6997" w:name="_Toc19280269"/>
            <w:r w:rsidR="00C353B5">
              <w:rPr>
                <w:noProof/>
              </w:rPr>
              <w:t>B</w:t>
            </w:r>
            <w:r w:rsidR="00C353B5" w:rsidRPr="00E05C8C">
              <w:rPr>
                <w:noProof/>
              </w:rPr>
              <w:t>.</w:t>
            </w:r>
            <w:r w:rsidR="00C353B5">
              <w:rPr>
                <w:noProof/>
              </w:rPr>
              <w:t>2</w:t>
            </w:r>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r w:rsidRPr="00E05C8C">
              <w:fldChar w:fldCharType="end"/>
            </w:r>
            <w:r w:rsidRPr="00E05C8C">
              <w:tab/>
            </w:r>
            <w:r>
              <w:t>Energeia study on impacts of reducing commercial energy use</w:t>
            </w:r>
            <w:r>
              <w:rPr>
                <w:rStyle w:val="FootnoteReference"/>
              </w:rPr>
              <w:footnoteReference w:id="105"/>
            </w:r>
            <w:bookmarkEnd w:id="6995"/>
            <w:bookmarkEnd w:id="6996"/>
            <w:bookmarkEnd w:id="6997"/>
          </w:p>
        </w:tc>
      </w:tr>
      <w:tr w:rsidR="00ED0E85" w14:paraId="66175813" w14:textId="77777777" w:rsidTr="00ED0E85">
        <w:tblPrEx>
          <w:tblBorders>
            <w:top w:val="none" w:sz="0" w:space="0" w:color="auto"/>
            <w:left w:val="none" w:sz="0" w:space="0" w:color="auto"/>
            <w:bottom w:val="none" w:sz="0" w:space="0" w:color="auto"/>
            <w:right w:val="none" w:sz="0" w:space="0" w:color="auto"/>
          </w:tblBorders>
          <w:shd w:val="clear" w:color="6F6652" w:fill="F1EFEA"/>
        </w:tblPrEx>
        <w:trPr>
          <w:cantSplit/>
        </w:trPr>
        <w:tc>
          <w:tcPr>
            <w:tcW w:w="7938" w:type="dxa"/>
            <w:shd w:val="clear" w:color="auto" w:fill="E9E8E5" w:themeFill="background2"/>
          </w:tcPr>
          <w:p w14:paraId="4CB048D3" w14:textId="77777777" w:rsidR="00ED0E85" w:rsidRDefault="00ED0E85" w:rsidP="00ED0E85">
            <w:pPr>
              <w:pStyle w:val="BodyText"/>
            </w:pPr>
            <w:r>
              <w:t>Energeia examined the cost reductions from reducing energy use for buildings. In particular, the draft National Construction Code expects to reduce residential and commercial electricity consumption by 36 TWh, in 2050, with a gradual accumulation to this level of savings. The study modelled a 16 per cent reduction in residential electricity consumption and 15 per cent reduction in commercial electricity consumption, compared to the baseline or do-nothing option.</w:t>
            </w:r>
          </w:p>
          <w:p w14:paraId="21E6B0C1" w14:textId="77777777" w:rsidR="00ED0E85" w:rsidRDefault="00ED0E85" w:rsidP="00ED0E85">
            <w:pPr>
              <w:pStyle w:val="BodyText"/>
            </w:pPr>
            <w:r>
              <w:t xml:space="preserve">The avoided network and generation capex costs were estimated at $7.5 billion and $4.1 billion, respectively. </w:t>
            </w:r>
          </w:p>
          <w:p w14:paraId="2A179762" w14:textId="77777777" w:rsidR="00ED0E85" w:rsidRPr="00615831" w:rsidRDefault="00ED0E85" w:rsidP="00ED0E85">
            <w:pPr>
              <w:pStyle w:val="BodyText"/>
            </w:pPr>
            <w:r>
              <w:t>Note that this is small relative to what would be measured using retail prices. For example, with an average retail price of between 10 cents (large commercial) and 30 cents per kwh (residential), avoiding 36 TWh is equivalent to $3.6 billion to $10.8 billion in 2050 alone. The estimated bill savings occur in each year. Even with discounting and a gradual accumulation of impact, this suggests that the avoided capex costs are a small fraction of the estimates using market prices for energy.</w:t>
            </w:r>
            <w:r>
              <w:rPr>
                <w:rStyle w:val="FootnoteReference"/>
              </w:rPr>
              <w:footnoteReference w:id="106"/>
            </w:r>
            <w:r>
              <w:t xml:space="preserve">   </w:t>
            </w:r>
          </w:p>
        </w:tc>
      </w:tr>
      <w:tr w:rsidR="00ED0E85" w14:paraId="554696A3" w14:textId="77777777" w:rsidTr="00ED0E85">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42"/>
        </w:trPr>
        <w:tc>
          <w:tcPr>
            <w:tcW w:w="7938" w:type="dxa"/>
            <w:tcBorders>
              <w:bottom w:val="single" w:sz="6" w:space="0" w:color="9B917E" w:themeColor="accent4"/>
            </w:tcBorders>
            <w:shd w:val="clear" w:color="auto" w:fill="E9E8E5" w:themeFill="background2"/>
          </w:tcPr>
          <w:p w14:paraId="289ACA10" w14:textId="77777777" w:rsidR="00ED0E85" w:rsidRDefault="00ED0E85" w:rsidP="00ED0E85"/>
        </w:tc>
      </w:tr>
      <w:tr w:rsidR="00ED0E85" w14:paraId="7BCBF610" w14:textId="77777777" w:rsidTr="00ED0E85">
        <w:tblPrEx>
          <w:tblBorders>
            <w:top w:val="none" w:sz="0" w:space="0" w:color="auto"/>
            <w:left w:val="none" w:sz="0" w:space="0" w:color="auto"/>
            <w:bottom w:val="none" w:sz="0" w:space="0" w:color="auto"/>
            <w:right w:val="none" w:sz="0" w:space="0" w:color="auto"/>
          </w:tblBorders>
          <w:shd w:val="clear" w:color="6F6652" w:fill="F1EFEA"/>
        </w:tblPrEx>
        <w:trPr>
          <w:cantSplit/>
          <w:trHeight w:hRule="exact" w:val="198"/>
        </w:trPr>
        <w:tc>
          <w:tcPr>
            <w:tcW w:w="7938" w:type="dxa"/>
            <w:tcBorders>
              <w:top w:val="single" w:sz="6" w:space="0" w:color="9B917E" w:themeColor="accent4"/>
            </w:tcBorders>
            <w:shd w:val="clear" w:color="6F6652" w:fill="auto"/>
          </w:tcPr>
          <w:p w14:paraId="100DC85B" w14:textId="77777777" w:rsidR="00ED0E85" w:rsidRDefault="00ED0E85" w:rsidP="00ED0E85"/>
        </w:tc>
      </w:tr>
    </w:tbl>
    <w:p w14:paraId="5AABCE0E" w14:textId="77777777" w:rsidR="00ED0E85" w:rsidRDefault="00ED0E85" w:rsidP="00ED0E85">
      <w:pPr>
        <w:pStyle w:val="Heading8"/>
        <w:numPr>
          <w:ilvl w:val="7"/>
          <w:numId w:val="5"/>
        </w:numPr>
      </w:pPr>
      <w:r>
        <w:t>Electricity prices</w:t>
      </w:r>
    </w:p>
    <w:p w14:paraId="0C0CCDE0" w14:textId="77777777" w:rsidR="00ED0E85" w:rsidRDefault="00ED0E85" w:rsidP="00ED0E85">
      <w:pPr>
        <w:pStyle w:val="BodyText"/>
        <w:rPr>
          <w:lang w:bidi="fa-IR"/>
        </w:rPr>
      </w:pPr>
      <w:r>
        <w:rPr>
          <w:lang w:bidi="fa-IR"/>
        </w:rPr>
        <w:t>The series for commercial electricity prices were manually calculated, as no time series for the sector are currently published. To create a measure, prices were constructed by combining:</w:t>
      </w:r>
    </w:p>
    <w:p w14:paraId="6242B53B" w14:textId="77777777" w:rsidR="00ED0E85" w:rsidRDefault="00ED0E85" w:rsidP="00ED0E85">
      <w:pPr>
        <w:pStyle w:val="ListBullet"/>
        <w:rPr>
          <w:lang w:bidi="fa-IR"/>
        </w:rPr>
      </w:pPr>
      <w:r>
        <w:rPr>
          <w:lang w:bidi="fa-IR"/>
        </w:rPr>
        <w:t>Regulated transmission and distribution prices — the Australian Energy Regulator (AER) regulates network prices, meaning that they are publicly available. These prices were collected for all of the networks. Western Australian prices are regulated by the Economic Regulation Authority of WA (ERAWA), and these prices were collected in kind.</w:t>
      </w:r>
    </w:p>
    <w:p w14:paraId="342F94BE" w14:textId="77777777" w:rsidR="00ED0E85" w:rsidRDefault="00ED0E85" w:rsidP="00ED0E85">
      <w:pPr>
        <w:pStyle w:val="ListBullet"/>
        <w:rPr>
          <w:lang w:bidi="fa-IR"/>
        </w:rPr>
      </w:pPr>
      <w:r>
        <w:rPr>
          <w:lang w:bidi="fa-IR"/>
        </w:rPr>
        <w:t>Wholesale electricity prices — wholesale electricity prices are published by the Australian Energy Market Operator (AEMO), and these were collected for each state.</w:t>
      </w:r>
    </w:p>
    <w:p w14:paraId="2069FD9D" w14:textId="77777777" w:rsidR="00ED0E85" w:rsidRDefault="00ED0E85" w:rsidP="00ED0E85">
      <w:pPr>
        <w:pStyle w:val="ListBullet"/>
        <w:rPr>
          <w:lang w:bidi="fa-IR"/>
        </w:rPr>
      </w:pPr>
      <w:r>
        <w:rPr>
          <w:lang w:bidi="fa-IR"/>
        </w:rPr>
        <w:t>Retailer margin — an assumed 15 per cent rate for retailer margin was used.</w:t>
      </w:r>
    </w:p>
    <w:p w14:paraId="1D33398B" w14:textId="15590BE8" w:rsidR="00ED0E85" w:rsidRDefault="00ED0E85" w:rsidP="00ED0E85">
      <w:pPr>
        <w:pStyle w:val="ListBullet"/>
        <w:numPr>
          <w:ilvl w:val="0"/>
          <w:numId w:val="0"/>
        </w:numPr>
        <w:tabs>
          <w:tab w:val="left" w:pos="720"/>
        </w:tabs>
        <w:rPr>
          <w:lang w:bidi="fa-IR"/>
        </w:rPr>
      </w:pPr>
      <w:r>
        <w:rPr>
          <w:lang w:bidi="fa-IR"/>
        </w:rPr>
        <w:t xml:space="preserve">There are a range of different product offerings across the different networks. These include time of use charges, maximum demand charges as well as other pricing structures for customers of various sizes. Certain product offerings were selected to most represent that of a commercial customer. Across the networks, the products used to track network prices over time are stated in table </w:t>
      </w:r>
      <w:r>
        <w:rPr>
          <w:lang w:bidi="fa-IR"/>
        </w:rPr>
        <w:fldChar w:fldCharType="begin"/>
      </w:r>
      <w:r>
        <w:rPr>
          <w:lang w:bidi="fa-IR"/>
        </w:rPr>
        <w:instrText xml:space="preserve"> REF _Caption7822 </w:instrText>
      </w:r>
      <w:r>
        <w:rPr>
          <w:lang w:bidi="fa-IR"/>
        </w:rPr>
        <w:fldChar w:fldCharType="separate"/>
      </w:r>
      <w:r w:rsidR="00AD3561">
        <w:rPr>
          <w:noProof/>
        </w:rPr>
        <w:t>B.3</w:t>
      </w:r>
      <w:r>
        <w:rPr>
          <w:lang w:bidi="fa-IR"/>
        </w:rPr>
        <w:fldChar w:fldCharType="end"/>
      </w:r>
      <w:r>
        <w:rPr>
          <w:lang w:bidi="fa-IR"/>
        </w:rPr>
        <w:t>.</w:t>
      </w:r>
    </w:p>
    <w:p w14:paraId="5133443D" w14:textId="6908ABEC" w:rsidR="00ED0E85" w:rsidRDefault="00ED0E85" w:rsidP="00ED0E85">
      <w:pPr>
        <w:pStyle w:val="Caption"/>
      </w:pPr>
      <w:r>
        <w:fldChar w:fldCharType="begin"/>
      </w:r>
      <w:r>
        <w:instrText xml:space="preserve"> IF 1 = 1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B</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instrText xml:space="preserve">." </w:instrText>
      </w:r>
      <w:r>
        <w:fldChar w:fldCharType="end"/>
      </w:r>
      <w:r>
        <w:instrText>" "</w:instrText>
      </w:r>
      <w:r>
        <w:rPr>
          <w:noProof/>
        </w:rPr>
        <w:fldChar w:fldCharType="begin"/>
      </w:r>
      <w:r>
        <w:rPr>
          <w:noProof/>
        </w:rPr>
        <w:instrText xml:space="preserve"> STYLEREF "Heading 6" \l \n </w:instrText>
      </w:r>
      <w:r>
        <w:rPr>
          <w:noProof/>
        </w:rPr>
        <w:fldChar w:fldCharType="separate"/>
      </w:r>
      <w:r w:rsidR="00AD3561">
        <w:rPr>
          <w:noProof/>
        </w:rPr>
        <w:instrText>B</w:instrText>
      </w:r>
      <w:r>
        <w:rPr>
          <w:noProof/>
        </w:rPr>
        <w:fldChar w:fldCharType="end"/>
      </w:r>
      <w:r>
        <w:instrText xml:space="preserve">." </w:instrText>
      </w:r>
      <w:r>
        <w:fldChar w:fldCharType="separate"/>
      </w:r>
      <w:r w:rsidR="00AD3561">
        <w:rPr>
          <w:noProof/>
        </w:rPr>
        <w:instrText>B.</w:instrText>
      </w:r>
      <w:r>
        <w:fldChar w:fldCharType="end"/>
      </w:r>
      <w:r>
        <w:fldChar w:fldCharType="begin"/>
      </w:r>
      <w:r>
        <w:instrText xml:space="preserve"> SEQ Item \* ARABIC \s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B</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instrText xml:space="preserve"> = 0 "" "1" </w:instrText>
      </w:r>
      <w:r>
        <w:fldChar w:fldCharType="end"/>
      </w:r>
      <w:r>
        <w:instrText xml:space="preserve">" "6" </w:instrText>
      </w:r>
      <w:r>
        <w:fldChar w:fldCharType="separate"/>
      </w:r>
      <w:r w:rsidR="00AD3561">
        <w:rPr>
          <w:noProof/>
        </w:rPr>
        <w:instrText>6</w:instrText>
      </w:r>
      <w:r>
        <w:fldChar w:fldCharType="end"/>
      </w:r>
      <w:r>
        <w:instrText xml:space="preserve"> </w:instrText>
      </w:r>
      <w:r>
        <w:fldChar w:fldCharType="separate"/>
      </w:r>
      <w:r w:rsidR="00AD3561">
        <w:rPr>
          <w:noProof/>
        </w:rPr>
        <w:instrText>3</w:instrText>
      </w:r>
      <w:r>
        <w:fldChar w:fldCharType="end"/>
      </w:r>
      <w:r>
        <w:instrText xml:space="preserve">" "" </w:instrText>
      </w:r>
      <w:r>
        <w:fldChar w:fldCharType="separate"/>
      </w:r>
      <w:bookmarkStart w:id="6998" w:name="_Caption1874"/>
      <w:bookmarkStart w:id="6999" w:name="_Caption5657"/>
      <w:bookmarkStart w:id="7000" w:name="_Caption3263"/>
      <w:bookmarkStart w:id="7001" w:name="_Caption1815"/>
      <w:bookmarkStart w:id="7002" w:name="_Caption7673"/>
      <w:bookmarkStart w:id="7003" w:name="_Caption0700"/>
      <w:bookmarkStart w:id="7004" w:name="_Caption7574"/>
      <w:bookmarkStart w:id="7005" w:name="_Caption5573"/>
      <w:bookmarkStart w:id="7006" w:name="_Caption9403"/>
      <w:bookmarkStart w:id="7007" w:name="_Caption8065"/>
      <w:bookmarkStart w:id="7008" w:name="_Caption0628"/>
      <w:bookmarkStart w:id="7009" w:name="_Caption8129"/>
      <w:bookmarkStart w:id="7010" w:name="_Caption3427"/>
      <w:bookmarkStart w:id="7011" w:name="_Caption6068"/>
      <w:bookmarkStart w:id="7012" w:name="_Caption9582"/>
      <w:bookmarkStart w:id="7013" w:name="_Caption7161"/>
      <w:bookmarkStart w:id="7014" w:name="_Caption6652"/>
      <w:bookmarkStart w:id="7015" w:name="_Caption0714"/>
      <w:bookmarkStart w:id="7016" w:name="_Caption5504"/>
      <w:bookmarkStart w:id="7017" w:name="_Caption3515"/>
      <w:bookmarkStart w:id="7018" w:name="_Caption2630"/>
      <w:bookmarkStart w:id="7019" w:name="_Caption8706"/>
      <w:bookmarkStart w:id="7020" w:name="_Caption5152"/>
      <w:bookmarkStart w:id="7021" w:name="_Caption7781"/>
      <w:bookmarkStart w:id="7022" w:name="_Caption0043"/>
      <w:bookmarkStart w:id="7023" w:name="_Caption2906"/>
      <w:bookmarkStart w:id="7024" w:name="_Caption2764"/>
      <w:bookmarkStart w:id="7025" w:name="_Caption0308"/>
      <w:bookmarkStart w:id="7026" w:name="_Caption6507"/>
      <w:bookmarkStart w:id="7027" w:name="_Caption7029"/>
      <w:bookmarkStart w:id="7028" w:name="_Caption0278"/>
      <w:bookmarkStart w:id="7029" w:name="_Caption6745"/>
      <w:bookmarkStart w:id="7030" w:name="_Caption0554"/>
      <w:bookmarkStart w:id="7031" w:name="_Caption8087"/>
      <w:bookmarkStart w:id="7032" w:name="_Caption4966"/>
      <w:bookmarkStart w:id="7033" w:name="_Caption3947"/>
      <w:bookmarkStart w:id="7034" w:name="_Caption3320"/>
      <w:bookmarkStart w:id="7035" w:name="_Caption6321"/>
      <w:bookmarkStart w:id="7036" w:name="_Caption5853"/>
      <w:bookmarkStart w:id="7037" w:name="_Caption9954"/>
      <w:bookmarkStart w:id="7038" w:name="_Caption8802"/>
      <w:bookmarkStart w:id="7039" w:name="_Caption5489"/>
      <w:bookmarkStart w:id="7040" w:name="_Caption6805"/>
      <w:bookmarkStart w:id="7041" w:name="_Caption6838"/>
      <w:bookmarkStart w:id="7042" w:name="_Caption7302"/>
      <w:bookmarkStart w:id="7043" w:name="_Caption7822"/>
      <w:bookmarkStart w:id="7044" w:name="_Caption9883"/>
      <w:bookmarkStart w:id="7045" w:name="_Caption8404"/>
      <w:bookmarkStart w:id="7046" w:name="_Caption6570"/>
      <w:bookmarkStart w:id="7047" w:name="_Caption4991"/>
      <w:bookmarkStart w:id="7048" w:name="_Caption2571"/>
      <w:bookmarkStart w:id="7049" w:name="_Caption9876"/>
      <w:bookmarkStart w:id="7050" w:name="_Caption9325"/>
      <w:bookmarkStart w:id="7051" w:name="_Caption3127"/>
      <w:bookmarkStart w:id="7052" w:name="_Caption6276"/>
      <w:bookmarkStart w:id="7053" w:name="_Caption7022"/>
      <w:bookmarkStart w:id="7054" w:name="_Caption2209"/>
      <w:bookmarkStart w:id="7055" w:name="_Caption2434"/>
      <w:bookmarkStart w:id="7056" w:name="_Caption6192"/>
      <w:bookmarkStart w:id="7057" w:name="_Caption1165"/>
      <w:bookmarkStart w:id="7058" w:name="_Caption9198"/>
      <w:bookmarkStart w:id="7059" w:name="_Caption6741"/>
      <w:bookmarkStart w:id="7060" w:name="_Caption3483"/>
      <w:bookmarkStart w:id="7061" w:name="_Caption3361"/>
      <w:bookmarkStart w:id="7062" w:name="_Caption1489"/>
      <w:bookmarkStart w:id="7063" w:name="_Caption5009"/>
      <w:bookmarkStart w:id="7064" w:name="_Caption0615"/>
      <w:bookmarkStart w:id="7065" w:name="_Caption4794"/>
      <w:bookmarkStart w:id="7066" w:name="_Caption6065"/>
      <w:bookmarkStart w:id="7067" w:name="_Caption8968"/>
      <w:bookmarkStart w:id="7068" w:name="_Caption6708"/>
      <w:bookmarkStart w:id="7069" w:name="_Caption5461"/>
      <w:bookmarkStart w:id="7070" w:name="_Caption3349"/>
      <w:bookmarkStart w:id="7071" w:name="_Caption3504"/>
      <w:bookmarkStart w:id="7072" w:name="_Caption5772"/>
      <w:bookmarkStart w:id="7073" w:name="_Caption6670"/>
      <w:bookmarkStart w:id="7074" w:name="_Caption2645"/>
      <w:bookmarkStart w:id="7075" w:name="_Caption4472"/>
      <w:bookmarkStart w:id="7076" w:name="_Caption9089"/>
      <w:bookmarkStart w:id="7077" w:name="_Caption8186"/>
      <w:bookmarkStart w:id="7078" w:name="_Caption7768"/>
      <w:bookmarkStart w:id="7079" w:name="_Caption3922"/>
      <w:bookmarkStart w:id="7080" w:name="_Caption6575"/>
      <w:bookmarkStart w:id="7081" w:name="_Caption2498"/>
      <w:bookmarkStart w:id="7082" w:name="_Caption3418"/>
      <w:bookmarkStart w:id="7083" w:name="_Caption8455"/>
      <w:bookmarkStart w:id="7084" w:name="_Caption8784"/>
      <w:bookmarkStart w:id="7085" w:name="_Toc19275661"/>
      <w:bookmarkStart w:id="7086" w:name="_Toc19276271"/>
      <w:bookmarkStart w:id="7087" w:name="_Toc19280270"/>
      <w:r w:rsidR="00C353B5">
        <w:rPr>
          <w:noProof/>
        </w:rPr>
        <w:t>B.3</w:t>
      </w:r>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r>
        <w:fldChar w:fldCharType="end"/>
      </w:r>
      <w:r>
        <w:tab/>
        <w:t>Network product offerings used</w:t>
      </w:r>
      <w:bookmarkEnd w:id="7085"/>
      <w:bookmarkEnd w:id="7086"/>
      <w:bookmarkEnd w:id="7087"/>
    </w:p>
    <w:tbl>
      <w:tblPr>
        <w:tblW w:w="8080" w:type="dxa"/>
        <w:tblLook w:val="04A0" w:firstRow="1" w:lastRow="0" w:firstColumn="1" w:lastColumn="0" w:noHBand="0" w:noVBand="1"/>
      </w:tblPr>
      <w:tblGrid>
        <w:gridCol w:w="2098"/>
        <w:gridCol w:w="5982"/>
      </w:tblGrid>
      <w:tr w:rsidR="00ED0E85" w14:paraId="20F55822" w14:textId="77777777" w:rsidTr="00ED0E85">
        <w:trPr>
          <w:trHeight w:val="252"/>
        </w:trPr>
        <w:tc>
          <w:tcPr>
            <w:tcW w:w="2098"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36CDC196" w14:textId="77777777" w:rsidR="00ED0E85" w:rsidRDefault="00ED0E85" w:rsidP="00ED0E85">
            <w:pPr>
              <w:pStyle w:val="TableTextColumnHeading"/>
            </w:pPr>
            <w:r>
              <w:t>Network</w:t>
            </w:r>
          </w:p>
        </w:tc>
        <w:tc>
          <w:tcPr>
            <w:tcW w:w="5982"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0E8860C7" w14:textId="77777777" w:rsidR="00ED0E85" w:rsidRDefault="00ED0E85" w:rsidP="00ED0E85">
            <w:pPr>
              <w:pStyle w:val="TableTextColumnHeading"/>
            </w:pPr>
            <w:r>
              <w:t>Product name/code</w:t>
            </w:r>
          </w:p>
        </w:tc>
      </w:tr>
      <w:tr w:rsidR="00ED0E85" w14:paraId="77981B9E" w14:textId="77777777" w:rsidTr="00ED0E85">
        <w:trPr>
          <w:trHeight w:val="252"/>
        </w:trPr>
        <w:tc>
          <w:tcPr>
            <w:tcW w:w="209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F42DFC6" w14:textId="77777777" w:rsidR="00ED0E85" w:rsidRDefault="00ED0E85" w:rsidP="00ED0E85">
            <w:pPr>
              <w:pStyle w:val="TableTextEntries"/>
            </w:pPr>
            <w:r>
              <w:t>Ausgrid</w:t>
            </w:r>
          </w:p>
        </w:tc>
        <w:tc>
          <w:tcPr>
            <w:tcW w:w="59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38F9D73" w14:textId="77777777" w:rsidR="00ED0E85" w:rsidRDefault="00ED0E85" w:rsidP="00ED0E85">
            <w:pPr>
              <w:pStyle w:val="TableTextEntries"/>
            </w:pPr>
            <w:r>
              <w:t>LV &gt; 750 MWh (System)</w:t>
            </w:r>
          </w:p>
        </w:tc>
      </w:tr>
      <w:tr w:rsidR="00ED0E85" w14:paraId="24647C52" w14:textId="77777777" w:rsidTr="00ED0E85">
        <w:trPr>
          <w:trHeight w:val="252"/>
        </w:trPr>
        <w:tc>
          <w:tcPr>
            <w:tcW w:w="209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1686A3F" w14:textId="77777777" w:rsidR="00ED0E85" w:rsidRDefault="00ED0E85" w:rsidP="00ED0E85">
            <w:pPr>
              <w:pStyle w:val="TableTextEntries"/>
            </w:pPr>
            <w:r>
              <w:t>Energex</w:t>
            </w:r>
          </w:p>
        </w:tc>
        <w:tc>
          <w:tcPr>
            <w:tcW w:w="59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DC0B174" w14:textId="77777777" w:rsidR="00ED0E85" w:rsidRDefault="00ED0E85" w:rsidP="00ED0E85">
            <w:pPr>
              <w:pStyle w:val="TableTextEntries"/>
            </w:pPr>
            <w:r>
              <w:t>NTC8100 Demand Large</w:t>
            </w:r>
          </w:p>
        </w:tc>
      </w:tr>
      <w:tr w:rsidR="00ED0E85" w14:paraId="14A80E3D" w14:textId="77777777" w:rsidTr="00ED0E85">
        <w:trPr>
          <w:trHeight w:val="252"/>
        </w:trPr>
        <w:tc>
          <w:tcPr>
            <w:tcW w:w="209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E020CB6" w14:textId="77777777" w:rsidR="00ED0E85" w:rsidRDefault="00ED0E85" w:rsidP="00ED0E85">
            <w:pPr>
              <w:pStyle w:val="TableTextEntries"/>
            </w:pPr>
            <w:r>
              <w:t>CitiPower</w:t>
            </w:r>
          </w:p>
        </w:tc>
        <w:tc>
          <w:tcPr>
            <w:tcW w:w="59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FAE816C" w14:textId="77777777" w:rsidR="00ED0E85" w:rsidRDefault="00ED0E85" w:rsidP="00ED0E85">
            <w:pPr>
              <w:pStyle w:val="TableTextEntries"/>
            </w:pPr>
            <w:r>
              <w:t>Large Low Voltage Demand C2DL</w:t>
            </w:r>
          </w:p>
        </w:tc>
      </w:tr>
      <w:tr w:rsidR="00ED0E85" w14:paraId="44EAE88B" w14:textId="77777777" w:rsidTr="00ED0E85">
        <w:trPr>
          <w:trHeight w:val="252"/>
        </w:trPr>
        <w:tc>
          <w:tcPr>
            <w:tcW w:w="209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E36F355" w14:textId="77777777" w:rsidR="00ED0E85" w:rsidRDefault="00ED0E85" w:rsidP="00ED0E85">
            <w:pPr>
              <w:pStyle w:val="TableTextEntries"/>
            </w:pPr>
            <w:r>
              <w:t>WesternPower</w:t>
            </w:r>
          </w:p>
        </w:tc>
        <w:tc>
          <w:tcPr>
            <w:tcW w:w="59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D21CE0E" w14:textId="77777777" w:rsidR="00ED0E85" w:rsidRDefault="00ED0E85" w:rsidP="00ED0E85">
            <w:pPr>
              <w:pStyle w:val="TableTextEntries"/>
            </w:pPr>
            <w:r>
              <w:t>Reference tariff - RT6</w:t>
            </w:r>
          </w:p>
        </w:tc>
      </w:tr>
      <w:tr w:rsidR="00ED0E85" w14:paraId="3125EFB1" w14:textId="77777777" w:rsidTr="00ED0E85">
        <w:trPr>
          <w:trHeight w:val="252"/>
        </w:trPr>
        <w:tc>
          <w:tcPr>
            <w:tcW w:w="2098"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2E80746" w14:textId="77777777" w:rsidR="00ED0E85" w:rsidRDefault="00ED0E85" w:rsidP="00ED0E85">
            <w:pPr>
              <w:pStyle w:val="TableTextEntries"/>
            </w:pPr>
            <w:r>
              <w:t>Tasnetworks</w:t>
            </w:r>
          </w:p>
        </w:tc>
        <w:tc>
          <w:tcPr>
            <w:tcW w:w="598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A6BB5B0" w14:textId="77777777" w:rsidR="00ED0E85" w:rsidRDefault="00ED0E85" w:rsidP="00ED0E85">
            <w:pPr>
              <w:pStyle w:val="TableTextEntries"/>
            </w:pPr>
            <w:r>
              <w:t>Business low voltage kVA demand</w:t>
            </w:r>
          </w:p>
        </w:tc>
      </w:tr>
      <w:tr w:rsidR="00ED0E85" w14:paraId="542E37E9" w14:textId="77777777" w:rsidTr="00ED0E85">
        <w:trPr>
          <w:trHeight w:val="252"/>
        </w:trPr>
        <w:tc>
          <w:tcPr>
            <w:tcW w:w="2098"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1769201C" w14:textId="77777777" w:rsidR="00ED0E85" w:rsidRDefault="00ED0E85" w:rsidP="00ED0E85">
            <w:pPr>
              <w:pStyle w:val="TableTextEntries"/>
            </w:pPr>
            <w:r>
              <w:t>SAPower</w:t>
            </w:r>
          </w:p>
        </w:tc>
        <w:tc>
          <w:tcPr>
            <w:tcW w:w="5982"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37019E99" w14:textId="77777777" w:rsidR="00ED0E85" w:rsidRDefault="00ED0E85" w:rsidP="00ED0E85">
            <w:pPr>
              <w:pStyle w:val="TableTextEntries"/>
            </w:pPr>
            <w:r>
              <w:t>Large business annual agreed kVA demand (LV)</w:t>
            </w:r>
          </w:p>
        </w:tc>
      </w:tr>
    </w:tbl>
    <w:p w14:paraId="0C23C7CE" w14:textId="77777777" w:rsidR="00ED0E85" w:rsidRDefault="00ED0E85" w:rsidP="00ED0E85">
      <w:pPr>
        <w:pStyle w:val="Source"/>
        <w:rPr>
          <w:lang w:bidi="fa-IR"/>
        </w:rPr>
      </w:pPr>
      <w:r>
        <w:rPr>
          <w:i/>
          <w:lang w:bidi="fa-IR"/>
        </w:rPr>
        <w:t>Source:</w:t>
      </w:r>
      <w:r>
        <w:rPr>
          <w:lang w:bidi="fa-IR"/>
        </w:rPr>
        <w:t xml:space="preserve"> The CIE, from AER/ERAWA network pricing submissions</w:t>
      </w:r>
    </w:p>
    <w:p w14:paraId="53B4DB5D" w14:textId="6F5EA180" w:rsidR="00ED0E85" w:rsidRDefault="00ED0E85" w:rsidP="00ED0E85">
      <w:pPr>
        <w:pStyle w:val="BodyText"/>
        <w:rPr>
          <w:lang w:bidi="fa-IR"/>
        </w:rPr>
      </w:pPr>
      <w:r>
        <w:rPr>
          <w:lang w:bidi="fa-IR"/>
        </w:rPr>
        <w:t xml:space="preserve">In order to have a comparable measure of prices across states and over time, the different components of prices need to be combined to a single comparable measure. This particularly applies to peak, non-peak and shoulder pricing, which may be charged at different rates. Table </w:t>
      </w:r>
      <w:r>
        <w:rPr>
          <w:lang w:bidi="fa-IR"/>
        </w:rPr>
        <w:fldChar w:fldCharType="begin"/>
      </w:r>
      <w:r>
        <w:rPr>
          <w:lang w:bidi="fa-IR"/>
        </w:rPr>
        <w:instrText xml:space="preserve"> REF _Caption2166 </w:instrText>
      </w:r>
      <w:r>
        <w:rPr>
          <w:lang w:bidi="fa-IR"/>
        </w:rPr>
        <w:fldChar w:fldCharType="separate"/>
      </w:r>
      <w:r w:rsidR="00AD3561">
        <w:rPr>
          <w:noProof/>
        </w:rPr>
        <w:t>B.4</w:t>
      </w:r>
      <w:r>
        <w:rPr>
          <w:lang w:bidi="fa-IR"/>
        </w:rPr>
        <w:fldChar w:fldCharType="end"/>
      </w:r>
      <w:r>
        <w:rPr>
          <w:lang w:bidi="fa-IR"/>
        </w:rPr>
        <w:t xml:space="preserve"> outlines the periods over which prices vary by network, and the weights used to combine different time of use prices into a single measure.</w:t>
      </w:r>
    </w:p>
    <w:p w14:paraId="5C505B18" w14:textId="6035B232" w:rsidR="00ED0E85" w:rsidRDefault="00ED0E85" w:rsidP="00ED0E85">
      <w:pPr>
        <w:pStyle w:val="Caption"/>
      </w:pPr>
      <w:r>
        <w:fldChar w:fldCharType="begin"/>
      </w:r>
      <w:r>
        <w:instrText xml:space="preserve"> IF 1 = 1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B</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instrText xml:space="preserve">." </w:instrText>
      </w:r>
      <w:r>
        <w:fldChar w:fldCharType="end"/>
      </w:r>
      <w:r>
        <w:instrText>" "</w:instrText>
      </w:r>
      <w:r>
        <w:rPr>
          <w:noProof/>
        </w:rPr>
        <w:fldChar w:fldCharType="begin"/>
      </w:r>
      <w:r>
        <w:rPr>
          <w:noProof/>
        </w:rPr>
        <w:instrText xml:space="preserve"> STYLEREF "Heading 6" \l \n </w:instrText>
      </w:r>
      <w:r>
        <w:rPr>
          <w:noProof/>
        </w:rPr>
        <w:fldChar w:fldCharType="separate"/>
      </w:r>
      <w:r w:rsidR="00AD3561">
        <w:rPr>
          <w:noProof/>
        </w:rPr>
        <w:instrText>B</w:instrText>
      </w:r>
      <w:r>
        <w:rPr>
          <w:noProof/>
        </w:rPr>
        <w:fldChar w:fldCharType="end"/>
      </w:r>
      <w:r>
        <w:instrText xml:space="preserve">." </w:instrText>
      </w:r>
      <w:r>
        <w:fldChar w:fldCharType="separate"/>
      </w:r>
      <w:r w:rsidR="00AD3561">
        <w:rPr>
          <w:noProof/>
        </w:rPr>
        <w:instrText>B.</w:instrText>
      </w:r>
      <w:r>
        <w:fldChar w:fldCharType="end"/>
      </w:r>
      <w:r>
        <w:fldChar w:fldCharType="begin"/>
      </w:r>
      <w:r>
        <w:instrText xml:space="preserve"> SEQ Item \* ARABIC \s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B</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instrText xml:space="preserve"> = 0 "" "1" </w:instrText>
      </w:r>
      <w:r>
        <w:fldChar w:fldCharType="end"/>
      </w:r>
      <w:r>
        <w:instrText xml:space="preserve">" "6" </w:instrText>
      </w:r>
      <w:r>
        <w:fldChar w:fldCharType="separate"/>
      </w:r>
      <w:r w:rsidR="00AD3561">
        <w:rPr>
          <w:noProof/>
        </w:rPr>
        <w:instrText>6</w:instrText>
      </w:r>
      <w:r>
        <w:fldChar w:fldCharType="end"/>
      </w:r>
      <w:r>
        <w:instrText xml:space="preserve"> </w:instrText>
      </w:r>
      <w:r>
        <w:fldChar w:fldCharType="separate"/>
      </w:r>
      <w:r w:rsidR="00AD3561">
        <w:rPr>
          <w:noProof/>
        </w:rPr>
        <w:instrText>4</w:instrText>
      </w:r>
      <w:r>
        <w:fldChar w:fldCharType="end"/>
      </w:r>
      <w:r>
        <w:instrText xml:space="preserve">" "" </w:instrText>
      </w:r>
      <w:r>
        <w:fldChar w:fldCharType="separate"/>
      </w:r>
      <w:bookmarkStart w:id="7088" w:name="_Caption3476"/>
      <w:bookmarkStart w:id="7089" w:name="_Caption0453"/>
      <w:bookmarkStart w:id="7090" w:name="_Caption1274"/>
      <w:bookmarkStart w:id="7091" w:name="_Caption9292"/>
      <w:bookmarkStart w:id="7092" w:name="_Caption0531"/>
      <w:bookmarkStart w:id="7093" w:name="_Caption1605"/>
      <w:bookmarkStart w:id="7094" w:name="_Caption0524"/>
      <w:bookmarkStart w:id="7095" w:name="_Caption1927"/>
      <w:bookmarkStart w:id="7096" w:name="_Caption5238"/>
      <w:bookmarkStart w:id="7097" w:name="_Caption3298"/>
      <w:bookmarkStart w:id="7098" w:name="_Caption9453"/>
      <w:bookmarkStart w:id="7099" w:name="_Caption7341"/>
      <w:bookmarkStart w:id="7100" w:name="_Caption7593"/>
      <w:bookmarkStart w:id="7101" w:name="_Caption5920"/>
      <w:bookmarkStart w:id="7102" w:name="_Caption9342"/>
      <w:bookmarkStart w:id="7103" w:name="_Caption6991"/>
      <w:bookmarkStart w:id="7104" w:name="_Caption2740"/>
      <w:bookmarkStart w:id="7105" w:name="_Caption1849"/>
      <w:bookmarkStart w:id="7106" w:name="_Caption2727"/>
      <w:bookmarkStart w:id="7107" w:name="_Caption3622"/>
      <w:bookmarkStart w:id="7108" w:name="_Caption5488"/>
      <w:bookmarkStart w:id="7109" w:name="_Caption0868"/>
      <w:bookmarkStart w:id="7110" w:name="_Caption2014"/>
      <w:bookmarkStart w:id="7111" w:name="_Caption5520"/>
      <w:bookmarkStart w:id="7112" w:name="_Caption1940"/>
      <w:bookmarkStart w:id="7113" w:name="_Caption7032"/>
      <w:bookmarkStart w:id="7114" w:name="_Caption2536"/>
      <w:bookmarkStart w:id="7115" w:name="_Caption5476"/>
      <w:bookmarkStart w:id="7116" w:name="_Caption5678"/>
      <w:bookmarkStart w:id="7117" w:name="_Caption8418"/>
      <w:bookmarkStart w:id="7118" w:name="_Caption3505"/>
      <w:bookmarkStart w:id="7119" w:name="_Caption5997"/>
      <w:bookmarkStart w:id="7120" w:name="_Caption2878"/>
      <w:bookmarkStart w:id="7121" w:name="_Caption9834"/>
      <w:bookmarkStart w:id="7122" w:name="_Caption7382"/>
      <w:bookmarkStart w:id="7123" w:name="_Caption8038"/>
      <w:bookmarkStart w:id="7124" w:name="_Caption2130"/>
      <w:bookmarkStart w:id="7125" w:name="_Caption6000"/>
      <w:bookmarkStart w:id="7126" w:name="_Caption8616"/>
      <w:bookmarkStart w:id="7127" w:name="_Caption9541"/>
      <w:bookmarkStart w:id="7128" w:name="_Caption2500"/>
      <w:bookmarkStart w:id="7129" w:name="_Caption5585"/>
      <w:bookmarkStart w:id="7130" w:name="_Caption4175"/>
      <w:bookmarkStart w:id="7131" w:name="_Caption8827"/>
      <w:bookmarkStart w:id="7132" w:name="_Caption2166"/>
      <w:bookmarkStart w:id="7133" w:name="_Caption4337"/>
      <w:bookmarkStart w:id="7134" w:name="_Caption3258"/>
      <w:bookmarkStart w:id="7135" w:name="_Caption8673"/>
      <w:bookmarkStart w:id="7136" w:name="_Caption0268"/>
      <w:bookmarkStart w:id="7137" w:name="_Caption1241"/>
      <w:bookmarkStart w:id="7138" w:name="_Caption2678"/>
      <w:bookmarkStart w:id="7139" w:name="_Caption8955"/>
      <w:bookmarkStart w:id="7140" w:name="_Caption7711"/>
      <w:bookmarkStart w:id="7141" w:name="_Caption3581"/>
      <w:bookmarkStart w:id="7142" w:name="_Caption6349"/>
      <w:bookmarkStart w:id="7143" w:name="_Caption7638"/>
      <w:bookmarkStart w:id="7144" w:name="_Caption5734"/>
      <w:bookmarkStart w:id="7145" w:name="_Caption0405"/>
      <w:bookmarkStart w:id="7146" w:name="_Caption9116"/>
      <w:bookmarkStart w:id="7147" w:name="_Caption1953"/>
      <w:bookmarkStart w:id="7148" w:name="_Caption8531"/>
      <w:bookmarkStart w:id="7149" w:name="_Caption5834"/>
      <w:bookmarkStart w:id="7150" w:name="_Caption4363"/>
      <w:bookmarkStart w:id="7151" w:name="_Caption4271"/>
      <w:bookmarkStart w:id="7152" w:name="_Caption7681"/>
      <w:bookmarkStart w:id="7153" w:name="_Caption9830"/>
      <w:bookmarkStart w:id="7154" w:name="_Caption1403"/>
      <w:bookmarkStart w:id="7155" w:name="_Caption5755"/>
      <w:bookmarkStart w:id="7156" w:name="_Caption9866"/>
      <w:bookmarkStart w:id="7157" w:name="_Caption5645"/>
      <w:bookmarkStart w:id="7158" w:name="_Caption0856"/>
      <w:bookmarkStart w:id="7159" w:name="_Caption7583"/>
      <w:bookmarkStart w:id="7160" w:name="_Caption1666"/>
      <w:bookmarkStart w:id="7161" w:name="_Caption9338"/>
      <w:bookmarkStart w:id="7162" w:name="_Caption1791"/>
      <w:bookmarkStart w:id="7163" w:name="_Caption9782"/>
      <w:bookmarkStart w:id="7164" w:name="_Caption8996"/>
      <w:bookmarkStart w:id="7165" w:name="_Caption1588"/>
      <w:bookmarkStart w:id="7166" w:name="_Caption5325"/>
      <w:bookmarkStart w:id="7167" w:name="_Caption6102"/>
      <w:bookmarkStart w:id="7168" w:name="_Caption1959"/>
      <w:bookmarkStart w:id="7169" w:name="_Caption4335"/>
      <w:bookmarkStart w:id="7170" w:name="_Caption1902"/>
      <w:bookmarkStart w:id="7171" w:name="_Caption2151"/>
      <w:bookmarkStart w:id="7172" w:name="_Caption2070"/>
      <w:bookmarkStart w:id="7173" w:name="_Caption0874"/>
      <w:bookmarkStart w:id="7174" w:name="_Caption1293"/>
      <w:bookmarkStart w:id="7175" w:name="_Toc19275662"/>
      <w:bookmarkStart w:id="7176" w:name="_Toc19276272"/>
      <w:bookmarkStart w:id="7177" w:name="_Toc19280271"/>
      <w:r w:rsidR="00C353B5">
        <w:rPr>
          <w:noProof/>
        </w:rPr>
        <w:t>B.4</w:t>
      </w:r>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r>
        <w:fldChar w:fldCharType="end"/>
      </w:r>
      <w:r>
        <w:tab/>
        <w:t>Timing weights by network</w:t>
      </w:r>
      <w:bookmarkEnd w:id="7175"/>
      <w:bookmarkEnd w:id="7176"/>
      <w:bookmarkEnd w:id="7177"/>
    </w:p>
    <w:tbl>
      <w:tblPr>
        <w:tblW w:w="8080" w:type="dxa"/>
        <w:tblLook w:val="04A0" w:firstRow="1" w:lastRow="0" w:firstColumn="1" w:lastColumn="0" w:noHBand="0" w:noVBand="1"/>
      </w:tblPr>
      <w:tblGrid>
        <w:gridCol w:w="1017"/>
        <w:gridCol w:w="1110"/>
        <w:gridCol w:w="1134"/>
        <w:gridCol w:w="1134"/>
        <w:gridCol w:w="1417"/>
        <w:gridCol w:w="1134"/>
        <w:gridCol w:w="1134"/>
      </w:tblGrid>
      <w:tr w:rsidR="00ED0E85" w14:paraId="1AF32061" w14:textId="77777777" w:rsidTr="00ED0E85">
        <w:trPr>
          <w:trHeight w:val="288"/>
        </w:trPr>
        <w:tc>
          <w:tcPr>
            <w:tcW w:w="1017" w:type="dxa"/>
            <w:shd w:val="clear" w:color="auto" w:fill="6F6652"/>
            <w:noWrap/>
            <w:tcMar>
              <w:top w:w="0" w:type="dxa"/>
              <w:left w:w="57" w:type="dxa"/>
              <w:bottom w:w="0" w:type="dxa"/>
              <w:right w:w="57" w:type="dxa"/>
            </w:tcMar>
            <w:hideMark/>
          </w:tcPr>
          <w:p w14:paraId="11C39F88" w14:textId="77777777" w:rsidR="00ED0E85" w:rsidRDefault="00ED0E85" w:rsidP="00ED0E85"/>
        </w:tc>
        <w:tc>
          <w:tcPr>
            <w:tcW w:w="1110" w:type="dxa"/>
            <w:shd w:val="clear" w:color="auto" w:fill="6F6652"/>
            <w:noWrap/>
            <w:tcMar>
              <w:top w:w="0" w:type="dxa"/>
              <w:left w:w="57" w:type="dxa"/>
              <w:bottom w:w="0" w:type="dxa"/>
              <w:right w:w="57" w:type="dxa"/>
            </w:tcMar>
            <w:hideMark/>
          </w:tcPr>
          <w:p w14:paraId="18CBE8E5" w14:textId="77777777" w:rsidR="00ED0E85" w:rsidRDefault="00ED0E85" w:rsidP="00ED0E85">
            <w:pPr>
              <w:pStyle w:val="TableDataColumnHeading"/>
            </w:pPr>
            <w:r>
              <w:t>NSW</w:t>
            </w:r>
          </w:p>
        </w:tc>
        <w:tc>
          <w:tcPr>
            <w:tcW w:w="1134" w:type="dxa"/>
            <w:shd w:val="clear" w:color="auto" w:fill="6F6652"/>
            <w:noWrap/>
            <w:tcMar>
              <w:top w:w="0" w:type="dxa"/>
              <w:left w:w="57" w:type="dxa"/>
              <w:bottom w:w="0" w:type="dxa"/>
              <w:right w:w="57" w:type="dxa"/>
            </w:tcMar>
            <w:hideMark/>
          </w:tcPr>
          <w:p w14:paraId="61B24D6A" w14:textId="77777777" w:rsidR="00ED0E85" w:rsidRDefault="00ED0E85" w:rsidP="00ED0E85">
            <w:pPr>
              <w:pStyle w:val="TableDataColumnHeading"/>
            </w:pPr>
            <w:r>
              <w:t>VIC</w:t>
            </w:r>
          </w:p>
        </w:tc>
        <w:tc>
          <w:tcPr>
            <w:tcW w:w="1134" w:type="dxa"/>
            <w:shd w:val="clear" w:color="auto" w:fill="6F6652"/>
            <w:noWrap/>
            <w:tcMar>
              <w:top w:w="0" w:type="dxa"/>
              <w:left w:w="57" w:type="dxa"/>
              <w:bottom w:w="0" w:type="dxa"/>
              <w:right w:w="57" w:type="dxa"/>
            </w:tcMar>
            <w:hideMark/>
          </w:tcPr>
          <w:p w14:paraId="1050CC81" w14:textId="77777777" w:rsidR="00ED0E85" w:rsidRDefault="00ED0E85" w:rsidP="00ED0E85">
            <w:pPr>
              <w:pStyle w:val="TableDataColumnHeading"/>
            </w:pPr>
            <w:r>
              <w:t>QLD</w:t>
            </w:r>
          </w:p>
        </w:tc>
        <w:tc>
          <w:tcPr>
            <w:tcW w:w="1417" w:type="dxa"/>
            <w:shd w:val="clear" w:color="auto" w:fill="6F6652"/>
            <w:noWrap/>
            <w:tcMar>
              <w:top w:w="0" w:type="dxa"/>
              <w:left w:w="57" w:type="dxa"/>
              <w:bottom w:w="0" w:type="dxa"/>
              <w:right w:w="57" w:type="dxa"/>
            </w:tcMar>
            <w:hideMark/>
          </w:tcPr>
          <w:p w14:paraId="06C2210C" w14:textId="77777777" w:rsidR="00ED0E85" w:rsidRDefault="00ED0E85" w:rsidP="00ED0E85">
            <w:pPr>
              <w:pStyle w:val="TableDataColumnHeading"/>
            </w:pPr>
            <w:r>
              <w:t>WA</w:t>
            </w:r>
          </w:p>
        </w:tc>
        <w:tc>
          <w:tcPr>
            <w:tcW w:w="1134" w:type="dxa"/>
            <w:shd w:val="clear" w:color="auto" w:fill="6F6652"/>
            <w:noWrap/>
            <w:tcMar>
              <w:top w:w="0" w:type="dxa"/>
              <w:left w:w="57" w:type="dxa"/>
              <w:bottom w:w="0" w:type="dxa"/>
              <w:right w:w="57" w:type="dxa"/>
            </w:tcMar>
            <w:hideMark/>
          </w:tcPr>
          <w:p w14:paraId="607A74F7" w14:textId="77777777" w:rsidR="00ED0E85" w:rsidRDefault="00ED0E85" w:rsidP="00ED0E85">
            <w:pPr>
              <w:pStyle w:val="TableDataColumnHeading"/>
            </w:pPr>
            <w:r>
              <w:t>TAS</w:t>
            </w:r>
          </w:p>
        </w:tc>
        <w:tc>
          <w:tcPr>
            <w:tcW w:w="1134" w:type="dxa"/>
            <w:shd w:val="clear" w:color="auto" w:fill="6F6652"/>
            <w:noWrap/>
            <w:tcMar>
              <w:top w:w="0" w:type="dxa"/>
              <w:left w:w="57" w:type="dxa"/>
              <w:bottom w:w="0" w:type="dxa"/>
              <w:right w:w="57" w:type="dxa"/>
            </w:tcMar>
            <w:hideMark/>
          </w:tcPr>
          <w:p w14:paraId="54E61CFE" w14:textId="77777777" w:rsidR="00ED0E85" w:rsidRDefault="00ED0E85" w:rsidP="00ED0E85">
            <w:pPr>
              <w:pStyle w:val="TableDataColumnHeading"/>
            </w:pPr>
            <w:r>
              <w:t>SA</w:t>
            </w:r>
          </w:p>
        </w:tc>
      </w:tr>
      <w:tr w:rsidR="00ED0E85" w14:paraId="492CA4C7" w14:textId="77777777" w:rsidTr="00ED0E85">
        <w:trPr>
          <w:trHeight w:val="288"/>
        </w:trPr>
        <w:tc>
          <w:tcPr>
            <w:tcW w:w="1017" w:type="dxa"/>
            <w:tcBorders>
              <w:top w:val="nil"/>
              <w:left w:val="nil"/>
              <w:bottom w:val="single" w:sz="8" w:space="0" w:color="FFFFFF" w:themeColor="background1"/>
              <w:right w:val="nil"/>
            </w:tcBorders>
            <w:noWrap/>
            <w:tcMar>
              <w:top w:w="0" w:type="dxa"/>
              <w:left w:w="57" w:type="dxa"/>
              <w:bottom w:w="0" w:type="dxa"/>
              <w:right w:w="57" w:type="dxa"/>
            </w:tcMar>
            <w:hideMark/>
          </w:tcPr>
          <w:p w14:paraId="7C2DF67C" w14:textId="77777777" w:rsidR="00ED0E85" w:rsidRDefault="00ED0E85" w:rsidP="00ED0E85"/>
        </w:tc>
        <w:tc>
          <w:tcPr>
            <w:tcW w:w="1110" w:type="dxa"/>
            <w:tcBorders>
              <w:top w:val="nil"/>
              <w:left w:val="nil"/>
              <w:bottom w:val="single" w:sz="8" w:space="0" w:color="FFFFFF" w:themeColor="background1"/>
              <w:right w:val="nil"/>
            </w:tcBorders>
            <w:noWrap/>
            <w:tcMar>
              <w:top w:w="0" w:type="dxa"/>
              <w:left w:w="57" w:type="dxa"/>
              <w:bottom w:w="0" w:type="dxa"/>
              <w:right w:w="57" w:type="dxa"/>
            </w:tcMar>
            <w:hideMark/>
          </w:tcPr>
          <w:p w14:paraId="0A55FDAB" w14:textId="77777777" w:rsidR="00ED0E85" w:rsidRDefault="00ED0E85" w:rsidP="00ED0E85">
            <w:pPr>
              <w:pStyle w:val="TableUnit"/>
            </w:pPr>
            <w:r>
              <w:t>Ausgrid</w:t>
            </w:r>
          </w:p>
        </w:tc>
        <w:tc>
          <w:tcPr>
            <w:tcW w:w="1134" w:type="dxa"/>
            <w:tcBorders>
              <w:top w:val="nil"/>
              <w:left w:val="nil"/>
              <w:bottom w:val="single" w:sz="8" w:space="0" w:color="FFFFFF" w:themeColor="background1"/>
              <w:right w:val="nil"/>
            </w:tcBorders>
            <w:noWrap/>
            <w:tcMar>
              <w:top w:w="0" w:type="dxa"/>
              <w:left w:w="57" w:type="dxa"/>
              <w:bottom w:w="0" w:type="dxa"/>
              <w:right w:w="57" w:type="dxa"/>
            </w:tcMar>
            <w:hideMark/>
          </w:tcPr>
          <w:p w14:paraId="1FF13E19" w14:textId="77777777" w:rsidR="00ED0E85" w:rsidRDefault="00ED0E85" w:rsidP="00ED0E85">
            <w:pPr>
              <w:pStyle w:val="TableUnit"/>
            </w:pPr>
            <w:r>
              <w:t>Citipower</w:t>
            </w:r>
          </w:p>
        </w:tc>
        <w:tc>
          <w:tcPr>
            <w:tcW w:w="1134" w:type="dxa"/>
            <w:tcBorders>
              <w:top w:val="nil"/>
              <w:left w:val="nil"/>
              <w:bottom w:val="single" w:sz="8" w:space="0" w:color="FFFFFF" w:themeColor="background1"/>
              <w:right w:val="nil"/>
            </w:tcBorders>
            <w:noWrap/>
            <w:tcMar>
              <w:top w:w="0" w:type="dxa"/>
              <w:left w:w="57" w:type="dxa"/>
              <w:bottom w:w="0" w:type="dxa"/>
              <w:right w:w="57" w:type="dxa"/>
            </w:tcMar>
            <w:hideMark/>
          </w:tcPr>
          <w:p w14:paraId="04E808AC" w14:textId="77777777" w:rsidR="00ED0E85" w:rsidRDefault="00ED0E85" w:rsidP="00ED0E85">
            <w:pPr>
              <w:pStyle w:val="TableUnit"/>
            </w:pPr>
            <w:r>
              <w:t>Energex</w:t>
            </w:r>
          </w:p>
        </w:tc>
        <w:tc>
          <w:tcPr>
            <w:tcW w:w="1417" w:type="dxa"/>
            <w:tcBorders>
              <w:top w:val="nil"/>
              <w:left w:val="nil"/>
              <w:bottom w:val="single" w:sz="8" w:space="0" w:color="FFFFFF" w:themeColor="background1"/>
              <w:right w:val="nil"/>
            </w:tcBorders>
            <w:noWrap/>
            <w:tcMar>
              <w:top w:w="0" w:type="dxa"/>
              <w:left w:w="57" w:type="dxa"/>
              <w:bottom w:w="0" w:type="dxa"/>
              <w:right w:w="57" w:type="dxa"/>
            </w:tcMar>
            <w:hideMark/>
          </w:tcPr>
          <w:p w14:paraId="54A15BD1" w14:textId="77777777" w:rsidR="00ED0E85" w:rsidRDefault="00ED0E85" w:rsidP="00ED0E85">
            <w:pPr>
              <w:pStyle w:val="TableUnit"/>
            </w:pPr>
            <w:r>
              <w:t>WesternPower</w:t>
            </w:r>
          </w:p>
        </w:tc>
        <w:tc>
          <w:tcPr>
            <w:tcW w:w="1134" w:type="dxa"/>
            <w:tcBorders>
              <w:top w:val="nil"/>
              <w:left w:val="nil"/>
              <w:bottom w:val="single" w:sz="8" w:space="0" w:color="FFFFFF" w:themeColor="background1"/>
              <w:right w:val="nil"/>
            </w:tcBorders>
            <w:noWrap/>
            <w:tcMar>
              <w:top w:w="0" w:type="dxa"/>
              <w:left w:w="57" w:type="dxa"/>
              <w:bottom w:w="0" w:type="dxa"/>
              <w:right w:w="57" w:type="dxa"/>
            </w:tcMar>
            <w:hideMark/>
          </w:tcPr>
          <w:p w14:paraId="4D4C36A5" w14:textId="77777777" w:rsidR="00ED0E85" w:rsidRDefault="00ED0E85" w:rsidP="00ED0E85">
            <w:pPr>
              <w:pStyle w:val="TableUnit"/>
            </w:pPr>
            <w:r>
              <w:t>Tasnetworks</w:t>
            </w:r>
          </w:p>
        </w:tc>
        <w:tc>
          <w:tcPr>
            <w:tcW w:w="1134" w:type="dxa"/>
            <w:tcBorders>
              <w:top w:val="nil"/>
              <w:left w:val="nil"/>
              <w:bottom w:val="single" w:sz="8" w:space="0" w:color="FFFFFF" w:themeColor="background1"/>
              <w:right w:val="nil"/>
            </w:tcBorders>
            <w:noWrap/>
            <w:tcMar>
              <w:top w:w="0" w:type="dxa"/>
              <w:left w:w="57" w:type="dxa"/>
              <w:bottom w:w="0" w:type="dxa"/>
              <w:right w:w="57" w:type="dxa"/>
            </w:tcMar>
            <w:hideMark/>
          </w:tcPr>
          <w:p w14:paraId="7FD929FC" w14:textId="77777777" w:rsidR="00ED0E85" w:rsidRDefault="00ED0E85" w:rsidP="00ED0E85">
            <w:pPr>
              <w:pStyle w:val="TableUnit"/>
            </w:pPr>
            <w:r>
              <w:t>Sapower</w:t>
            </w:r>
          </w:p>
        </w:tc>
      </w:tr>
      <w:tr w:rsidR="00ED0E85" w14:paraId="056D15A1" w14:textId="77777777" w:rsidTr="00ED0E85">
        <w:trPr>
          <w:trHeight w:val="288"/>
        </w:trPr>
        <w:tc>
          <w:tcPr>
            <w:tcW w:w="1017"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50BA466D" w14:textId="77777777" w:rsidR="00ED0E85" w:rsidRDefault="00ED0E85" w:rsidP="00ED0E85">
            <w:pPr>
              <w:pStyle w:val="TableUnit"/>
              <w:jc w:val="left"/>
              <w:rPr>
                <w:rFonts w:ascii="Franklin Gothic Demi" w:hAnsi="Franklin Gothic Demi"/>
              </w:rPr>
            </w:pPr>
            <w:r>
              <w:rPr>
                <w:rFonts w:ascii="Franklin Gothic Demi" w:hAnsi="Franklin Gothic Demi"/>
                <w:color w:val="6F6652" w:themeColor="text2"/>
              </w:rPr>
              <w:t>Times</w:t>
            </w:r>
          </w:p>
        </w:tc>
        <w:tc>
          <w:tcPr>
            <w:tcW w:w="1110"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tcPr>
          <w:p w14:paraId="152C9F2A" w14:textId="77777777" w:rsidR="00ED0E85" w:rsidRDefault="00ED0E85" w:rsidP="00ED0E85">
            <w:pPr>
              <w:pStyle w:val="TableUnit"/>
              <w:rPr>
                <w:rFonts w:ascii="Franklin Gothic Demi" w:hAnsi="Franklin Gothic Demi"/>
              </w:rPr>
            </w:pPr>
          </w:p>
        </w:tc>
        <w:tc>
          <w:tcPr>
            <w:tcW w:w="1134"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tcPr>
          <w:p w14:paraId="6BE2C062" w14:textId="77777777" w:rsidR="00ED0E85" w:rsidRDefault="00ED0E85" w:rsidP="00ED0E85">
            <w:pPr>
              <w:pStyle w:val="TableUnit"/>
              <w:rPr>
                <w:rFonts w:ascii="Franklin Gothic Demi" w:hAnsi="Franklin Gothic Demi"/>
              </w:rPr>
            </w:pPr>
          </w:p>
        </w:tc>
        <w:tc>
          <w:tcPr>
            <w:tcW w:w="1134"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tcPr>
          <w:p w14:paraId="74FB5D4B" w14:textId="77777777" w:rsidR="00ED0E85" w:rsidRDefault="00ED0E85" w:rsidP="00ED0E85">
            <w:pPr>
              <w:pStyle w:val="TableUnit"/>
              <w:rPr>
                <w:rFonts w:ascii="Franklin Gothic Demi" w:hAnsi="Franklin Gothic Demi"/>
              </w:rPr>
            </w:pPr>
          </w:p>
        </w:tc>
        <w:tc>
          <w:tcPr>
            <w:tcW w:w="1417"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tcPr>
          <w:p w14:paraId="6A370373" w14:textId="77777777" w:rsidR="00ED0E85" w:rsidRDefault="00ED0E85" w:rsidP="00ED0E85">
            <w:pPr>
              <w:pStyle w:val="TableUnit"/>
              <w:rPr>
                <w:rFonts w:ascii="Franklin Gothic Demi" w:hAnsi="Franklin Gothic Demi"/>
              </w:rPr>
            </w:pPr>
          </w:p>
        </w:tc>
        <w:tc>
          <w:tcPr>
            <w:tcW w:w="1134"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tcPr>
          <w:p w14:paraId="5B8C40B2" w14:textId="77777777" w:rsidR="00ED0E85" w:rsidRDefault="00ED0E85" w:rsidP="00ED0E85">
            <w:pPr>
              <w:pStyle w:val="TableUnit"/>
              <w:rPr>
                <w:rFonts w:ascii="Franklin Gothic Demi" w:hAnsi="Franklin Gothic Demi"/>
              </w:rPr>
            </w:pPr>
          </w:p>
        </w:tc>
        <w:tc>
          <w:tcPr>
            <w:tcW w:w="1134"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tcPr>
          <w:p w14:paraId="2E9AD86A" w14:textId="77777777" w:rsidR="00ED0E85" w:rsidRDefault="00ED0E85" w:rsidP="00ED0E85">
            <w:pPr>
              <w:pStyle w:val="TableUnit"/>
              <w:rPr>
                <w:rFonts w:ascii="Franklin Gothic Demi" w:hAnsi="Franklin Gothic Demi"/>
              </w:rPr>
            </w:pPr>
          </w:p>
        </w:tc>
      </w:tr>
      <w:tr w:rsidR="00ED0E85" w14:paraId="710CBF6F" w14:textId="77777777" w:rsidTr="00ED0E85">
        <w:trPr>
          <w:trHeight w:val="1152"/>
        </w:trPr>
        <w:tc>
          <w:tcPr>
            <w:tcW w:w="101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4E38107" w14:textId="77777777" w:rsidR="00ED0E85" w:rsidRDefault="00ED0E85" w:rsidP="00ED0E85">
            <w:pPr>
              <w:pStyle w:val="TableUnit"/>
              <w:jc w:val="left"/>
            </w:pPr>
            <w:r>
              <w:t>Peak</w:t>
            </w:r>
          </w:p>
        </w:tc>
        <w:tc>
          <w:tcPr>
            <w:tcW w:w="111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6D9C494" w14:textId="77777777" w:rsidR="00ED0E85" w:rsidRDefault="00ED0E85" w:rsidP="00ED0E85">
            <w:pPr>
              <w:pStyle w:val="TableDataEntries"/>
            </w:pPr>
            <w:r>
              <w:t xml:space="preserve">Mon-Friday 2pm-8pm </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B575634" w14:textId="77777777" w:rsidR="00ED0E85" w:rsidRDefault="00ED0E85" w:rsidP="00ED0E85">
            <w:pPr>
              <w:pStyle w:val="TableDataEntries"/>
            </w:pPr>
            <w:r>
              <w:t>Mon-Friday, 7am-11pm</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092ED11" w14:textId="77777777" w:rsidR="00ED0E85" w:rsidRDefault="00ED0E85" w:rsidP="00ED0E85">
            <w:pPr>
              <w:pStyle w:val="TableDataEntries"/>
            </w:pPr>
            <w:r>
              <w:t>Mon-Friday, 7am-9pm</w:t>
            </w:r>
          </w:p>
        </w:tc>
        <w:tc>
          <w:tcPr>
            <w:tcW w:w="141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4F9D9FC2" w14:textId="77777777" w:rsidR="00ED0E85" w:rsidRDefault="00ED0E85" w:rsidP="00ED0E85">
            <w:pPr>
              <w:pStyle w:val="TableDataEntries"/>
            </w:pPr>
            <w:r>
              <w:t>Mon-Friday, 8am-10pm</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D06B59B" w14:textId="77777777" w:rsidR="00ED0E85" w:rsidRDefault="00ED0E85" w:rsidP="00ED0E85">
            <w:pPr>
              <w:pStyle w:val="TableDataEntries"/>
            </w:pPr>
            <w:r>
              <w:t>Mon-Friday, 7am-10pm</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571FD3C" w14:textId="77777777" w:rsidR="00ED0E85" w:rsidRDefault="00ED0E85" w:rsidP="00ED0E85">
            <w:pPr>
              <w:pStyle w:val="TableDataEntries"/>
            </w:pPr>
            <w:r>
              <w:t>Mon - Friday, November to March, 12-9pm</w:t>
            </w:r>
          </w:p>
        </w:tc>
      </w:tr>
      <w:tr w:rsidR="00ED0E85" w14:paraId="6F9F967A" w14:textId="77777777" w:rsidTr="00ED0E85">
        <w:trPr>
          <w:trHeight w:val="864"/>
        </w:trPr>
        <w:tc>
          <w:tcPr>
            <w:tcW w:w="101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11900F6" w14:textId="77777777" w:rsidR="00ED0E85" w:rsidRDefault="00ED0E85" w:rsidP="00ED0E85">
            <w:pPr>
              <w:pStyle w:val="TableUnit"/>
              <w:jc w:val="left"/>
            </w:pPr>
            <w:r>
              <w:t>Shoulder</w:t>
            </w:r>
          </w:p>
        </w:tc>
        <w:tc>
          <w:tcPr>
            <w:tcW w:w="111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074685C2" w14:textId="77777777" w:rsidR="00ED0E85" w:rsidRDefault="00ED0E85" w:rsidP="00ED0E85">
            <w:pPr>
              <w:pStyle w:val="TableDataEntries"/>
            </w:pPr>
            <w:r>
              <w:t>Mon-Friday 7am-2pm, 8pm-10pm, weekend 7am-10pm</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7861348" w14:textId="77777777" w:rsidR="00ED0E85" w:rsidRDefault="00ED0E85" w:rsidP="00ED0E85">
            <w:pPr>
              <w:pStyle w:val="TableDataEntries"/>
            </w:pPr>
            <w:r>
              <w:t>NA</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D9E86A7" w14:textId="77777777" w:rsidR="00ED0E85" w:rsidRDefault="00ED0E85" w:rsidP="00ED0E85">
            <w:pPr>
              <w:pStyle w:val="TableDataEntries"/>
            </w:pPr>
            <w:r>
              <w:t>NA</w:t>
            </w:r>
          </w:p>
        </w:tc>
        <w:tc>
          <w:tcPr>
            <w:tcW w:w="141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35A071CF" w14:textId="77777777" w:rsidR="00ED0E85" w:rsidRDefault="00ED0E85" w:rsidP="00ED0E85">
            <w:pPr>
              <w:pStyle w:val="TableDataEntries"/>
            </w:pPr>
            <w:r>
              <w:t>NA</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673AF46E" w14:textId="77777777" w:rsidR="00ED0E85" w:rsidRDefault="00ED0E85" w:rsidP="00ED0E85">
            <w:pPr>
              <w:pStyle w:val="TableDataEntries"/>
            </w:pPr>
            <w:r>
              <w:t>Weekend, 7am-10pm</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BBFFED2" w14:textId="77777777" w:rsidR="00ED0E85" w:rsidRDefault="00ED0E85" w:rsidP="00ED0E85">
            <w:pPr>
              <w:pStyle w:val="TableDataEntries"/>
            </w:pPr>
            <w:r>
              <w:t>NA</w:t>
            </w:r>
          </w:p>
        </w:tc>
      </w:tr>
      <w:tr w:rsidR="00ED0E85" w14:paraId="2187183D" w14:textId="77777777" w:rsidTr="00ED0E85">
        <w:trPr>
          <w:trHeight w:val="288"/>
        </w:trPr>
        <w:tc>
          <w:tcPr>
            <w:tcW w:w="101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85CBE81" w14:textId="77777777" w:rsidR="00ED0E85" w:rsidRDefault="00ED0E85" w:rsidP="00ED0E85">
            <w:pPr>
              <w:pStyle w:val="TableUnit"/>
              <w:jc w:val="left"/>
            </w:pPr>
            <w:r>
              <w:t>Off-peak</w:t>
            </w:r>
          </w:p>
        </w:tc>
        <w:tc>
          <w:tcPr>
            <w:tcW w:w="1110"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9054230" w14:textId="77777777" w:rsidR="00ED0E85" w:rsidRDefault="00ED0E85" w:rsidP="00ED0E85">
            <w:pPr>
              <w:pStyle w:val="TableDataEntries"/>
            </w:pPr>
            <w:r>
              <w:t>Rest</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9C917C8" w14:textId="77777777" w:rsidR="00ED0E85" w:rsidRDefault="00ED0E85" w:rsidP="00ED0E85">
            <w:pPr>
              <w:pStyle w:val="TableDataEntries"/>
            </w:pPr>
            <w:r>
              <w:t>Rest</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12A246AD" w14:textId="77777777" w:rsidR="00ED0E85" w:rsidRDefault="00ED0E85" w:rsidP="00ED0E85">
            <w:pPr>
              <w:pStyle w:val="TableDataEntries"/>
            </w:pPr>
            <w:r>
              <w:t>Rest</w:t>
            </w:r>
          </w:p>
        </w:tc>
        <w:tc>
          <w:tcPr>
            <w:tcW w:w="1417"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767E075A" w14:textId="77777777" w:rsidR="00ED0E85" w:rsidRDefault="00ED0E85" w:rsidP="00ED0E85">
            <w:pPr>
              <w:pStyle w:val="TableDataEntries"/>
            </w:pPr>
            <w:r>
              <w:t>Rest</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5BED03DA" w14:textId="77777777" w:rsidR="00ED0E85" w:rsidRDefault="00ED0E85" w:rsidP="00ED0E85">
            <w:pPr>
              <w:pStyle w:val="TableDataEntries"/>
            </w:pPr>
            <w:r>
              <w:t>Rest</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tcMar>
              <w:top w:w="0" w:type="dxa"/>
              <w:left w:w="57" w:type="dxa"/>
              <w:bottom w:w="0" w:type="dxa"/>
              <w:right w:w="57" w:type="dxa"/>
            </w:tcMar>
            <w:hideMark/>
          </w:tcPr>
          <w:p w14:paraId="2EB99B49" w14:textId="77777777" w:rsidR="00ED0E85" w:rsidRDefault="00ED0E85" w:rsidP="00ED0E85">
            <w:pPr>
              <w:pStyle w:val="TableDataEntries"/>
            </w:pPr>
            <w:r>
              <w:t>Rest</w:t>
            </w:r>
          </w:p>
        </w:tc>
      </w:tr>
      <w:tr w:rsidR="00ED0E85" w14:paraId="773B2A26" w14:textId="77777777" w:rsidTr="00ED0E85">
        <w:trPr>
          <w:trHeight w:val="288"/>
        </w:trPr>
        <w:tc>
          <w:tcPr>
            <w:tcW w:w="1017" w:type="dxa"/>
            <w:tcBorders>
              <w:top w:val="single" w:sz="8" w:space="0" w:color="FFFFFF" w:themeColor="background1"/>
              <w:left w:val="nil"/>
              <w:bottom w:val="single" w:sz="8" w:space="0" w:color="FFFFFF" w:themeColor="background1"/>
              <w:right w:val="nil"/>
            </w:tcBorders>
            <w:shd w:val="clear" w:color="auto" w:fill="E4E0DA" w:themeFill="text2" w:themeFillTint="33"/>
            <w:noWrap/>
            <w:tcMar>
              <w:top w:w="0" w:type="dxa"/>
              <w:left w:w="57" w:type="dxa"/>
              <w:bottom w:w="0" w:type="dxa"/>
              <w:right w:w="57" w:type="dxa"/>
            </w:tcMar>
            <w:hideMark/>
          </w:tcPr>
          <w:p w14:paraId="56B99208" w14:textId="77777777" w:rsidR="00ED0E85" w:rsidRDefault="00ED0E85" w:rsidP="00ED0E85">
            <w:pPr>
              <w:pStyle w:val="TableUnit"/>
              <w:jc w:val="left"/>
              <w:rPr>
                <w:rFonts w:ascii="Franklin Gothic Demi" w:hAnsi="Franklin Gothic Demi"/>
                <w:color w:val="6F6652" w:themeColor="text2"/>
              </w:rPr>
            </w:pPr>
            <w:r>
              <w:rPr>
                <w:rFonts w:ascii="Franklin Gothic Demi" w:hAnsi="Franklin Gothic Demi"/>
                <w:color w:val="6F6652" w:themeColor="text2"/>
              </w:rPr>
              <w:t>Weights</w:t>
            </w:r>
          </w:p>
        </w:tc>
        <w:tc>
          <w:tcPr>
            <w:tcW w:w="1110"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14:paraId="28242DC0" w14:textId="77777777" w:rsidR="00ED0E85" w:rsidRDefault="00ED0E85" w:rsidP="00ED0E85">
            <w:pPr>
              <w:pStyle w:val="TableDataEntries"/>
              <w:rPr>
                <w:rFonts w:ascii="Franklin Gothic Demi" w:hAnsi="Franklin Gothic Demi"/>
                <w:color w:val="6F6652" w:themeColor="text2"/>
              </w:rPr>
            </w:pPr>
          </w:p>
        </w:tc>
        <w:tc>
          <w:tcPr>
            <w:tcW w:w="1134"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14:paraId="0EFBE75C" w14:textId="77777777" w:rsidR="00ED0E85" w:rsidRDefault="00ED0E85" w:rsidP="00ED0E85">
            <w:pPr>
              <w:pStyle w:val="TableDataEntries"/>
              <w:rPr>
                <w:rFonts w:ascii="Franklin Gothic Demi" w:hAnsi="Franklin Gothic Demi"/>
                <w:color w:val="6F6652" w:themeColor="text2"/>
              </w:rPr>
            </w:pPr>
          </w:p>
        </w:tc>
        <w:tc>
          <w:tcPr>
            <w:tcW w:w="1134"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14:paraId="70E76845" w14:textId="77777777" w:rsidR="00ED0E85" w:rsidRDefault="00ED0E85" w:rsidP="00ED0E85">
            <w:pPr>
              <w:pStyle w:val="TableDataEntries"/>
              <w:rPr>
                <w:rFonts w:ascii="Franklin Gothic Demi" w:hAnsi="Franklin Gothic Demi"/>
                <w:color w:val="6F6652" w:themeColor="text2"/>
              </w:rPr>
            </w:pPr>
          </w:p>
        </w:tc>
        <w:tc>
          <w:tcPr>
            <w:tcW w:w="1417"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14:paraId="78981394" w14:textId="77777777" w:rsidR="00ED0E85" w:rsidRDefault="00ED0E85" w:rsidP="00ED0E85">
            <w:pPr>
              <w:pStyle w:val="TableDataEntries"/>
              <w:rPr>
                <w:rFonts w:ascii="Franklin Gothic Demi" w:hAnsi="Franklin Gothic Demi"/>
                <w:color w:val="6F6652" w:themeColor="text2"/>
              </w:rPr>
            </w:pPr>
          </w:p>
        </w:tc>
        <w:tc>
          <w:tcPr>
            <w:tcW w:w="1134"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14:paraId="7D33FFFC" w14:textId="77777777" w:rsidR="00ED0E85" w:rsidRDefault="00ED0E85" w:rsidP="00ED0E85">
            <w:pPr>
              <w:pStyle w:val="TableDataEntries"/>
              <w:rPr>
                <w:rFonts w:ascii="Franklin Gothic Demi" w:hAnsi="Franklin Gothic Demi"/>
                <w:color w:val="6F6652" w:themeColor="text2"/>
              </w:rPr>
            </w:pPr>
          </w:p>
        </w:tc>
        <w:tc>
          <w:tcPr>
            <w:tcW w:w="1134" w:type="dxa"/>
            <w:tcBorders>
              <w:top w:val="single" w:sz="8" w:space="0" w:color="FFFFFF" w:themeColor="background1"/>
              <w:left w:val="nil"/>
              <w:bottom w:val="single" w:sz="8" w:space="0" w:color="FFFFFF" w:themeColor="background1"/>
              <w:right w:val="nil"/>
            </w:tcBorders>
            <w:shd w:val="clear" w:color="auto" w:fill="E4E0DA" w:themeFill="text2" w:themeFillTint="33"/>
            <w:tcMar>
              <w:top w:w="0" w:type="dxa"/>
              <w:left w:w="57" w:type="dxa"/>
              <w:bottom w:w="0" w:type="dxa"/>
              <w:right w:w="57" w:type="dxa"/>
            </w:tcMar>
          </w:tcPr>
          <w:p w14:paraId="4EF0640D" w14:textId="77777777" w:rsidR="00ED0E85" w:rsidRDefault="00ED0E85" w:rsidP="00ED0E85">
            <w:pPr>
              <w:pStyle w:val="TableDataEntries"/>
              <w:rPr>
                <w:rFonts w:ascii="Franklin Gothic Demi" w:hAnsi="Franklin Gothic Demi"/>
                <w:color w:val="6F6652" w:themeColor="text2"/>
              </w:rPr>
            </w:pPr>
          </w:p>
        </w:tc>
      </w:tr>
      <w:tr w:rsidR="00ED0E85" w14:paraId="3460256B" w14:textId="77777777" w:rsidTr="00ED0E85">
        <w:trPr>
          <w:trHeight w:val="288"/>
        </w:trPr>
        <w:tc>
          <w:tcPr>
            <w:tcW w:w="101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3CCF56F" w14:textId="77777777" w:rsidR="00ED0E85" w:rsidRDefault="00ED0E85" w:rsidP="00ED0E85">
            <w:pPr>
              <w:pStyle w:val="TableUnit"/>
              <w:jc w:val="left"/>
            </w:pPr>
            <w:r>
              <w:t>Peak</w:t>
            </w:r>
          </w:p>
        </w:tc>
        <w:tc>
          <w:tcPr>
            <w:tcW w:w="111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8F06017" w14:textId="77777777" w:rsidR="00ED0E85" w:rsidRDefault="00ED0E85" w:rsidP="00ED0E85">
            <w:pPr>
              <w:pStyle w:val="TableDataEntries"/>
            </w:pPr>
            <w:r>
              <w:t>18.7%</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8A3381C" w14:textId="77777777" w:rsidR="00ED0E85" w:rsidRDefault="00ED0E85" w:rsidP="00ED0E85">
            <w:pPr>
              <w:pStyle w:val="TableDataEntries"/>
            </w:pPr>
            <w:r>
              <w:t>48.3%</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48AC5746" w14:textId="77777777" w:rsidR="00ED0E85" w:rsidRDefault="00ED0E85" w:rsidP="00ED0E85">
            <w:pPr>
              <w:pStyle w:val="TableDataEntries"/>
            </w:pPr>
            <w:r>
              <w:t>45.4%</w:t>
            </w:r>
          </w:p>
        </w:tc>
        <w:tc>
          <w:tcPr>
            <w:tcW w:w="141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69CEEC0" w14:textId="77777777" w:rsidR="00ED0E85" w:rsidRDefault="00ED0E85" w:rsidP="00ED0E85">
            <w:pPr>
              <w:pStyle w:val="TableDataEntries"/>
            </w:pPr>
            <w:r>
              <w:t>43.7%</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D7FF8D2" w14:textId="77777777" w:rsidR="00ED0E85" w:rsidRDefault="00ED0E85" w:rsidP="00ED0E85">
            <w:pPr>
              <w:pStyle w:val="TableDataEntries"/>
            </w:pPr>
            <w:r>
              <w:t>46.9%</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51794530" w14:textId="77777777" w:rsidR="00ED0E85" w:rsidRDefault="00ED0E85" w:rsidP="00ED0E85">
            <w:pPr>
              <w:pStyle w:val="TableDataEntries"/>
            </w:pPr>
            <w:r>
              <w:t>13.3%</w:t>
            </w:r>
          </w:p>
        </w:tc>
      </w:tr>
      <w:tr w:rsidR="00ED0E85" w14:paraId="0D8EA727" w14:textId="77777777" w:rsidTr="00ED0E85">
        <w:trPr>
          <w:trHeight w:val="288"/>
        </w:trPr>
        <w:tc>
          <w:tcPr>
            <w:tcW w:w="101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78851AF" w14:textId="77777777" w:rsidR="00ED0E85" w:rsidRDefault="00ED0E85" w:rsidP="00ED0E85">
            <w:pPr>
              <w:pStyle w:val="TableUnit"/>
              <w:jc w:val="left"/>
            </w:pPr>
            <w:r>
              <w:t>Shoulder</w:t>
            </w:r>
          </w:p>
        </w:tc>
        <w:tc>
          <w:tcPr>
            <w:tcW w:w="1110"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3B2A247" w14:textId="77777777" w:rsidR="00ED0E85" w:rsidRDefault="00ED0E85" w:rsidP="00ED0E85">
            <w:pPr>
              <w:pStyle w:val="TableDataEntries"/>
            </w:pPr>
            <w:r>
              <w:t>34.7%</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70879BA" w14:textId="77777777" w:rsidR="00ED0E85" w:rsidRDefault="00ED0E85" w:rsidP="00ED0E85">
            <w:pPr>
              <w:pStyle w:val="TableDataEntries"/>
            </w:pPr>
            <w:r>
              <w:t>0.0%</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0B3298D5" w14:textId="77777777" w:rsidR="00ED0E85" w:rsidRDefault="00ED0E85" w:rsidP="00ED0E85">
            <w:pPr>
              <w:pStyle w:val="TableDataEntries"/>
            </w:pPr>
            <w:r>
              <w:t>0.0%</w:t>
            </w:r>
          </w:p>
        </w:tc>
        <w:tc>
          <w:tcPr>
            <w:tcW w:w="1417"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F1DE910" w14:textId="77777777" w:rsidR="00ED0E85" w:rsidRDefault="00ED0E85" w:rsidP="00ED0E85">
            <w:pPr>
              <w:pStyle w:val="TableDataEntries"/>
            </w:pPr>
            <w:r>
              <w:t>0.0%</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982E1CE" w14:textId="77777777" w:rsidR="00ED0E85" w:rsidRDefault="00ED0E85" w:rsidP="00ED0E85">
            <w:pPr>
              <w:pStyle w:val="TableDataEntries"/>
            </w:pPr>
            <w:r>
              <w:t>22.2%</w:t>
            </w:r>
          </w:p>
        </w:tc>
        <w:tc>
          <w:tcPr>
            <w:tcW w:w="1134"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1D1D7142" w14:textId="77777777" w:rsidR="00ED0E85" w:rsidRDefault="00ED0E85" w:rsidP="00ED0E85">
            <w:pPr>
              <w:pStyle w:val="TableDataEntries"/>
            </w:pPr>
            <w:r>
              <w:t>0.0%</w:t>
            </w:r>
          </w:p>
        </w:tc>
      </w:tr>
      <w:tr w:rsidR="00ED0E85" w14:paraId="7832B24D" w14:textId="77777777" w:rsidTr="00ED0E85">
        <w:trPr>
          <w:trHeight w:val="288"/>
        </w:trPr>
        <w:tc>
          <w:tcPr>
            <w:tcW w:w="1017"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34AF4328" w14:textId="77777777" w:rsidR="00ED0E85" w:rsidRDefault="00ED0E85" w:rsidP="00ED0E85">
            <w:pPr>
              <w:pStyle w:val="TableUnit"/>
              <w:jc w:val="left"/>
            </w:pPr>
            <w:r>
              <w:t>Off-peak</w:t>
            </w:r>
          </w:p>
        </w:tc>
        <w:tc>
          <w:tcPr>
            <w:tcW w:w="1110"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42B03404" w14:textId="77777777" w:rsidR="00ED0E85" w:rsidRDefault="00ED0E85" w:rsidP="00ED0E85">
            <w:pPr>
              <w:pStyle w:val="TableDataEntries"/>
            </w:pPr>
            <w:r>
              <w:t>46.6%</w:t>
            </w:r>
          </w:p>
        </w:tc>
        <w:tc>
          <w:tcPr>
            <w:tcW w:w="1134"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7CC85929" w14:textId="77777777" w:rsidR="00ED0E85" w:rsidRDefault="00ED0E85" w:rsidP="00ED0E85">
            <w:pPr>
              <w:pStyle w:val="TableDataEntries"/>
            </w:pPr>
            <w:r>
              <w:t>51.7%</w:t>
            </w:r>
          </w:p>
        </w:tc>
        <w:tc>
          <w:tcPr>
            <w:tcW w:w="1134"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2D1186B0" w14:textId="77777777" w:rsidR="00ED0E85" w:rsidRDefault="00ED0E85" w:rsidP="00ED0E85">
            <w:pPr>
              <w:pStyle w:val="TableDataEntries"/>
            </w:pPr>
            <w:r>
              <w:t>54.6%</w:t>
            </w:r>
          </w:p>
        </w:tc>
        <w:tc>
          <w:tcPr>
            <w:tcW w:w="1417"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1468CD1B" w14:textId="77777777" w:rsidR="00ED0E85" w:rsidRDefault="00ED0E85" w:rsidP="00ED0E85">
            <w:pPr>
              <w:pStyle w:val="TableDataEntries"/>
            </w:pPr>
            <w:r>
              <w:t>56.3%</w:t>
            </w:r>
          </w:p>
        </w:tc>
        <w:tc>
          <w:tcPr>
            <w:tcW w:w="1134"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13913D02" w14:textId="77777777" w:rsidR="00ED0E85" w:rsidRDefault="00ED0E85" w:rsidP="00ED0E85">
            <w:pPr>
              <w:pStyle w:val="TableDataEntries"/>
            </w:pPr>
            <w:r>
              <w:t>30.9%</w:t>
            </w:r>
          </w:p>
        </w:tc>
        <w:tc>
          <w:tcPr>
            <w:tcW w:w="1134"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45DE320B" w14:textId="77777777" w:rsidR="00ED0E85" w:rsidRDefault="00ED0E85" w:rsidP="00ED0E85">
            <w:pPr>
              <w:pStyle w:val="TableDataEntries"/>
            </w:pPr>
            <w:r>
              <w:t>86.7%</w:t>
            </w:r>
          </w:p>
        </w:tc>
      </w:tr>
    </w:tbl>
    <w:p w14:paraId="4BEF19CD" w14:textId="77777777" w:rsidR="00ED0E85" w:rsidRDefault="00ED0E85" w:rsidP="00ED0E85">
      <w:pPr>
        <w:pStyle w:val="Source"/>
        <w:rPr>
          <w:lang w:bidi="fa-IR"/>
        </w:rPr>
      </w:pPr>
      <w:r>
        <w:rPr>
          <w:i/>
          <w:lang w:bidi="fa-IR"/>
        </w:rPr>
        <w:t>Source:</w:t>
      </w:r>
      <w:r>
        <w:rPr>
          <w:lang w:bidi="fa-IR"/>
        </w:rPr>
        <w:t xml:space="preserve"> The CIE, based on information from AER price submissions</w:t>
      </w:r>
    </w:p>
    <w:p w14:paraId="2EBDA19E" w14:textId="19FC9DAD" w:rsidR="00ED0E85" w:rsidRDefault="00ED0E85" w:rsidP="00ED0E85">
      <w:pPr>
        <w:pStyle w:val="BodyText"/>
        <w:rPr>
          <w:lang w:eastAsia="en-US" w:bidi="fa-IR"/>
        </w:rPr>
      </w:pPr>
      <w:r>
        <w:rPr>
          <w:lang w:eastAsia="en-US" w:bidi="fa-IR"/>
        </w:rPr>
        <w:t xml:space="preserve">Prices can also be charged in different units, as is the case for maximum demand tariffs, which charge in dollars per kilovolt-ampere (kVA), while other tariffs may charge per kilowatt hour (kWh). Such tariffs might be specified as daily prices or monthly prices. The following factors were used to convert the different products to a dollar per kWh, using a power factor of 1.8 (table </w:t>
      </w:r>
      <w:r>
        <w:rPr>
          <w:lang w:eastAsia="en-US" w:bidi="fa-IR"/>
        </w:rPr>
        <w:fldChar w:fldCharType="begin"/>
      </w:r>
      <w:r>
        <w:rPr>
          <w:lang w:eastAsia="en-US" w:bidi="fa-IR"/>
        </w:rPr>
        <w:instrText xml:space="preserve"> REF _Caption8172 </w:instrText>
      </w:r>
      <w:r>
        <w:rPr>
          <w:lang w:eastAsia="en-US" w:bidi="fa-IR"/>
        </w:rPr>
        <w:fldChar w:fldCharType="separate"/>
      </w:r>
      <w:r w:rsidR="00AD3561">
        <w:rPr>
          <w:noProof/>
        </w:rPr>
        <w:t>B.5</w:t>
      </w:r>
      <w:r>
        <w:rPr>
          <w:lang w:eastAsia="en-US" w:bidi="fa-IR"/>
        </w:rPr>
        <w:fldChar w:fldCharType="end"/>
      </w:r>
      <w:r>
        <w:rPr>
          <w:lang w:eastAsia="en-US" w:bidi="fa-IR"/>
        </w:rPr>
        <w:t>):</w:t>
      </w:r>
    </w:p>
    <w:p w14:paraId="3BEE0390" w14:textId="72855153" w:rsidR="00ED0E85" w:rsidRDefault="00ED0E85" w:rsidP="00ED0E85">
      <w:pPr>
        <w:pStyle w:val="Caption"/>
      </w:pPr>
      <w:r>
        <w:fldChar w:fldCharType="begin"/>
      </w:r>
      <w:r>
        <w:instrText xml:space="preserve"> IF 1 = 1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B</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instrText xml:space="preserve">." </w:instrText>
      </w:r>
      <w:r>
        <w:fldChar w:fldCharType="end"/>
      </w:r>
      <w:r>
        <w:instrText>" "</w:instrText>
      </w:r>
      <w:r>
        <w:rPr>
          <w:noProof/>
        </w:rPr>
        <w:fldChar w:fldCharType="begin"/>
      </w:r>
      <w:r>
        <w:rPr>
          <w:noProof/>
        </w:rPr>
        <w:instrText xml:space="preserve"> STYLEREF "Heading 6" \l \n </w:instrText>
      </w:r>
      <w:r>
        <w:rPr>
          <w:noProof/>
        </w:rPr>
        <w:fldChar w:fldCharType="separate"/>
      </w:r>
      <w:r w:rsidR="00AD3561">
        <w:rPr>
          <w:noProof/>
        </w:rPr>
        <w:instrText>B</w:instrText>
      </w:r>
      <w:r>
        <w:rPr>
          <w:noProof/>
        </w:rPr>
        <w:fldChar w:fldCharType="end"/>
      </w:r>
      <w:r>
        <w:instrText xml:space="preserve">." </w:instrText>
      </w:r>
      <w:r>
        <w:fldChar w:fldCharType="separate"/>
      </w:r>
      <w:r w:rsidR="00AD3561">
        <w:rPr>
          <w:noProof/>
        </w:rPr>
        <w:instrText>B.</w:instrText>
      </w:r>
      <w:r>
        <w:fldChar w:fldCharType="end"/>
      </w:r>
      <w:r>
        <w:fldChar w:fldCharType="begin"/>
      </w:r>
      <w:r>
        <w:instrText xml:space="preserve"> SEQ Item \* ARABIC \s </w:instrText>
      </w:r>
      <w:r>
        <w:fldChar w:fldCharType="begin"/>
      </w:r>
      <w:r>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B</w:instrText>
      </w:r>
      <w:r>
        <w:rPr>
          <w:noProof/>
        </w:rPr>
        <w:fldChar w:fldCharType="end"/>
      </w:r>
      <w:r>
        <w:instrText xml:space="preserve"> = 0 "</w:instrText>
      </w:r>
      <w:r>
        <w:fldChar w:fldCharType="begin"/>
      </w:r>
      <w:r>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instrText xml:space="preserve"> = 0 "" "1" </w:instrText>
      </w:r>
      <w:r>
        <w:fldChar w:fldCharType="end"/>
      </w:r>
      <w:r>
        <w:instrText xml:space="preserve">" "6" </w:instrText>
      </w:r>
      <w:r>
        <w:fldChar w:fldCharType="separate"/>
      </w:r>
      <w:r w:rsidR="00AD3561">
        <w:rPr>
          <w:noProof/>
        </w:rPr>
        <w:instrText>6</w:instrText>
      </w:r>
      <w:r>
        <w:fldChar w:fldCharType="end"/>
      </w:r>
      <w:r>
        <w:instrText xml:space="preserve"> </w:instrText>
      </w:r>
      <w:r>
        <w:fldChar w:fldCharType="separate"/>
      </w:r>
      <w:r w:rsidR="00AD3561">
        <w:rPr>
          <w:noProof/>
        </w:rPr>
        <w:instrText>5</w:instrText>
      </w:r>
      <w:r>
        <w:fldChar w:fldCharType="end"/>
      </w:r>
      <w:r>
        <w:instrText xml:space="preserve">" "" </w:instrText>
      </w:r>
      <w:r>
        <w:fldChar w:fldCharType="separate"/>
      </w:r>
      <w:bookmarkStart w:id="7178" w:name="_Caption2275"/>
      <w:bookmarkStart w:id="7179" w:name="_Caption2939"/>
      <w:bookmarkStart w:id="7180" w:name="_Caption6623"/>
      <w:bookmarkStart w:id="7181" w:name="_Caption0957"/>
      <w:bookmarkStart w:id="7182" w:name="_Caption8063"/>
      <w:bookmarkStart w:id="7183" w:name="_Caption4731"/>
      <w:bookmarkStart w:id="7184" w:name="_Caption7722"/>
      <w:bookmarkStart w:id="7185" w:name="_Caption6148"/>
      <w:bookmarkStart w:id="7186" w:name="_Caption0391"/>
      <w:bookmarkStart w:id="7187" w:name="_Caption4702"/>
      <w:bookmarkStart w:id="7188" w:name="_Caption5010"/>
      <w:bookmarkStart w:id="7189" w:name="_Caption5046"/>
      <w:bookmarkStart w:id="7190" w:name="_Caption0274"/>
      <w:bookmarkStart w:id="7191" w:name="_Caption3083"/>
      <w:bookmarkStart w:id="7192" w:name="_Caption8028"/>
      <w:bookmarkStart w:id="7193" w:name="_Caption0943"/>
      <w:bookmarkStart w:id="7194" w:name="_Caption3718"/>
      <w:bookmarkStart w:id="7195" w:name="_Caption0689"/>
      <w:bookmarkStart w:id="7196" w:name="_Caption8896"/>
      <w:bookmarkStart w:id="7197" w:name="_Caption2063"/>
      <w:bookmarkStart w:id="7198" w:name="_Caption4170"/>
      <w:bookmarkStart w:id="7199" w:name="_Caption1563"/>
      <w:bookmarkStart w:id="7200" w:name="_Caption4084"/>
      <w:bookmarkStart w:id="7201" w:name="_Caption6828"/>
      <w:bookmarkStart w:id="7202" w:name="_Caption0938"/>
      <w:bookmarkStart w:id="7203" w:name="_Caption8339"/>
      <w:bookmarkStart w:id="7204" w:name="_Caption7888"/>
      <w:bookmarkStart w:id="7205" w:name="_Caption4566"/>
      <w:bookmarkStart w:id="7206" w:name="_Caption3475"/>
      <w:bookmarkStart w:id="7207" w:name="_Caption3629"/>
      <w:bookmarkStart w:id="7208" w:name="_Caption1475"/>
      <w:bookmarkStart w:id="7209" w:name="_Caption7617"/>
      <w:bookmarkStart w:id="7210" w:name="_Caption1745"/>
      <w:bookmarkStart w:id="7211" w:name="_Caption1123"/>
      <w:bookmarkStart w:id="7212" w:name="_Caption8101"/>
      <w:bookmarkStart w:id="7213" w:name="_Caption8583"/>
      <w:bookmarkStart w:id="7214" w:name="_Caption5483"/>
      <w:bookmarkStart w:id="7215" w:name="_Caption6962"/>
      <w:bookmarkStart w:id="7216" w:name="_Caption4853"/>
      <w:bookmarkStart w:id="7217" w:name="_Caption0344"/>
      <w:bookmarkStart w:id="7218" w:name="_Caption9374"/>
      <w:bookmarkStart w:id="7219" w:name="_Caption1233"/>
      <w:bookmarkStart w:id="7220" w:name="_Caption6753"/>
      <w:bookmarkStart w:id="7221" w:name="_Caption8172"/>
      <w:bookmarkStart w:id="7222" w:name="_Caption8889"/>
      <w:bookmarkStart w:id="7223" w:name="_Caption2555"/>
      <w:bookmarkStart w:id="7224" w:name="_Caption9960"/>
      <w:bookmarkStart w:id="7225" w:name="_Caption9835"/>
      <w:bookmarkStart w:id="7226" w:name="_Caption4390"/>
      <w:bookmarkStart w:id="7227" w:name="_Caption4373"/>
      <w:bookmarkStart w:id="7228" w:name="_Caption6617"/>
      <w:bookmarkStart w:id="7229" w:name="_Caption5500"/>
      <w:bookmarkStart w:id="7230" w:name="_Caption6755"/>
      <w:bookmarkStart w:id="7231" w:name="_Caption4246"/>
      <w:bookmarkStart w:id="7232" w:name="_Caption7506"/>
      <w:bookmarkStart w:id="7233" w:name="_Caption7117"/>
      <w:bookmarkStart w:id="7234" w:name="_Caption7064"/>
      <w:bookmarkStart w:id="7235" w:name="_Caption2867"/>
      <w:bookmarkStart w:id="7236" w:name="_Caption7876"/>
      <w:bookmarkStart w:id="7237" w:name="_Caption4831"/>
      <w:bookmarkStart w:id="7238" w:name="_Caption6707"/>
      <w:bookmarkStart w:id="7239" w:name="_Caption5381"/>
      <w:bookmarkStart w:id="7240" w:name="_Caption4417"/>
      <w:bookmarkStart w:id="7241" w:name="_Caption7594"/>
      <w:bookmarkStart w:id="7242" w:name="_Caption1695"/>
      <w:bookmarkStart w:id="7243" w:name="_Caption9654"/>
      <w:bookmarkStart w:id="7244" w:name="_Caption4872"/>
      <w:bookmarkStart w:id="7245" w:name="_Caption7023"/>
      <w:bookmarkStart w:id="7246" w:name="_Caption1818"/>
      <w:bookmarkStart w:id="7247" w:name="_Caption9329"/>
      <w:bookmarkStart w:id="7248" w:name="_Caption7339"/>
      <w:bookmarkStart w:id="7249" w:name="_Caption0804"/>
      <w:bookmarkStart w:id="7250" w:name="_Caption1702"/>
      <w:bookmarkStart w:id="7251" w:name="_Caption7469"/>
      <w:bookmarkStart w:id="7252" w:name="_Caption1106"/>
      <w:bookmarkStart w:id="7253" w:name="_Caption0863"/>
      <w:bookmarkStart w:id="7254" w:name="_Caption9219"/>
      <w:bookmarkStart w:id="7255" w:name="_Caption3056"/>
      <w:bookmarkStart w:id="7256" w:name="_Caption2531"/>
      <w:bookmarkStart w:id="7257" w:name="_Caption9687"/>
      <w:bookmarkStart w:id="7258" w:name="_Caption0712"/>
      <w:bookmarkStart w:id="7259" w:name="_Caption3396"/>
      <w:bookmarkStart w:id="7260" w:name="_Caption1326"/>
      <w:bookmarkStart w:id="7261" w:name="_Caption9667"/>
      <w:bookmarkStart w:id="7262" w:name="_Caption3471"/>
      <w:bookmarkStart w:id="7263" w:name="_Toc19275663"/>
      <w:bookmarkStart w:id="7264" w:name="_Toc19276273"/>
      <w:bookmarkStart w:id="7265" w:name="_Toc19280272"/>
      <w:r w:rsidR="00C353B5">
        <w:rPr>
          <w:noProof/>
        </w:rPr>
        <w:t>B.5</w:t>
      </w:r>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r>
        <w:fldChar w:fldCharType="end"/>
      </w:r>
      <w:r>
        <w:tab/>
        <w:t>$/kWh conversion actors</w:t>
      </w:r>
      <w:bookmarkEnd w:id="7263"/>
      <w:bookmarkEnd w:id="7264"/>
      <w:bookmarkEnd w:id="7265"/>
    </w:p>
    <w:tbl>
      <w:tblPr>
        <w:tblW w:w="7937" w:type="dxa"/>
        <w:tblLook w:val="04A0" w:firstRow="1" w:lastRow="0" w:firstColumn="1" w:lastColumn="0" w:noHBand="0" w:noVBand="1"/>
      </w:tblPr>
      <w:tblGrid>
        <w:gridCol w:w="5485"/>
        <w:gridCol w:w="2452"/>
      </w:tblGrid>
      <w:tr w:rsidR="00ED0E85" w14:paraId="31BB26F8" w14:textId="77777777" w:rsidTr="00ED0E85">
        <w:trPr>
          <w:trHeight w:val="288"/>
        </w:trPr>
        <w:tc>
          <w:tcPr>
            <w:tcW w:w="5485"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350B8AFF" w14:textId="77777777" w:rsidR="00ED0E85" w:rsidRDefault="00ED0E85" w:rsidP="00ED0E85">
            <w:pPr>
              <w:pStyle w:val="TableDataColumnHeading"/>
              <w:jc w:val="left"/>
            </w:pPr>
            <w:r>
              <w:t>Conversion unit</w:t>
            </w:r>
          </w:p>
        </w:tc>
        <w:tc>
          <w:tcPr>
            <w:tcW w:w="2452" w:type="dxa"/>
            <w:tcBorders>
              <w:top w:val="nil"/>
              <w:left w:val="nil"/>
              <w:bottom w:val="single" w:sz="8" w:space="0" w:color="FFFFFF" w:themeColor="background1"/>
              <w:right w:val="nil"/>
            </w:tcBorders>
            <w:shd w:val="clear" w:color="auto" w:fill="6F6652"/>
            <w:noWrap/>
            <w:tcMar>
              <w:top w:w="0" w:type="dxa"/>
              <w:left w:w="57" w:type="dxa"/>
              <w:bottom w:w="0" w:type="dxa"/>
              <w:right w:w="57" w:type="dxa"/>
            </w:tcMar>
            <w:hideMark/>
          </w:tcPr>
          <w:p w14:paraId="16E030C1" w14:textId="77777777" w:rsidR="00ED0E85" w:rsidRDefault="00ED0E85" w:rsidP="00ED0E85">
            <w:pPr>
              <w:pStyle w:val="TableDataColumnHeading"/>
            </w:pPr>
            <w:r>
              <w:t>Factor</w:t>
            </w:r>
          </w:p>
        </w:tc>
      </w:tr>
      <w:tr w:rsidR="00ED0E85" w14:paraId="657940E3" w14:textId="77777777" w:rsidTr="00ED0E85">
        <w:trPr>
          <w:trHeight w:val="288"/>
        </w:trPr>
        <w:tc>
          <w:tcPr>
            <w:tcW w:w="54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3D2BD2D" w14:textId="77777777" w:rsidR="00ED0E85" w:rsidRDefault="00ED0E85" w:rsidP="00ED0E85">
            <w:pPr>
              <w:pStyle w:val="TableUnit"/>
              <w:jc w:val="left"/>
            </w:pPr>
            <w:r>
              <w:t>kVA/year</w:t>
            </w:r>
          </w:p>
        </w:tc>
        <w:tc>
          <w:tcPr>
            <w:tcW w:w="245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6B05351" w14:textId="77777777" w:rsidR="00ED0E85" w:rsidRDefault="00ED0E85" w:rsidP="00ED0E85">
            <w:pPr>
              <w:pStyle w:val="TableUnit"/>
            </w:pPr>
            <w:r>
              <w:t>0.000175</w:t>
            </w:r>
          </w:p>
        </w:tc>
      </w:tr>
      <w:tr w:rsidR="00ED0E85" w14:paraId="64122846" w14:textId="77777777" w:rsidTr="00ED0E85">
        <w:trPr>
          <w:trHeight w:val="288"/>
        </w:trPr>
        <w:tc>
          <w:tcPr>
            <w:tcW w:w="54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77BB250B" w14:textId="77777777" w:rsidR="00ED0E85" w:rsidRDefault="00ED0E85" w:rsidP="00ED0E85">
            <w:pPr>
              <w:pStyle w:val="TableDataEntries"/>
              <w:jc w:val="left"/>
            </w:pPr>
            <w:r>
              <w:t>kVA/month</w:t>
            </w:r>
          </w:p>
        </w:tc>
        <w:tc>
          <w:tcPr>
            <w:tcW w:w="245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61891C5E" w14:textId="77777777" w:rsidR="00ED0E85" w:rsidRDefault="00ED0E85" w:rsidP="00ED0E85">
            <w:pPr>
              <w:pStyle w:val="TableDataEntries"/>
            </w:pPr>
            <w:r>
              <w:t>0.002096</w:t>
            </w:r>
          </w:p>
        </w:tc>
      </w:tr>
      <w:tr w:rsidR="00ED0E85" w14:paraId="7ACFD0CB" w14:textId="77777777" w:rsidTr="00ED0E85">
        <w:trPr>
          <w:trHeight w:val="288"/>
        </w:trPr>
        <w:tc>
          <w:tcPr>
            <w:tcW w:w="5485"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279FF560" w14:textId="77777777" w:rsidR="00ED0E85" w:rsidRDefault="00ED0E85" w:rsidP="00ED0E85">
            <w:pPr>
              <w:pStyle w:val="TableDataEntries"/>
              <w:jc w:val="left"/>
            </w:pPr>
            <w:r>
              <w:t>kVA/day</w:t>
            </w:r>
          </w:p>
        </w:tc>
        <w:tc>
          <w:tcPr>
            <w:tcW w:w="2452" w:type="dxa"/>
            <w:tcBorders>
              <w:top w:val="single" w:sz="8" w:space="0" w:color="FFFFFF" w:themeColor="background1"/>
              <w:left w:val="nil"/>
              <w:bottom w:val="single" w:sz="8" w:space="0" w:color="FFFFFF" w:themeColor="background1"/>
              <w:right w:val="nil"/>
            </w:tcBorders>
            <w:shd w:val="clear" w:color="auto" w:fill="E9E8E5" w:themeFill="background2"/>
            <w:noWrap/>
            <w:tcMar>
              <w:top w:w="0" w:type="dxa"/>
              <w:left w:w="57" w:type="dxa"/>
              <w:bottom w:w="0" w:type="dxa"/>
              <w:right w:w="57" w:type="dxa"/>
            </w:tcMar>
            <w:hideMark/>
          </w:tcPr>
          <w:p w14:paraId="3E952596" w14:textId="77777777" w:rsidR="00ED0E85" w:rsidRDefault="00ED0E85" w:rsidP="00ED0E85">
            <w:pPr>
              <w:pStyle w:val="TableDataEntries"/>
            </w:pPr>
            <w:r>
              <w:t>0.06375</w:t>
            </w:r>
          </w:p>
        </w:tc>
      </w:tr>
      <w:tr w:rsidR="00ED0E85" w14:paraId="28144D28" w14:textId="77777777" w:rsidTr="00ED0E85">
        <w:trPr>
          <w:trHeight w:val="288"/>
        </w:trPr>
        <w:tc>
          <w:tcPr>
            <w:tcW w:w="5485"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1189EBC4" w14:textId="77777777" w:rsidR="00ED0E85" w:rsidRDefault="00ED0E85" w:rsidP="00ED0E85">
            <w:pPr>
              <w:pStyle w:val="TableDataEntries"/>
              <w:jc w:val="left"/>
            </w:pPr>
            <w:r>
              <w:t>kw/month</w:t>
            </w:r>
          </w:p>
        </w:tc>
        <w:tc>
          <w:tcPr>
            <w:tcW w:w="2452" w:type="dxa"/>
            <w:tcBorders>
              <w:top w:val="single" w:sz="8" w:space="0" w:color="FFFFFF" w:themeColor="background1"/>
              <w:left w:val="nil"/>
              <w:bottom w:val="single" w:sz="6" w:space="0" w:color="6F6652"/>
              <w:right w:val="nil"/>
            </w:tcBorders>
            <w:shd w:val="clear" w:color="auto" w:fill="E9E8E5" w:themeFill="background2"/>
            <w:noWrap/>
            <w:tcMar>
              <w:top w:w="0" w:type="dxa"/>
              <w:left w:w="57" w:type="dxa"/>
              <w:bottom w:w="0" w:type="dxa"/>
              <w:right w:w="57" w:type="dxa"/>
            </w:tcMar>
            <w:hideMark/>
          </w:tcPr>
          <w:p w14:paraId="732686F5" w14:textId="77777777" w:rsidR="00ED0E85" w:rsidRDefault="00ED0E85" w:rsidP="00ED0E85">
            <w:pPr>
              <w:pStyle w:val="TableDataEntries"/>
            </w:pPr>
            <w:r>
              <w:t>0.002466</w:t>
            </w:r>
          </w:p>
        </w:tc>
      </w:tr>
    </w:tbl>
    <w:p w14:paraId="2DE0BD97" w14:textId="77777777" w:rsidR="00ED0E85" w:rsidRDefault="00ED0E85" w:rsidP="00ED0E85">
      <w:pPr>
        <w:pStyle w:val="Source"/>
        <w:rPr>
          <w:lang w:bidi="fa-IR"/>
        </w:rPr>
      </w:pPr>
      <w:r>
        <w:rPr>
          <w:i/>
          <w:lang w:bidi="fa-IR"/>
        </w:rPr>
        <w:t>Source:</w:t>
      </w:r>
      <w:r>
        <w:rPr>
          <w:lang w:bidi="fa-IR"/>
        </w:rPr>
        <w:t xml:space="preserve"> The CIE</w:t>
      </w:r>
    </w:p>
    <w:p w14:paraId="21D61D54" w14:textId="77777777" w:rsidR="00ED0E85" w:rsidRPr="001C28CB" w:rsidRDefault="00ED0E85" w:rsidP="00ED0E85">
      <w:pPr>
        <w:pStyle w:val="Heading9"/>
        <w:rPr>
          <w:color w:val="6F6652" w:themeColor="accent5"/>
          <w:lang w:eastAsia="en-US" w:bidi="fa-IR"/>
        </w:rPr>
      </w:pPr>
      <w:r w:rsidRPr="001C28CB">
        <w:rPr>
          <w:color w:val="6F6652" w:themeColor="accent5"/>
          <w:lang w:eastAsia="en-US" w:bidi="fa-IR"/>
        </w:rPr>
        <w:t>Commercial electricity price series</w:t>
      </w:r>
    </w:p>
    <w:p w14:paraId="2E2FE054" w14:textId="676388BA" w:rsidR="00ED0E85" w:rsidRDefault="00ED0E85" w:rsidP="00ED0E85">
      <w:pPr>
        <w:pStyle w:val="ListBullet"/>
        <w:rPr>
          <w:lang w:eastAsia="en-US" w:bidi="fa-IR"/>
        </w:rPr>
      </w:pPr>
      <w:r>
        <w:rPr>
          <w:lang w:eastAsia="en-US" w:bidi="fa-IR"/>
        </w:rPr>
        <w:t xml:space="preserve">Using the above method, the following time series for commercial electricity prices were constructed. Prices are in 2018 dollars (using CPI) (chart </w:t>
      </w:r>
      <w:r>
        <w:rPr>
          <w:lang w:eastAsia="en-US" w:bidi="fa-IR"/>
        </w:rPr>
        <w:fldChar w:fldCharType="begin"/>
      </w:r>
      <w:r>
        <w:rPr>
          <w:lang w:eastAsia="en-US" w:bidi="fa-IR"/>
        </w:rPr>
        <w:instrText xml:space="preserve"> REF _Caption9019  \* MERGEFORMAT </w:instrText>
      </w:r>
      <w:r>
        <w:rPr>
          <w:lang w:eastAsia="en-US" w:bidi="fa-IR"/>
        </w:rPr>
        <w:fldChar w:fldCharType="separate"/>
      </w:r>
      <w:r w:rsidR="00AD3561">
        <w:rPr>
          <w:noProof/>
        </w:rPr>
        <w:t>B</w:t>
      </w:r>
      <w:r w:rsidR="00AD3561" w:rsidRPr="00D80AAD">
        <w:rPr>
          <w:noProof/>
        </w:rPr>
        <w:t>.</w:t>
      </w:r>
      <w:r w:rsidR="00AD3561">
        <w:rPr>
          <w:noProof/>
        </w:rPr>
        <w:t>6</w:t>
      </w:r>
      <w:r>
        <w:rPr>
          <w:lang w:eastAsia="en-US" w:bidi="fa-IR"/>
        </w:rPr>
        <w:fldChar w:fldCharType="end"/>
      </w:r>
      <w:r>
        <w:rPr>
          <w:lang w:eastAsia="en-US" w:bidi="fa-IR"/>
        </w:rPr>
        <w:t>).</w:t>
      </w:r>
    </w:p>
    <w:p w14:paraId="7DBDD4EC" w14:textId="77777777" w:rsidR="00ED0E85" w:rsidRDefault="00ED0E85" w:rsidP="00ED0E85">
      <w:pPr>
        <w:pStyle w:val="ListBullet"/>
        <w:rPr>
          <w:lang w:eastAsia="en-US" w:bidi="fa-IR"/>
        </w:rPr>
      </w:pPr>
      <w:r>
        <w:rPr>
          <w:lang w:eastAsia="en-US" w:bidi="fa-IR"/>
        </w:rPr>
        <w:t>Prices have generally increased in real terms. There have been substantial increases in wholesale prices in real terms, particularly in the last two years. However, there have been reductions in network prices over the same period, likely reflecting reductions in the weighted average cost of capital and other key regulatory parameters, as well as shifts to have less revenue collected from variable tariffs and more from fixed supply charges</w:t>
      </w:r>
    </w:p>
    <w:p w14:paraId="769E5CD7" w14:textId="77777777" w:rsidR="00ED0E85" w:rsidRDefault="00ED0E85" w:rsidP="00ED0E85">
      <w:pPr>
        <w:pStyle w:val="ListBullet"/>
        <w:rPr>
          <w:lang w:eastAsia="en-US" w:bidi="fa-IR"/>
        </w:rPr>
      </w:pPr>
      <w:r>
        <w:rPr>
          <w:lang w:eastAsia="en-US" w:bidi="fa-IR"/>
        </w:rPr>
        <w:t xml:space="preserve">Of particular note is the strong fall in electricity prices in NSW leading up to 2016. </w:t>
      </w:r>
    </w:p>
    <w:p w14:paraId="345C8EBB" w14:textId="61642900" w:rsidR="00ED0E85" w:rsidRDefault="00ED0E85" w:rsidP="00ED0E85">
      <w:pPr>
        <w:pStyle w:val="Caption"/>
      </w:pPr>
      <w:r w:rsidRPr="00D80AAD">
        <w:fldChar w:fldCharType="begin"/>
      </w:r>
      <w:r w:rsidRPr="00D80AAD">
        <w:instrText xml:space="preserve"> IF 1 = 1 "</w:instrText>
      </w:r>
      <w:r w:rsidRPr="00D80AAD">
        <w:fldChar w:fldCharType="begin"/>
      </w:r>
      <w:r w:rsidRPr="00D80AAD">
        <w:instrText xml:space="preserve"> IF </w:instrText>
      </w:r>
      <w:r w:rsidRPr="00D80AAD">
        <w:rPr>
          <w:noProof/>
        </w:rPr>
        <w:fldChar w:fldCharType="begin"/>
      </w:r>
      <w:r w:rsidRPr="00D80AAD">
        <w:rPr>
          <w:noProof/>
        </w:rPr>
        <w:instrText xml:space="preserve"> STYLEREF "Heading 6" \l \n </w:instrText>
      </w:r>
      <w:r w:rsidRPr="00D80AAD">
        <w:rPr>
          <w:noProof/>
        </w:rPr>
        <w:fldChar w:fldCharType="separate"/>
      </w:r>
      <w:r w:rsidR="00AD3561">
        <w:rPr>
          <w:noProof/>
        </w:rPr>
        <w:instrText>B</w:instrText>
      </w:r>
      <w:r w:rsidRPr="00D80AAD">
        <w:rPr>
          <w:noProof/>
        </w:rPr>
        <w:fldChar w:fldCharType="end"/>
      </w:r>
      <w:r w:rsidRPr="00D80AAD">
        <w:instrText xml:space="preserve"> = 0 "</w:instrText>
      </w:r>
      <w:r w:rsidRPr="00D80AAD">
        <w:fldChar w:fldCharType="begin"/>
      </w:r>
      <w:r w:rsidRPr="00D80AAD">
        <w:instrText xml:space="preserve"> IF </w:instrText>
      </w:r>
      <w:r w:rsidRPr="00D80AAD">
        <w:rPr>
          <w:noProof/>
        </w:rPr>
        <w:fldChar w:fldCharType="begin"/>
      </w:r>
      <w:r w:rsidRPr="00D80AAD">
        <w:rPr>
          <w:noProof/>
        </w:rPr>
        <w:instrText xml:space="preserve"> STYLEREF "Heading 1" \l \n </w:instrText>
      </w:r>
      <w:r w:rsidRPr="00D80AAD">
        <w:rPr>
          <w:noProof/>
        </w:rPr>
        <w:fldChar w:fldCharType="separate"/>
      </w:r>
      <w:r w:rsidRPr="00D80AAD">
        <w:rPr>
          <w:noProof/>
        </w:rPr>
        <w:instrText>0</w:instrText>
      </w:r>
      <w:r w:rsidRPr="00D80AAD">
        <w:rPr>
          <w:noProof/>
        </w:rPr>
        <w:fldChar w:fldCharType="end"/>
      </w:r>
      <w:r w:rsidRPr="00D80AAD">
        <w:instrText xml:space="preserve"> = 0 "" "</w:instrText>
      </w:r>
      <w:r w:rsidRPr="00D80AAD">
        <w:fldChar w:fldCharType="begin"/>
      </w:r>
      <w:r w:rsidRPr="00D80AAD">
        <w:instrText xml:space="preserve"> STYLEREF "Heading 1" \l \n </w:instrText>
      </w:r>
      <w:r w:rsidRPr="00D80AAD">
        <w:fldChar w:fldCharType="separate"/>
      </w:r>
      <w:r w:rsidRPr="00D80AAD">
        <w:rPr>
          <w:b/>
          <w:bCs/>
          <w:noProof/>
          <w:lang w:val="en-US"/>
        </w:rPr>
        <w:instrText>Error! No text of specified style in document.</w:instrText>
      </w:r>
      <w:r w:rsidRPr="00D80AAD">
        <w:rPr>
          <w:noProof/>
        </w:rPr>
        <w:fldChar w:fldCharType="end"/>
      </w:r>
      <w:r w:rsidRPr="00D80AAD">
        <w:instrText xml:space="preserve">." </w:instrText>
      </w:r>
      <w:r w:rsidRPr="00D80AAD">
        <w:fldChar w:fldCharType="end"/>
      </w:r>
      <w:r w:rsidRPr="00D80AAD">
        <w:instrText>" "</w:instrText>
      </w:r>
      <w:r w:rsidRPr="00D80AAD">
        <w:rPr>
          <w:noProof/>
        </w:rPr>
        <w:fldChar w:fldCharType="begin"/>
      </w:r>
      <w:r w:rsidRPr="00D80AAD">
        <w:rPr>
          <w:noProof/>
        </w:rPr>
        <w:instrText xml:space="preserve"> STYLEREF "Heading 6" \l \n </w:instrText>
      </w:r>
      <w:r w:rsidRPr="00D80AAD">
        <w:rPr>
          <w:noProof/>
        </w:rPr>
        <w:fldChar w:fldCharType="separate"/>
      </w:r>
      <w:r w:rsidR="00AD3561">
        <w:rPr>
          <w:noProof/>
        </w:rPr>
        <w:instrText>B</w:instrText>
      </w:r>
      <w:r w:rsidRPr="00D80AAD">
        <w:rPr>
          <w:noProof/>
        </w:rPr>
        <w:fldChar w:fldCharType="end"/>
      </w:r>
      <w:r w:rsidRPr="00D80AAD">
        <w:instrText xml:space="preserve">." </w:instrText>
      </w:r>
      <w:r w:rsidRPr="00D80AAD">
        <w:fldChar w:fldCharType="separate"/>
      </w:r>
      <w:r w:rsidR="00AD3561">
        <w:rPr>
          <w:noProof/>
        </w:rPr>
        <w:instrText>B</w:instrText>
      </w:r>
      <w:r w:rsidR="00AD3561" w:rsidRPr="00D80AAD">
        <w:rPr>
          <w:noProof/>
        </w:rPr>
        <w:instrText>.</w:instrText>
      </w:r>
      <w:r w:rsidRPr="00D80AAD">
        <w:fldChar w:fldCharType="end"/>
      </w:r>
      <w:r w:rsidRPr="00D80AAD">
        <w:fldChar w:fldCharType="begin"/>
      </w:r>
      <w:r w:rsidRPr="00D80AAD">
        <w:instrText xml:space="preserve"> SEQ Item \* ARABIC \s </w:instrText>
      </w:r>
      <w:r w:rsidRPr="00D80AAD">
        <w:fldChar w:fldCharType="begin"/>
      </w:r>
      <w:r w:rsidRPr="00D80AAD">
        <w:instrText xml:space="preserve"> IF </w:instrText>
      </w:r>
      <w:r w:rsidRPr="00D80AAD">
        <w:rPr>
          <w:noProof/>
        </w:rPr>
        <w:fldChar w:fldCharType="begin"/>
      </w:r>
      <w:r w:rsidRPr="00D80AAD">
        <w:rPr>
          <w:noProof/>
        </w:rPr>
        <w:instrText xml:space="preserve"> STYLEREF "Heading 6" \l \n </w:instrText>
      </w:r>
      <w:r w:rsidRPr="00D80AAD">
        <w:rPr>
          <w:noProof/>
        </w:rPr>
        <w:fldChar w:fldCharType="separate"/>
      </w:r>
      <w:r w:rsidR="00AD3561">
        <w:rPr>
          <w:noProof/>
        </w:rPr>
        <w:instrText>B</w:instrText>
      </w:r>
      <w:r w:rsidRPr="00D80AAD">
        <w:rPr>
          <w:noProof/>
        </w:rPr>
        <w:fldChar w:fldCharType="end"/>
      </w:r>
      <w:r w:rsidRPr="00D80AAD">
        <w:instrText xml:space="preserve"> = 0 "</w:instrText>
      </w:r>
      <w:r w:rsidRPr="00D80AAD">
        <w:fldChar w:fldCharType="begin"/>
      </w:r>
      <w:r w:rsidRPr="00D80AAD">
        <w:instrText xml:space="preserve"> IF </w:instrText>
      </w:r>
      <w:r w:rsidRPr="00D80AAD">
        <w:rPr>
          <w:noProof/>
        </w:rPr>
        <w:fldChar w:fldCharType="begin"/>
      </w:r>
      <w:r w:rsidRPr="00D80AAD">
        <w:rPr>
          <w:noProof/>
        </w:rPr>
        <w:instrText xml:space="preserve"> STYLEREF "Heading 1" \l \n </w:instrText>
      </w:r>
      <w:r w:rsidRPr="00D80AAD">
        <w:rPr>
          <w:noProof/>
        </w:rPr>
        <w:fldChar w:fldCharType="separate"/>
      </w:r>
      <w:r w:rsidRPr="00D80AAD">
        <w:rPr>
          <w:noProof/>
        </w:rPr>
        <w:instrText>0</w:instrText>
      </w:r>
      <w:r w:rsidRPr="00D80AAD">
        <w:rPr>
          <w:noProof/>
        </w:rPr>
        <w:fldChar w:fldCharType="end"/>
      </w:r>
      <w:r w:rsidRPr="00D80AAD">
        <w:instrText xml:space="preserve"> = 0 "" "1" </w:instrText>
      </w:r>
      <w:r w:rsidRPr="00D80AAD">
        <w:fldChar w:fldCharType="end"/>
      </w:r>
      <w:r w:rsidRPr="00D80AAD">
        <w:instrText xml:space="preserve">" "6" </w:instrText>
      </w:r>
      <w:r w:rsidRPr="00D80AAD">
        <w:fldChar w:fldCharType="separate"/>
      </w:r>
      <w:r w:rsidR="00AD3561" w:rsidRPr="00D80AAD">
        <w:rPr>
          <w:noProof/>
        </w:rPr>
        <w:instrText>6</w:instrText>
      </w:r>
      <w:r w:rsidRPr="00D80AAD">
        <w:fldChar w:fldCharType="end"/>
      </w:r>
      <w:r w:rsidRPr="00D80AAD">
        <w:instrText xml:space="preserve"> </w:instrText>
      </w:r>
      <w:r w:rsidRPr="00D80AAD">
        <w:fldChar w:fldCharType="separate"/>
      </w:r>
      <w:r w:rsidR="00AD3561">
        <w:rPr>
          <w:noProof/>
        </w:rPr>
        <w:instrText>6</w:instrText>
      </w:r>
      <w:r w:rsidRPr="00D80AAD">
        <w:fldChar w:fldCharType="end"/>
      </w:r>
      <w:r w:rsidRPr="00D80AAD">
        <w:instrText xml:space="preserve">" "" </w:instrText>
      </w:r>
      <w:r w:rsidRPr="00D80AAD">
        <w:fldChar w:fldCharType="separate"/>
      </w:r>
      <w:bookmarkStart w:id="7266" w:name="_Caption7843"/>
      <w:bookmarkStart w:id="7267" w:name="_Caption5811"/>
      <w:bookmarkStart w:id="7268" w:name="_Caption7757"/>
      <w:bookmarkStart w:id="7269" w:name="_Caption6578"/>
      <w:bookmarkStart w:id="7270" w:name="_Caption8972"/>
      <w:bookmarkStart w:id="7271" w:name="_Caption9044"/>
      <w:bookmarkStart w:id="7272" w:name="_Caption9896"/>
      <w:bookmarkStart w:id="7273" w:name="_Caption3134"/>
      <w:bookmarkStart w:id="7274" w:name="_Caption7238"/>
      <w:bookmarkStart w:id="7275" w:name="_Caption7453"/>
      <w:bookmarkStart w:id="7276" w:name="_Caption8881"/>
      <w:bookmarkStart w:id="7277" w:name="_Caption0490"/>
      <w:bookmarkStart w:id="7278" w:name="_Caption8164"/>
      <w:bookmarkStart w:id="7279" w:name="_Caption4324"/>
      <w:bookmarkStart w:id="7280" w:name="_Caption4463"/>
      <w:bookmarkStart w:id="7281" w:name="_Caption6431"/>
      <w:bookmarkStart w:id="7282" w:name="_Caption1582"/>
      <w:bookmarkStart w:id="7283" w:name="_Caption1303"/>
      <w:bookmarkStart w:id="7284" w:name="_Caption2421"/>
      <w:bookmarkStart w:id="7285" w:name="_Caption6630"/>
      <w:bookmarkStart w:id="7286" w:name="_Caption1967"/>
      <w:bookmarkStart w:id="7287" w:name="_Caption5087"/>
      <w:bookmarkStart w:id="7288" w:name="_Caption4596"/>
      <w:bookmarkStart w:id="7289" w:name="_Caption8217"/>
      <w:bookmarkStart w:id="7290" w:name="_Caption9616"/>
      <w:bookmarkStart w:id="7291" w:name="_Caption4962"/>
      <w:bookmarkStart w:id="7292" w:name="_Caption1067"/>
      <w:bookmarkStart w:id="7293" w:name="_Caption7918"/>
      <w:bookmarkStart w:id="7294" w:name="_Caption7427"/>
      <w:bookmarkStart w:id="7295" w:name="_Caption8782"/>
      <w:bookmarkStart w:id="7296" w:name="_Caption7564"/>
      <w:bookmarkStart w:id="7297" w:name="_Caption8232"/>
      <w:bookmarkStart w:id="7298" w:name="_Caption7351"/>
      <w:bookmarkStart w:id="7299" w:name="_Caption3101"/>
      <w:bookmarkStart w:id="7300" w:name="_Caption7191"/>
      <w:bookmarkStart w:id="7301" w:name="_Caption0226"/>
      <w:bookmarkStart w:id="7302" w:name="_Caption1343"/>
      <w:bookmarkStart w:id="7303" w:name="_Caption1422"/>
      <w:bookmarkStart w:id="7304" w:name="_Caption8470"/>
      <w:bookmarkStart w:id="7305" w:name="_Caption3060"/>
      <w:bookmarkStart w:id="7306" w:name="_Caption3433"/>
      <w:bookmarkStart w:id="7307" w:name="_Caption4585"/>
      <w:bookmarkStart w:id="7308" w:name="_Caption9019"/>
      <w:bookmarkStart w:id="7309" w:name="_Caption0761"/>
      <w:bookmarkStart w:id="7310" w:name="_Caption7735"/>
      <w:bookmarkStart w:id="7311" w:name="_Caption0102"/>
      <w:bookmarkStart w:id="7312" w:name="_Caption9585"/>
      <w:bookmarkStart w:id="7313" w:name="_Caption7465"/>
      <w:bookmarkStart w:id="7314" w:name="_Caption5275"/>
      <w:bookmarkStart w:id="7315" w:name="_Caption0611"/>
      <w:bookmarkStart w:id="7316" w:name="_Caption5352"/>
      <w:bookmarkStart w:id="7317" w:name="_Caption3266"/>
      <w:bookmarkStart w:id="7318" w:name="_Caption8020"/>
      <w:bookmarkStart w:id="7319" w:name="_Caption1868"/>
      <w:bookmarkStart w:id="7320" w:name="_Caption9079"/>
      <w:bookmarkStart w:id="7321" w:name="_Caption2390"/>
      <w:bookmarkStart w:id="7322" w:name="_Caption4368"/>
      <w:bookmarkStart w:id="7323" w:name="_Caption6196"/>
      <w:bookmarkStart w:id="7324" w:name="_Caption4007"/>
      <w:bookmarkStart w:id="7325" w:name="_Caption5272"/>
      <w:bookmarkStart w:id="7326" w:name="_Caption0465"/>
      <w:bookmarkStart w:id="7327" w:name="_Caption9384"/>
      <w:bookmarkStart w:id="7328" w:name="_Caption0729"/>
      <w:bookmarkStart w:id="7329" w:name="_Caption0041"/>
      <w:bookmarkStart w:id="7330" w:name="_Caption0439"/>
      <w:bookmarkStart w:id="7331" w:name="_Caption4467"/>
      <w:bookmarkStart w:id="7332" w:name="_Caption6885"/>
      <w:bookmarkStart w:id="7333" w:name="_Caption1042"/>
      <w:bookmarkStart w:id="7334" w:name="_Caption7970"/>
      <w:bookmarkStart w:id="7335" w:name="_Caption6956"/>
      <w:bookmarkStart w:id="7336" w:name="_Caption8934"/>
      <w:bookmarkStart w:id="7337" w:name="_Caption5336"/>
      <w:bookmarkStart w:id="7338" w:name="_Caption6256"/>
      <w:bookmarkStart w:id="7339" w:name="_Caption2748"/>
      <w:bookmarkStart w:id="7340" w:name="_Caption4165"/>
      <w:bookmarkStart w:id="7341" w:name="_Caption8615"/>
      <w:bookmarkStart w:id="7342" w:name="_Caption8355"/>
      <w:bookmarkStart w:id="7343" w:name="_Caption8085"/>
      <w:bookmarkStart w:id="7344" w:name="_Caption3532"/>
      <w:bookmarkStart w:id="7345" w:name="_Caption8128"/>
      <w:bookmarkStart w:id="7346" w:name="_Caption3518"/>
      <w:bookmarkStart w:id="7347" w:name="_Caption3330"/>
      <w:bookmarkStart w:id="7348" w:name="_Caption8628"/>
      <w:bookmarkStart w:id="7349" w:name="_Caption6249"/>
      <w:bookmarkStart w:id="7350" w:name="_Caption8014"/>
      <w:bookmarkStart w:id="7351" w:name="_Caption3244"/>
      <w:bookmarkStart w:id="7352" w:name="_Caption3110"/>
      <w:bookmarkStart w:id="7353" w:name="_Toc19275664"/>
      <w:bookmarkStart w:id="7354" w:name="_Toc19276274"/>
      <w:bookmarkStart w:id="7355" w:name="_Toc19280273"/>
      <w:r w:rsidR="00C353B5">
        <w:rPr>
          <w:noProof/>
        </w:rPr>
        <w:t>B</w:t>
      </w:r>
      <w:r w:rsidR="00C353B5" w:rsidRPr="00D80AAD">
        <w:rPr>
          <w:noProof/>
        </w:rPr>
        <w:t>.</w:t>
      </w:r>
      <w:r w:rsidR="00C353B5">
        <w:rPr>
          <w:noProof/>
        </w:rPr>
        <w:t>6</w:t>
      </w:r>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r w:rsidRPr="00D80AAD">
        <w:fldChar w:fldCharType="end"/>
      </w:r>
      <w:r w:rsidRPr="00D80AAD">
        <w:tab/>
        <w:t>Commercial electricity prices (real)</w:t>
      </w:r>
      <w:bookmarkEnd w:id="7353"/>
      <w:bookmarkEnd w:id="7354"/>
      <w:bookmarkEnd w:id="7355"/>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ED0E85" w14:paraId="6A9CA142" w14:textId="77777777" w:rsidTr="00ED0E85">
        <w:trPr>
          <w:cantSplit/>
        </w:trPr>
        <w:tc>
          <w:tcPr>
            <w:tcW w:w="7938" w:type="dxa"/>
            <w:shd w:val="clear" w:color="auto" w:fill="E9E8E5" w:themeFill="background2"/>
            <w:hideMark/>
          </w:tcPr>
          <w:p w14:paraId="5DDC61B1" w14:textId="77777777" w:rsidR="00ED0E85" w:rsidRDefault="00ED0E85" w:rsidP="00ED0E85">
            <w:pPr>
              <w:pStyle w:val="Chart"/>
              <w:spacing w:after="60"/>
              <w:jc w:val="center"/>
            </w:pPr>
            <w:r w:rsidRPr="00D80AAD">
              <w:rPr>
                <w:noProof/>
                <w:lang w:eastAsia="en-AU"/>
              </w:rPr>
              <w:drawing>
                <wp:inline distT="0" distB="0" distL="0" distR="0" wp14:anchorId="2C45524F" wp14:editId="7A736F39">
                  <wp:extent cx="4876800" cy="25336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876800" cy="2533650"/>
                          </a:xfrm>
                          <a:prstGeom prst="rect">
                            <a:avLst/>
                          </a:prstGeom>
                          <a:noFill/>
                          <a:ln>
                            <a:noFill/>
                          </a:ln>
                        </pic:spPr>
                      </pic:pic>
                    </a:graphicData>
                  </a:graphic>
                </wp:inline>
              </w:drawing>
            </w:r>
          </w:p>
        </w:tc>
      </w:tr>
    </w:tbl>
    <w:p w14:paraId="15E358A4" w14:textId="77777777" w:rsidR="00ED0E85" w:rsidRDefault="00ED0E85" w:rsidP="00ED0E85">
      <w:pPr>
        <w:pStyle w:val="Note"/>
      </w:pPr>
      <w:r>
        <w:rPr>
          <w:i/>
        </w:rPr>
        <w:t xml:space="preserve">Note: Some states have incomplete data </w:t>
      </w:r>
    </w:p>
    <w:p w14:paraId="4DCC4220" w14:textId="77777777" w:rsidR="00ED0E85" w:rsidRDefault="00ED0E85" w:rsidP="00ED0E85">
      <w:pPr>
        <w:pStyle w:val="Source"/>
      </w:pPr>
      <w:r>
        <w:rPr>
          <w:i/>
        </w:rPr>
        <w:t>Data source:</w:t>
      </w:r>
      <w:r>
        <w:t xml:space="preserve"> The CIE.</w:t>
      </w:r>
    </w:p>
    <w:p w14:paraId="3011A875" w14:textId="13238916" w:rsidR="00ED0E85" w:rsidRDefault="00ED0E85" w:rsidP="00ED0E85">
      <w:pPr>
        <w:pStyle w:val="BodyText"/>
        <w:rPr>
          <w:lang w:eastAsia="en-US"/>
        </w:rPr>
      </w:pPr>
      <w:r>
        <w:rPr>
          <w:lang w:eastAsia="en-US"/>
        </w:rPr>
        <w:t>Note that for reference, the nominal wholesale costs used are shown in chart </w:t>
      </w:r>
      <w:r>
        <w:rPr>
          <w:lang w:eastAsia="en-US"/>
        </w:rPr>
        <w:fldChar w:fldCharType="begin"/>
      </w:r>
      <w:r>
        <w:rPr>
          <w:lang w:eastAsia="en-US"/>
        </w:rPr>
        <w:instrText xml:space="preserve"> REF _Caption4842 </w:instrText>
      </w:r>
      <w:r>
        <w:rPr>
          <w:lang w:eastAsia="en-US"/>
        </w:rPr>
        <w:fldChar w:fldCharType="separate"/>
      </w:r>
      <w:r w:rsidR="00AD3561">
        <w:rPr>
          <w:noProof/>
        </w:rPr>
        <w:t>B</w:t>
      </w:r>
      <w:r w:rsidR="00AD3561" w:rsidRPr="00695C93">
        <w:rPr>
          <w:noProof/>
        </w:rPr>
        <w:t>.</w:t>
      </w:r>
      <w:r w:rsidR="00AD3561">
        <w:rPr>
          <w:noProof/>
        </w:rPr>
        <w:t>7</w:t>
      </w:r>
      <w:r>
        <w:rPr>
          <w:lang w:eastAsia="en-US"/>
        </w:rPr>
        <w:fldChar w:fldCharType="end"/>
      </w:r>
      <w:r>
        <w:rPr>
          <w:lang w:eastAsia="en-US"/>
        </w:rPr>
        <w:t>.</w:t>
      </w:r>
    </w:p>
    <w:p w14:paraId="30785A62" w14:textId="4766E197"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B</w:instrText>
      </w:r>
      <w:r>
        <w:rPr>
          <w:noProof/>
        </w:rPr>
        <w:fldChar w:fldCharType="end"/>
      </w:r>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w:instrText>
      </w:r>
      <w:r w:rsidRPr="00695C93">
        <w:fldChar w:fldCharType="separate"/>
      </w:r>
      <w:r>
        <w:rPr>
          <w:b/>
          <w:bCs/>
          <w:noProof/>
          <w:lang w:val="en-US"/>
        </w:rPr>
        <w:instrText>Error! No text of specified style in document.</w:instrText>
      </w:r>
      <w:r w:rsidRPr="00695C93">
        <w:rPr>
          <w:noProof/>
        </w:rPr>
        <w:instrText>.</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sidR="00AD3561">
        <w:rPr>
          <w:noProof/>
        </w:rPr>
        <w:instrText>B</w:instrText>
      </w:r>
      <w:r>
        <w:rPr>
          <w:noProof/>
        </w:rPr>
        <w:fldChar w:fldCharType="end"/>
      </w:r>
      <w:r w:rsidRPr="00695C93">
        <w:instrText xml:space="preserve">." </w:instrText>
      </w:r>
      <w:r w:rsidRPr="00695C93">
        <w:fldChar w:fldCharType="separate"/>
      </w:r>
      <w:r w:rsidR="00AD3561">
        <w:rPr>
          <w:noProof/>
        </w:rPr>
        <w:instrText>B</w:instrText>
      </w:r>
      <w:r w:rsidR="00AD356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B</w:instrText>
      </w:r>
      <w:r>
        <w:rPr>
          <w:noProof/>
        </w:rPr>
        <w:fldChar w:fldCharType="end"/>
      </w:r>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AD3561" w:rsidRPr="00695C93">
        <w:rPr>
          <w:noProof/>
        </w:rPr>
        <w:instrText>6</w:instrText>
      </w:r>
      <w:r w:rsidRPr="00695C93">
        <w:fldChar w:fldCharType="end"/>
      </w:r>
      <w:r w:rsidRPr="00695C93">
        <w:instrText xml:space="preserve"> </w:instrText>
      </w:r>
      <w:r w:rsidRPr="00695C93">
        <w:fldChar w:fldCharType="separate"/>
      </w:r>
      <w:r w:rsidR="00AD3561">
        <w:rPr>
          <w:noProof/>
        </w:rPr>
        <w:instrText>7</w:instrText>
      </w:r>
      <w:r w:rsidRPr="00695C93">
        <w:fldChar w:fldCharType="end"/>
      </w:r>
      <w:r w:rsidRPr="00695C93">
        <w:instrText xml:space="preserve">" "" </w:instrText>
      </w:r>
      <w:r w:rsidRPr="00695C93">
        <w:fldChar w:fldCharType="separate"/>
      </w:r>
      <w:bookmarkStart w:id="7356" w:name="_Caption6200"/>
      <w:bookmarkStart w:id="7357" w:name="_Caption0941"/>
      <w:bookmarkStart w:id="7358" w:name="_Caption9253"/>
      <w:bookmarkStart w:id="7359" w:name="_Caption3434"/>
      <w:bookmarkStart w:id="7360" w:name="_Caption3525"/>
      <w:bookmarkStart w:id="7361" w:name="_Caption8484"/>
      <w:bookmarkStart w:id="7362" w:name="_Caption8054"/>
      <w:bookmarkStart w:id="7363" w:name="_Caption1212"/>
      <w:bookmarkStart w:id="7364" w:name="_Caption3367"/>
      <w:bookmarkStart w:id="7365" w:name="_Caption1232"/>
      <w:bookmarkStart w:id="7366" w:name="_Caption8134"/>
      <w:bookmarkStart w:id="7367" w:name="_Caption3721"/>
      <w:bookmarkStart w:id="7368" w:name="_Caption7630"/>
      <w:bookmarkStart w:id="7369" w:name="_Caption9024"/>
      <w:bookmarkStart w:id="7370" w:name="_Caption7814"/>
      <w:bookmarkStart w:id="7371" w:name="_Caption9982"/>
      <w:bookmarkStart w:id="7372" w:name="_Caption4278"/>
      <w:bookmarkStart w:id="7373" w:name="_Caption4147"/>
      <w:bookmarkStart w:id="7374" w:name="_Caption9814"/>
      <w:bookmarkStart w:id="7375" w:name="_Caption1636"/>
      <w:bookmarkStart w:id="7376" w:name="_Caption4958"/>
      <w:bookmarkStart w:id="7377" w:name="_Caption4513"/>
      <w:bookmarkStart w:id="7378" w:name="_Caption3848"/>
      <w:bookmarkStart w:id="7379" w:name="_Caption1395"/>
      <w:bookmarkStart w:id="7380" w:name="_Caption7716"/>
      <w:bookmarkStart w:id="7381" w:name="_Caption5810"/>
      <w:bookmarkStart w:id="7382" w:name="_Caption6072"/>
      <w:bookmarkStart w:id="7383" w:name="_Caption7863"/>
      <w:bookmarkStart w:id="7384" w:name="_Caption5571"/>
      <w:bookmarkStart w:id="7385" w:name="_Caption8635"/>
      <w:bookmarkStart w:id="7386" w:name="_Caption9299"/>
      <w:bookmarkStart w:id="7387" w:name="_Caption1075"/>
      <w:bookmarkStart w:id="7388" w:name="_Caption4386"/>
      <w:bookmarkStart w:id="7389" w:name="_Caption4512"/>
      <w:bookmarkStart w:id="7390" w:name="_Caption0543"/>
      <w:bookmarkStart w:id="7391" w:name="_Caption2642"/>
      <w:bookmarkStart w:id="7392" w:name="_Caption6924"/>
      <w:bookmarkStart w:id="7393" w:name="_Caption9614"/>
      <w:bookmarkStart w:id="7394" w:name="_Caption8283"/>
      <w:bookmarkStart w:id="7395" w:name="_Caption7052"/>
      <w:bookmarkStart w:id="7396" w:name="_Caption7930"/>
      <w:bookmarkStart w:id="7397" w:name="_Caption4842"/>
      <w:bookmarkStart w:id="7398" w:name="_Caption3981"/>
      <w:bookmarkStart w:id="7399" w:name="_Caption1363"/>
      <w:bookmarkStart w:id="7400" w:name="_Caption2346"/>
      <w:bookmarkStart w:id="7401" w:name="_Caption2468"/>
      <w:bookmarkStart w:id="7402" w:name="_Caption4228"/>
      <w:bookmarkStart w:id="7403" w:name="_Caption8453"/>
      <w:bookmarkStart w:id="7404" w:name="_Caption5948"/>
      <w:bookmarkStart w:id="7405" w:name="_Caption6302"/>
      <w:bookmarkStart w:id="7406" w:name="_Caption5926"/>
      <w:bookmarkStart w:id="7407" w:name="_Caption7573"/>
      <w:bookmarkStart w:id="7408" w:name="_Caption6303"/>
      <w:bookmarkStart w:id="7409" w:name="_Caption0522"/>
      <w:bookmarkStart w:id="7410" w:name="_Caption3604"/>
      <w:bookmarkStart w:id="7411" w:name="_Caption2178"/>
      <w:bookmarkStart w:id="7412" w:name="_Caption5726"/>
      <w:bookmarkStart w:id="7413" w:name="_Caption7418"/>
      <w:bookmarkStart w:id="7414" w:name="_Caption8369"/>
      <w:bookmarkStart w:id="7415" w:name="_Caption0372"/>
      <w:bookmarkStart w:id="7416" w:name="_Caption2437"/>
      <w:bookmarkStart w:id="7417" w:name="_Caption3054"/>
      <w:bookmarkStart w:id="7418" w:name="_Caption6877"/>
      <w:bookmarkStart w:id="7419" w:name="_Caption9108"/>
      <w:bookmarkStart w:id="7420" w:name="_Caption7104"/>
      <w:bookmarkStart w:id="7421" w:name="_Caption7585"/>
      <w:bookmarkStart w:id="7422" w:name="_Caption2626"/>
      <w:bookmarkStart w:id="7423" w:name="_Caption2783"/>
      <w:bookmarkStart w:id="7424" w:name="_Caption1145"/>
      <w:bookmarkStart w:id="7425" w:name="_Caption6939"/>
      <w:bookmarkStart w:id="7426" w:name="_Caption9536"/>
      <w:bookmarkStart w:id="7427" w:name="_Caption0794"/>
      <w:bookmarkStart w:id="7428" w:name="_Caption0435"/>
      <w:bookmarkStart w:id="7429" w:name="_Caption3812"/>
      <w:bookmarkStart w:id="7430" w:name="_Caption5977"/>
      <w:bookmarkStart w:id="7431" w:name="_Caption6026"/>
      <w:bookmarkStart w:id="7432" w:name="_Caption3183"/>
      <w:bookmarkStart w:id="7433" w:name="_Caption0937"/>
      <w:bookmarkStart w:id="7434" w:name="_Caption3726"/>
      <w:bookmarkStart w:id="7435" w:name="_Caption4143"/>
      <w:bookmarkStart w:id="7436" w:name="_Caption2993"/>
      <w:bookmarkStart w:id="7437" w:name="_Caption8838"/>
      <w:bookmarkStart w:id="7438" w:name="_Toc19275665"/>
      <w:bookmarkStart w:id="7439" w:name="_Toc19276275"/>
      <w:bookmarkStart w:id="7440" w:name="_Toc19280274"/>
      <w:r w:rsidR="00C353B5">
        <w:rPr>
          <w:noProof/>
        </w:rPr>
        <w:t>B</w:t>
      </w:r>
      <w:r w:rsidR="00C353B5" w:rsidRPr="00695C93">
        <w:rPr>
          <w:noProof/>
        </w:rPr>
        <w:t>.</w:t>
      </w:r>
      <w:r w:rsidR="00C353B5">
        <w:rPr>
          <w:noProof/>
        </w:rPr>
        <w:t>7</w:t>
      </w:r>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r w:rsidRPr="00695C93">
        <w:fldChar w:fldCharType="end"/>
      </w:r>
      <w:r w:rsidRPr="00695C93">
        <w:tab/>
      </w:r>
      <w:r>
        <w:t>Wholesale energy costs (nominal)</w:t>
      </w:r>
      <w:bookmarkEnd w:id="7438"/>
      <w:bookmarkEnd w:id="7439"/>
      <w:bookmarkEnd w:id="7440"/>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19F4E942" w14:textId="77777777" w:rsidTr="00ED0E85">
        <w:trPr>
          <w:cantSplit/>
        </w:trPr>
        <w:tc>
          <w:tcPr>
            <w:tcW w:w="7938" w:type="dxa"/>
            <w:shd w:val="clear" w:color="auto" w:fill="E9E8E5" w:themeFill="background2"/>
          </w:tcPr>
          <w:p w14:paraId="14303F31" w14:textId="77777777" w:rsidR="00ED0E85" w:rsidRDefault="00ED0E85" w:rsidP="00ED0E85">
            <w:pPr>
              <w:pStyle w:val="Chart"/>
              <w:jc w:val="center"/>
            </w:pPr>
            <w:r w:rsidRPr="005754F8">
              <w:rPr>
                <w:noProof/>
                <w:lang w:eastAsia="en-AU"/>
              </w:rPr>
              <w:drawing>
                <wp:inline distT="0" distB="0" distL="0" distR="0" wp14:anchorId="397EC555" wp14:editId="4F652FCF">
                  <wp:extent cx="4848225" cy="252539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7">
                            <a:extLst>
                              <a:ext uri="{28A0092B-C50C-407E-A947-70E740481C1C}">
                                <a14:useLocalDpi xmlns:a14="http://schemas.microsoft.com/office/drawing/2010/main" val="0"/>
                              </a:ext>
                            </a:extLst>
                          </a:blip>
                          <a:srcRect r="3195"/>
                          <a:stretch/>
                        </pic:blipFill>
                        <pic:spPr bwMode="auto">
                          <a:xfrm>
                            <a:off x="0" y="0"/>
                            <a:ext cx="4848225" cy="25253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3A55421" w14:textId="77777777" w:rsidR="00ED0E85" w:rsidRDefault="00ED0E85" w:rsidP="00ED0E85">
      <w:pPr>
        <w:pStyle w:val="Source"/>
      </w:pPr>
      <w:r>
        <w:rPr>
          <w:i/>
        </w:rPr>
        <w:t>Data source</w:t>
      </w:r>
      <w:r w:rsidRPr="00A67576">
        <w:rPr>
          <w:i/>
        </w:rPr>
        <w:t>:</w:t>
      </w:r>
      <w:r>
        <w:t xml:space="preserve"> The CIE; based on AEMO data.</w:t>
      </w:r>
    </w:p>
    <w:p w14:paraId="589956F2" w14:textId="77777777" w:rsidR="00ED0E85" w:rsidRDefault="00ED0E85" w:rsidP="00ED0E85">
      <w:pPr>
        <w:pStyle w:val="Heading8"/>
        <w:numPr>
          <w:ilvl w:val="7"/>
          <w:numId w:val="5"/>
        </w:numPr>
        <w:rPr>
          <w:lang w:bidi="fa-IR"/>
        </w:rPr>
      </w:pPr>
      <w:r>
        <w:rPr>
          <w:lang w:bidi="fa-IR"/>
        </w:rPr>
        <w:t>Gas prices</w:t>
      </w:r>
    </w:p>
    <w:p w14:paraId="0DA95D68" w14:textId="77777777" w:rsidR="00ED0E85" w:rsidRDefault="00ED0E85" w:rsidP="00ED0E85">
      <w:pPr>
        <w:pStyle w:val="BodyText"/>
        <w:rPr>
          <w:lang w:bidi="fa-IR"/>
        </w:rPr>
      </w:pPr>
      <w:r>
        <w:rPr>
          <w:lang w:bidi="fa-IR"/>
        </w:rPr>
        <w:t>Gas prices were sourced using Oakley Greenwood gas price trends review 2017. Commercial gas prices are not measured as part of this review, and so to compute a measure, prices were built up by re-weighting various components of household prices. Household prices were used as the basis, as commercial buildings more closely resemble households in their usage patterns, compared to other users measured in the report (such as heavy industrial users).</w:t>
      </w:r>
    </w:p>
    <w:p w14:paraId="357109F1" w14:textId="77777777" w:rsidR="00ED0E85" w:rsidRDefault="00ED0E85" w:rsidP="00ED0E85">
      <w:pPr>
        <w:pStyle w:val="BodyText"/>
        <w:rPr>
          <w:lang w:bidi="fa-IR"/>
        </w:rPr>
      </w:pPr>
      <w:r>
        <w:rPr>
          <w:lang w:bidi="fa-IR"/>
        </w:rPr>
        <w:t>Prices were computed using the cost components specified in the Oakley Greenwood dataset:</w:t>
      </w:r>
    </w:p>
    <w:p w14:paraId="4C972E01" w14:textId="77777777" w:rsidR="00ED0E85" w:rsidRDefault="00ED0E85" w:rsidP="00ED0E85">
      <w:pPr>
        <w:pStyle w:val="ListBullet"/>
        <w:rPr>
          <w:lang w:bidi="fa-IR"/>
        </w:rPr>
      </w:pPr>
      <w:r>
        <w:rPr>
          <w:lang w:bidi="fa-IR"/>
        </w:rPr>
        <w:t>The wholesale price for gas</w:t>
      </w:r>
    </w:p>
    <w:p w14:paraId="5ECCB2D4" w14:textId="77777777" w:rsidR="00ED0E85" w:rsidRDefault="00ED0E85" w:rsidP="00ED0E85">
      <w:pPr>
        <w:pStyle w:val="ListBullet"/>
        <w:rPr>
          <w:lang w:bidi="fa-IR"/>
        </w:rPr>
      </w:pPr>
      <w:r>
        <w:rPr>
          <w:lang w:bidi="fa-IR"/>
        </w:rPr>
        <w:t>50 per cent of transmission prices</w:t>
      </w:r>
    </w:p>
    <w:p w14:paraId="6DF56061" w14:textId="77777777" w:rsidR="00ED0E85" w:rsidRDefault="00ED0E85" w:rsidP="00ED0E85">
      <w:pPr>
        <w:pStyle w:val="ListBullet"/>
        <w:rPr>
          <w:lang w:bidi="fa-IR"/>
        </w:rPr>
      </w:pPr>
      <w:r>
        <w:rPr>
          <w:lang w:bidi="fa-IR"/>
        </w:rPr>
        <w:t>50 per cent of distribution costs</w:t>
      </w:r>
    </w:p>
    <w:p w14:paraId="797F629E" w14:textId="77777777" w:rsidR="00ED0E85" w:rsidRDefault="00ED0E85" w:rsidP="00ED0E85">
      <w:pPr>
        <w:pStyle w:val="ListBullet"/>
        <w:rPr>
          <w:lang w:bidi="fa-IR"/>
        </w:rPr>
      </w:pPr>
      <w:r>
        <w:rPr>
          <w:lang w:bidi="fa-IR"/>
        </w:rPr>
        <w:t>Environmental costs</w:t>
      </w:r>
    </w:p>
    <w:p w14:paraId="26F7517E" w14:textId="77777777" w:rsidR="00ED0E85" w:rsidRDefault="00ED0E85" w:rsidP="00ED0E85">
      <w:pPr>
        <w:pStyle w:val="ListBullet"/>
        <w:rPr>
          <w:lang w:bidi="fa-IR"/>
        </w:rPr>
      </w:pPr>
      <w:r>
        <w:rPr>
          <w:lang w:bidi="fa-IR"/>
        </w:rPr>
        <w:t>50 per cent of the retailer component</w:t>
      </w:r>
    </w:p>
    <w:p w14:paraId="78FE1F9E" w14:textId="77777777" w:rsidR="00ED0E85" w:rsidRDefault="00ED0E85" w:rsidP="00ED0E85">
      <w:pPr>
        <w:pStyle w:val="ListBullet"/>
        <w:numPr>
          <w:ilvl w:val="0"/>
          <w:numId w:val="0"/>
        </w:numPr>
        <w:tabs>
          <w:tab w:val="left" w:pos="720"/>
        </w:tabs>
        <w:rPr>
          <w:lang w:bidi="fa-IR"/>
        </w:rPr>
      </w:pPr>
      <w:r>
        <w:rPr>
          <w:lang w:bidi="fa-IR"/>
        </w:rPr>
        <w:t>Weights were applied to some components, based on the fact that the price per unit is lower for larger users. Commercial users would use more gas on average compared to households.</w:t>
      </w:r>
    </w:p>
    <w:p w14:paraId="480FF03A" w14:textId="77777777" w:rsidR="00ED0E85" w:rsidRPr="001C28CB" w:rsidRDefault="00ED0E85" w:rsidP="00ED0E85">
      <w:pPr>
        <w:pStyle w:val="Heading9"/>
        <w:rPr>
          <w:color w:val="6F6652" w:themeColor="accent5"/>
          <w:lang w:bidi="fa-IR"/>
        </w:rPr>
      </w:pPr>
      <w:r w:rsidRPr="001C28CB">
        <w:rPr>
          <w:color w:val="6F6652" w:themeColor="accent5"/>
          <w:lang w:bidi="fa-IR"/>
        </w:rPr>
        <w:t>Commercial gas prices</w:t>
      </w:r>
    </w:p>
    <w:p w14:paraId="267FB66A" w14:textId="66744B87" w:rsidR="00ED0E85" w:rsidRPr="005754F8" w:rsidRDefault="00ED0E85" w:rsidP="00ED0E85">
      <w:pPr>
        <w:pStyle w:val="ListBullet"/>
        <w:numPr>
          <w:ilvl w:val="0"/>
          <w:numId w:val="0"/>
        </w:numPr>
        <w:tabs>
          <w:tab w:val="left" w:pos="720"/>
        </w:tabs>
        <w:rPr>
          <w:lang w:bidi="fa-IR"/>
        </w:rPr>
      </w:pPr>
      <w:r w:rsidRPr="005754F8">
        <w:rPr>
          <w:lang w:bidi="fa-IR"/>
        </w:rPr>
        <w:t xml:space="preserve">Using the above method, the following price series was constructed for gas (chart </w:t>
      </w:r>
      <w:r w:rsidRPr="005754F8">
        <w:rPr>
          <w:lang w:bidi="fa-IR"/>
        </w:rPr>
        <w:fldChar w:fldCharType="begin"/>
      </w:r>
      <w:r w:rsidRPr="005754F8">
        <w:rPr>
          <w:lang w:bidi="fa-IR"/>
        </w:rPr>
        <w:instrText xml:space="preserve"> REF _Caption9218 </w:instrText>
      </w:r>
      <w:r>
        <w:rPr>
          <w:lang w:bidi="fa-IR"/>
        </w:rPr>
        <w:instrText xml:space="preserve"> \* MERGEFORMAT </w:instrText>
      </w:r>
      <w:r w:rsidRPr="005754F8">
        <w:rPr>
          <w:lang w:bidi="fa-IR"/>
        </w:rPr>
        <w:fldChar w:fldCharType="separate"/>
      </w:r>
      <w:r w:rsidR="00AD3561">
        <w:rPr>
          <w:noProof/>
        </w:rPr>
        <w:t>B</w:t>
      </w:r>
      <w:r w:rsidR="00AD3561" w:rsidRPr="002C208E">
        <w:rPr>
          <w:noProof/>
        </w:rPr>
        <w:t>.</w:t>
      </w:r>
      <w:r w:rsidR="00AD3561">
        <w:rPr>
          <w:noProof/>
        </w:rPr>
        <w:t>8</w:t>
      </w:r>
      <w:r w:rsidRPr="005754F8">
        <w:rPr>
          <w:lang w:bidi="fa-IR"/>
        </w:rPr>
        <w:fldChar w:fldCharType="end"/>
      </w:r>
      <w:r w:rsidRPr="005754F8">
        <w:rPr>
          <w:lang w:bidi="fa-IR"/>
        </w:rPr>
        <w:t>).</w:t>
      </w:r>
    </w:p>
    <w:p w14:paraId="0C85D614" w14:textId="594B75BA" w:rsidR="00ED0E85" w:rsidRDefault="00ED0E85" w:rsidP="00ED0E85">
      <w:pPr>
        <w:pStyle w:val="Caption"/>
      </w:pPr>
      <w:r w:rsidRPr="002C208E">
        <w:fldChar w:fldCharType="begin"/>
      </w:r>
      <w:r w:rsidRPr="002C208E">
        <w:instrText xml:space="preserve"> IF 1 = 1 "</w:instrText>
      </w:r>
      <w:r w:rsidRPr="002C208E">
        <w:fldChar w:fldCharType="begin"/>
      </w:r>
      <w:r w:rsidRPr="002C208E">
        <w:instrText xml:space="preserve"> IF </w:instrText>
      </w:r>
      <w:r w:rsidRPr="002C208E">
        <w:rPr>
          <w:noProof/>
        </w:rPr>
        <w:fldChar w:fldCharType="begin"/>
      </w:r>
      <w:r w:rsidRPr="002C208E">
        <w:rPr>
          <w:noProof/>
        </w:rPr>
        <w:instrText xml:space="preserve"> STYLEREF "Heading 6" \l \n </w:instrText>
      </w:r>
      <w:r w:rsidRPr="002C208E">
        <w:rPr>
          <w:noProof/>
        </w:rPr>
        <w:fldChar w:fldCharType="separate"/>
      </w:r>
      <w:r w:rsidR="00AD3561">
        <w:rPr>
          <w:noProof/>
        </w:rPr>
        <w:instrText>B</w:instrText>
      </w:r>
      <w:r w:rsidRPr="002C208E">
        <w:rPr>
          <w:noProof/>
        </w:rPr>
        <w:fldChar w:fldCharType="end"/>
      </w:r>
      <w:r w:rsidRPr="002C208E">
        <w:instrText xml:space="preserve"> = 0 "</w:instrText>
      </w:r>
      <w:r w:rsidRPr="002C208E">
        <w:fldChar w:fldCharType="begin"/>
      </w:r>
      <w:r w:rsidRPr="002C208E">
        <w:instrText xml:space="preserve"> IF </w:instrText>
      </w:r>
      <w:r w:rsidRPr="002C208E">
        <w:rPr>
          <w:noProof/>
        </w:rPr>
        <w:fldChar w:fldCharType="begin"/>
      </w:r>
      <w:r w:rsidRPr="002C208E">
        <w:rPr>
          <w:noProof/>
        </w:rPr>
        <w:instrText xml:space="preserve"> STYLEREF "Heading 1" \l \n </w:instrText>
      </w:r>
      <w:r w:rsidRPr="002C208E">
        <w:rPr>
          <w:noProof/>
        </w:rPr>
        <w:fldChar w:fldCharType="separate"/>
      </w:r>
      <w:r w:rsidRPr="002C208E">
        <w:rPr>
          <w:noProof/>
        </w:rPr>
        <w:instrText>0</w:instrText>
      </w:r>
      <w:r w:rsidRPr="002C208E">
        <w:rPr>
          <w:noProof/>
        </w:rPr>
        <w:fldChar w:fldCharType="end"/>
      </w:r>
      <w:r w:rsidRPr="002C208E">
        <w:instrText xml:space="preserve"> = 0 "" "</w:instrText>
      </w:r>
      <w:r w:rsidRPr="002C208E">
        <w:fldChar w:fldCharType="begin"/>
      </w:r>
      <w:r w:rsidRPr="002C208E">
        <w:instrText xml:space="preserve"> STYLEREF "Heading 1" \l \n </w:instrText>
      </w:r>
      <w:r w:rsidRPr="002C208E">
        <w:fldChar w:fldCharType="separate"/>
      </w:r>
      <w:r w:rsidRPr="002C208E">
        <w:rPr>
          <w:b/>
          <w:bCs/>
          <w:noProof/>
          <w:lang w:val="en-US"/>
        </w:rPr>
        <w:instrText>Error! No text of specified style in document.</w:instrText>
      </w:r>
      <w:r w:rsidRPr="002C208E">
        <w:rPr>
          <w:noProof/>
        </w:rPr>
        <w:fldChar w:fldCharType="end"/>
      </w:r>
      <w:r w:rsidRPr="002C208E">
        <w:instrText xml:space="preserve">." </w:instrText>
      </w:r>
      <w:r w:rsidRPr="002C208E">
        <w:fldChar w:fldCharType="end"/>
      </w:r>
      <w:r w:rsidRPr="002C208E">
        <w:instrText>" "</w:instrText>
      </w:r>
      <w:r w:rsidRPr="002C208E">
        <w:rPr>
          <w:noProof/>
        </w:rPr>
        <w:fldChar w:fldCharType="begin"/>
      </w:r>
      <w:r w:rsidRPr="002C208E">
        <w:rPr>
          <w:noProof/>
        </w:rPr>
        <w:instrText xml:space="preserve"> STYLEREF "Heading 6" \l \n </w:instrText>
      </w:r>
      <w:r w:rsidRPr="002C208E">
        <w:rPr>
          <w:noProof/>
        </w:rPr>
        <w:fldChar w:fldCharType="separate"/>
      </w:r>
      <w:r w:rsidR="00AD3561">
        <w:rPr>
          <w:noProof/>
        </w:rPr>
        <w:instrText>B</w:instrText>
      </w:r>
      <w:r w:rsidRPr="002C208E">
        <w:rPr>
          <w:noProof/>
        </w:rPr>
        <w:fldChar w:fldCharType="end"/>
      </w:r>
      <w:r w:rsidRPr="002C208E">
        <w:instrText xml:space="preserve">." </w:instrText>
      </w:r>
      <w:r w:rsidRPr="002C208E">
        <w:fldChar w:fldCharType="separate"/>
      </w:r>
      <w:r w:rsidR="00AD3561">
        <w:rPr>
          <w:noProof/>
        </w:rPr>
        <w:instrText>B</w:instrText>
      </w:r>
      <w:r w:rsidR="00AD3561" w:rsidRPr="002C208E">
        <w:rPr>
          <w:noProof/>
        </w:rPr>
        <w:instrText>.</w:instrText>
      </w:r>
      <w:r w:rsidRPr="002C208E">
        <w:fldChar w:fldCharType="end"/>
      </w:r>
      <w:r w:rsidRPr="002C208E">
        <w:fldChar w:fldCharType="begin"/>
      </w:r>
      <w:r w:rsidRPr="002C208E">
        <w:instrText xml:space="preserve"> SEQ Item \* ARABIC \s </w:instrText>
      </w:r>
      <w:r w:rsidRPr="002C208E">
        <w:fldChar w:fldCharType="begin"/>
      </w:r>
      <w:r w:rsidRPr="002C208E">
        <w:instrText xml:space="preserve"> IF </w:instrText>
      </w:r>
      <w:r w:rsidRPr="002C208E">
        <w:rPr>
          <w:noProof/>
        </w:rPr>
        <w:fldChar w:fldCharType="begin"/>
      </w:r>
      <w:r w:rsidRPr="002C208E">
        <w:rPr>
          <w:noProof/>
        </w:rPr>
        <w:instrText xml:space="preserve"> STYLEREF "Heading 6" \l \n </w:instrText>
      </w:r>
      <w:r w:rsidRPr="002C208E">
        <w:rPr>
          <w:noProof/>
        </w:rPr>
        <w:fldChar w:fldCharType="separate"/>
      </w:r>
      <w:r w:rsidR="00AD3561">
        <w:rPr>
          <w:noProof/>
        </w:rPr>
        <w:instrText>B</w:instrText>
      </w:r>
      <w:r w:rsidRPr="002C208E">
        <w:rPr>
          <w:noProof/>
        </w:rPr>
        <w:fldChar w:fldCharType="end"/>
      </w:r>
      <w:r w:rsidRPr="002C208E">
        <w:instrText xml:space="preserve"> = 0 "</w:instrText>
      </w:r>
      <w:r w:rsidRPr="002C208E">
        <w:fldChar w:fldCharType="begin"/>
      </w:r>
      <w:r w:rsidRPr="002C208E">
        <w:instrText xml:space="preserve"> IF </w:instrText>
      </w:r>
      <w:r w:rsidRPr="002C208E">
        <w:rPr>
          <w:noProof/>
        </w:rPr>
        <w:fldChar w:fldCharType="begin"/>
      </w:r>
      <w:r w:rsidRPr="002C208E">
        <w:rPr>
          <w:noProof/>
        </w:rPr>
        <w:instrText xml:space="preserve"> STYLEREF "Heading 1" \l \n </w:instrText>
      </w:r>
      <w:r w:rsidRPr="002C208E">
        <w:rPr>
          <w:noProof/>
        </w:rPr>
        <w:fldChar w:fldCharType="separate"/>
      </w:r>
      <w:r w:rsidRPr="002C208E">
        <w:rPr>
          <w:noProof/>
        </w:rPr>
        <w:instrText>0</w:instrText>
      </w:r>
      <w:r w:rsidRPr="002C208E">
        <w:rPr>
          <w:noProof/>
        </w:rPr>
        <w:fldChar w:fldCharType="end"/>
      </w:r>
      <w:r w:rsidRPr="002C208E">
        <w:instrText xml:space="preserve"> = 0 "" "1" </w:instrText>
      </w:r>
      <w:r w:rsidRPr="002C208E">
        <w:fldChar w:fldCharType="end"/>
      </w:r>
      <w:r w:rsidRPr="002C208E">
        <w:instrText xml:space="preserve">" "6" </w:instrText>
      </w:r>
      <w:r w:rsidRPr="002C208E">
        <w:fldChar w:fldCharType="separate"/>
      </w:r>
      <w:r w:rsidR="00AD3561" w:rsidRPr="002C208E">
        <w:rPr>
          <w:noProof/>
        </w:rPr>
        <w:instrText>6</w:instrText>
      </w:r>
      <w:r w:rsidRPr="002C208E">
        <w:fldChar w:fldCharType="end"/>
      </w:r>
      <w:r w:rsidRPr="002C208E">
        <w:instrText xml:space="preserve"> </w:instrText>
      </w:r>
      <w:r w:rsidRPr="002C208E">
        <w:fldChar w:fldCharType="separate"/>
      </w:r>
      <w:r w:rsidR="00AD3561">
        <w:rPr>
          <w:noProof/>
        </w:rPr>
        <w:instrText>8</w:instrText>
      </w:r>
      <w:r w:rsidRPr="002C208E">
        <w:fldChar w:fldCharType="end"/>
      </w:r>
      <w:r w:rsidRPr="002C208E">
        <w:instrText xml:space="preserve">" "" </w:instrText>
      </w:r>
      <w:r w:rsidRPr="002C208E">
        <w:fldChar w:fldCharType="separate"/>
      </w:r>
      <w:bookmarkStart w:id="7441" w:name="_Caption7669"/>
      <w:bookmarkStart w:id="7442" w:name="_Caption1649"/>
      <w:bookmarkStart w:id="7443" w:name="_Caption6836"/>
      <w:bookmarkStart w:id="7444" w:name="_Caption6543"/>
      <w:bookmarkStart w:id="7445" w:name="_Caption5528"/>
      <w:bookmarkStart w:id="7446" w:name="_Caption2615"/>
      <w:bookmarkStart w:id="7447" w:name="_Caption2460"/>
      <w:bookmarkStart w:id="7448" w:name="_Caption4895"/>
      <w:bookmarkStart w:id="7449" w:name="_Caption5850"/>
      <w:bookmarkStart w:id="7450" w:name="_Caption7239"/>
      <w:bookmarkStart w:id="7451" w:name="_Caption2409"/>
      <w:bookmarkStart w:id="7452" w:name="_Caption9809"/>
      <w:bookmarkStart w:id="7453" w:name="_Caption1409"/>
      <w:bookmarkStart w:id="7454" w:name="_Caption5967"/>
      <w:bookmarkStart w:id="7455" w:name="_Caption5892"/>
      <w:bookmarkStart w:id="7456" w:name="_Caption1184"/>
      <w:bookmarkStart w:id="7457" w:name="_Caption2610"/>
      <w:bookmarkStart w:id="7458" w:name="_Caption5616"/>
      <w:bookmarkStart w:id="7459" w:name="_Caption4193"/>
      <w:bookmarkStart w:id="7460" w:name="_Caption1717"/>
      <w:bookmarkStart w:id="7461" w:name="_Caption0357"/>
      <w:bookmarkStart w:id="7462" w:name="_Caption7201"/>
      <w:bookmarkStart w:id="7463" w:name="_Caption2205"/>
      <w:bookmarkStart w:id="7464" w:name="_Caption4531"/>
      <w:bookmarkStart w:id="7465" w:name="_Caption1414"/>
      <w:bookmarkStart w:id="7466" w:name="_Caption2686"/>
      <w:bookmarkStart w:id="7467" w:name="_Caption7756"/>
      <w:bookmarkStart w:id="7468" w:name="_Caption8651"/>
      <w:bookmarkStart w:id="7469" w:name="_Caption9894"/>
      <w:bookmarkStart w:id="7470" w:name="_Caption1732"/>
      <w:bookmarkStart w:id="7471" w:name="_Caption0029"/>
      <w:bookmarkStart w:id="7472" w:name="_Caption5201"/>
      <w:bookmarkStart w:id="7473" w:name="_Caption1248"/>
      <w:bookmarkStart w:id="7474" w:name="_Caption9492"/>
      <w:bookmarkStart w:id="7475" w:name="_Caption0488"/>
      <w:bookmarkStart w:id="7476" w:name="_Caption8549"/>
      <w:bookmarkStart w:id="7477" w:name="_Caption5495"/>
      <w:bookmarkStart w:id="7478" w:name="_Caption8347"/>
      <w:bookmarkStart w:id="7479" w:name="_Caption4117"/>
      <w:bookmarkStart w:id="7480" w:name="_Caption3395"/>
      <w:bookmarkStart w:id="7481" w:name="_Caption7610"/>
      <w:bookmarkStart w:id="7482" w:name="_Caption9218"/>
      <w:bookmarkStart w:id="7483" w:name="_Caption5630"/>
      <w:bookmarkStart w:id="7484" w:name="_Caption1778"/>
      <w:bookmarkStart w:id="7485" w:name="_Caption1172"/>
      <w:bookmarkStart w:id="7486" w:name="_Caption3216"/>
      <w:bookmarkStart w:id="7487" w:name="_Caption3776"/>
      <w:bookmarkStart w:id="7488" w:name="_Caption8688"/>
      <w:bookmarkStart w:id="7489" w:name="_Caption8132"/>
      <w:bookmarkStart w:id="7490" w:name="_Caption7937"/>
      <w:bookmarkStart w:id="7491" w:name="_Caption1848"/>
      <w:bookmarkStart w:id="7492" w:name="_Caption0585"/>
      <w:bookmarkStart w:id="7493" w:name="_Caption6825"/>
      <w:bookmarkStart w:id="7494" w:name="_Caption5982"/>
      <w:bookmarkStart w:id="7495" w:name="_Caption0975"/>
      <w:bookmarkStart w:id="7496" w:name="_Caption7128"/>
      <w:bookmarkStart w:id="7497" w:name="_Caption6892"/>
      <w:bookmarkStart w:id="7498" w:name="_Caption6569"/>
      <w:bookmarkStart w:id="7499" w:name="_Caption0007"/>
      <w:bookmarkStart w:id="7500" w:name="_Caption4630"/>
      <w:bookmarkStart w:id="7501" w:name="_Caption5883"/>
      <w:bookmarkStart w:id="7502" w:name="_Caption7712"/>
      <w:bookmarkStart w:id="7503" w:name="_Caption6579"/>
      <w:bookmarkStart w:id="7504" w:name="_Caption2324"/>
      <w:bookmarkStart w:id="7505" w:name="_Caption6986"/>
      <w:bookmarkStart w:id="7506" w:name="_Caption1046"/>
      <w:bookmarkStart w:id="7507" w:name="_Caption8351"/>
      <w:bookmarkStart w:id="7508" w:name="_Caption8725"/>
      <w:bookmarkStart w:id="7509" w:name="_Caption3825"/>
      <w:bookmarkStart w:id="7510" w:name="_Caption8608"/>
      <w:bookmarkStart w:id="7511" w:name="_Caption1893"/>
      <w:bookmarkStart w:id="7512" w:name="_Caption5024"/>
      <w:bookmarkStart w:id="7513" w:name="_Caption2691"/>
      <w:bookmarkStart w:id="7514" w:name="_Caption4774"/>
      <w:bookmarkStart w:id="7515" w:name="_Caption4839"/>
      <w:bookmarkStart w:id="7516" w:name="_Caption9034"/>
      <w:bookmarkStart w:id="7517" w:name="_Caption9124"/>
      <w:bookmarkStart w:id="7518" w:name="_Caption6280"/>
      <w:bookmarkStart w:id="7519" w:name="_Caption4315"/>
      <w:bookmarkStart w:id="7520" w:name="_Caption1645"/>
      <w:bookmarkStart w:id="7521" w:name="_Caption0058"/>
      <w:bookmarkStart w:id="7522" w:name="_Caption2926"/>
      <w:bookmarkStart w:id="7523" w:name="_Caption7074"/>
      <w:bookmarkStart w:id="7524" w:name="_Toc19275666"/>
      <w:bookmarkStart w:id="7525" w:name="_Toc19276276"/>
      <w:bookmarkStart w:id="7526" w:name="_Toc19280275"/>
      <w:r w:rsidR="00C353B5">
        <w:rPr>
          <w:noProof/>
        </w:rPr>
        <w:t>B</w:t>
      </w:r>
      <w:r w:rsidR="00C353B5" w:rsidRPr="002C208E">
        <w:rPr>
          <w:noProof/>
        </w:rPr>
        <w:t>.</w:t>
      </w:r>
      <w:r w:rsidR="00C353B5">
        <w:rPr>
          <w:noProof/>
        </w:rPr>
        <w:t>8</w:t>
      </w:r>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r w:rsidRPr="002C208E">
        <w:fldChar w:fldCharType="end"/>
      </w:r>
      <w:r w:rsidRPr="002C208E">
        <w:tab/>
        <w:t>Commercial gas prices (real)</w:t>
      </w:r>
      <w:bookmarkEnd w:id="7524"/>
      <w:bookmarkEnd w:id="7525"/>
      <w:bookmarkEnd w:id="7526"/>
    </w:p>
    <w:tbl>
      <w:tblPr>
        <w:tblStyle w:val="TableGrid"/>
        <w:tblW w:w="79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5"/>
      </w:tblGrid>
      <w:tr w:rsidR="00ED0E85" w14:paraId="14DA1DFD" w14:textId="77777777" w:rsidTr="00ED0E85">
        <w:trPr>
          <w:cantSplit/>
        </w:trPr>
        <w:tc>
          <w:tcPr>
            <w:tcW w:w="7938" w:type="dxa"/>
            <w:shd w:val="clear" w:color="auto" w:fill="E9E8E5" w:themeFill="background2"/>
            <w:hideMark/>
          </w:tcPr>
          <w:p w14:paraId="05728161" w14:textId="77777777" w:rsidR="00ED0E85" w:rsidRDefault="00ED0E85" w:rsidP="00ED0E85">
            <w:pPr>
              <w:pStyle w:val="Chart"/>
            </w:pPr>
            <w:r w:rsidRPr="002C208E">
              <w:rPr>
                <w:noProof/>
                <w:lang w:eastAsia="en-AU"/>
              </w:rPr>
              <w:drawing>
                <wp:inline distT="0" distB="0" distL="0" distR="0" wp14:anchorId="77E8018C" wp14:editId="1A904089">
                  <wp:extent cx="4876800" cy="252412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76800" cy="2524125"/>
                          </a:xfrm>
                          <a:prstGeom prst="rect">
                            <a:avLst/>
                          </a:prstGeom>
                          <a:noFill/>
                          <a:ln>
                            <a:noFill/>
                          </a:ln>
                        </pic:spPr>
                      </pic:pic>
                    </a:graphicData>
                  </a:graphic>
                </wp:inline>
              </w:drawing>
            </w:r>
          </w:p>
        </w:tc>
      </w:tr>
    </w:tbl>
    <w:p w14:paraId="0EBD2BC9" w14:textId="77777777" w:rsidR="00ED0E85" w:rsidRDefault="00ED0E85" w:rsidP="00ED0E85">
      <w:pPr>
        <w:pStyle w:val="Source"/>
      </w:pPr>
      <w:r>
        <w:rPr>
          <w:i/>
        </w:rPr>
        <w:t>Data source:</w:t>
      </w:r>
      <w:r>
        <w:t xml:space="preserve"> The CIE.</w:t>
      </w:r>
    </w:p>
    <w:p w14:paraId="0A456C54" w14:textId="77777777" w:rsidR="00ED0E85" w:rsidRDefault="00ED0E85" w:rsidP="00ED0E85">
      <w:pPr>
        <w:pStyle w:val="Heading8"/>
        <w:numPr>
          <w:ilvl w:val="7"/>
          <w:numId w:val="5"/>
        </w:numPr>
        <w:rPr>
          <w:lang w:bidi="fa-IR"/>
        </w:rPr>
      </w:pPr>
      <w:r>
        <w:rPr>
          <w:lang w:bidi="fa-IR"/>
        </w:rPr>
        <w:t>Changes over time</w:t>
      </w:r>
    </w:p>
    <w:p w14:paraId="24598FBC" w14:textId="77777777" w:rsidR="00ED0E85" w:rsidRPr="001152D3" w:rsidRDefault="00ED0E85" w:rsidP="00ED0E85">
      <w:pPr>
        <w:pStyle w:val="BodyText"/>
        <w:rPr>
          <w:lang w:bidi="fa-IR"/>
        </w:rPr>
      </w:pPr>
      <w:r>
        <w:rPr>
          <w:lang w:bidi="fa-IR"/>
        </w:rPr>
        <w:t>For future periods, we maintain electricity and gas prices at existing levels in real terms. Most commentary, such as from the AEMC, expects that prices will moderate over the near term.</w:t>
      </w:r>
      <w:r>
        <w:rPr>
          <w:rStyle w:val="FootnoteReference"/>
          <w:lang w:bidi="fa-IR"/>
        </w:rPr>
        <w:footnoteReference w:id="107"/>
      </w:r>
      <w:r>
        <w:rPr>
          <w:lang w:bidi="fa-IR"/>
        </w:rPr>
        <w:t xml:space="preserve"> However, this is yet to be evidenced in actual outcomes. </w:t>
      </w:r>
    </w:p>
    <w:p w14:paraId="1AEBE223" w14:textId="77777777" w:rsidR="00ED0E85" w:rsidRPr="001152D3" w:rsidRDefault="00ED0E85" w:rsidP="00ED0E85">
      <w:pPr>
        <w:pStyle w:val="BodyText"/>
        <w:rPr>
          <w:lang w:eastAsia="en-US"/>
        </w:rPr>
      </w:pPr>
      <w:r>
        <w:rPr>
          <w:lang w:eastAsia="en-US"/>
        </w:rPr>
        <w:t>Forecasting distribution price changes is very difficult, outside of the regulatory periods for these assets. Large changes can occur because of changes in the structure of prices. The clearest approach, and that consistent with the approach used by businesses to forecast their rates of return, is to maintain prices at existing levels.</w:t>
      </w:r>
    </w:p>
    <w:p w14:paraId="664F0D16" w14:textId="77777777" w:rsidR="00ED0E85" w:rsidRPr="001C28CB" w:rsidRDefault="00ED0E85" w:rsidP="00ED0E85">
      <w:pPr>
        <w:pStyle w:val="Heading7"/>
        <w:numPr>
          <w:ilvl w:val="6"/>
          <w:numId w:val="5"/>
        </w:numPr>
      </w:pPr>
      <w:bookmarkStart w:id="7527" w:name="_Toc499847033"/>
      <w:bookmarkStart w:id="7528" w:name="_Toc505120629"/>
      <w:bookmarkStart w:id="7529" w:name="_Toc507523781"/>
      <w:bookmarkStart w:id="7530" w:name="_Toc509220830"/>
      <w:r w:rsidRPr="001C28CB">
        <w:t>Environmental benefits</w:t>
      </w:r>
      <w:bookmarkEnd w:id="7527"/>
      <w:bookmarkEnd w:id="7528"/>
      <w:bookmarkEnd w:id="7529"/>
      <w:bookmarkEnd w:id="7530"/>
    </w:p>
    <w:p w14:paraId="01B603ED" w14:textId="77777777" w:rsidR="00ED0E85" w:rsidRDefault="00ED0E85" w:rsidP="00ED0E85">
      <w:pPr>
        <w:pStyle w:val="BodyText"/>
      </w:pPr>
      <w:r>
        <w:t>In addition to the value of the resources saved, there are also environmental benefits associated with reduced energy consumption. Here the literature tends to focus mainly on valuing greenhouse gas emissions. Other environmental benefits could include other avoided pollutants such as SOx and particulate matter.</w:t>
      </w:r>
    </w:p>
    <w:p w14:paraId="3EC14309" w14:textId="77777777" w:rsidR="00ED0E85" w:rsidRDefault="00ED0E85" w:rsidP="00ED0E85">
      <w:pPr>
        <w:pStyle w:val="Heading8"/>
        <w:numPr>
          <w:ilvl w:val="7"/>
          <w:numId w:val="5"/>
        </w:numPr>
      </w:pPr>
      <w:r>
        <w:t>Emissions intensity of energy consumption</w:t>
      </w:r>
    </w:p>
    <w:p w14:paraId="173582FF" w14:textId="77777777" w:rsidR="00ED0E85" w:rsidRDefault="00ED0E85" w:rsidP="00ED0E85">
      <w:pPr>
        <w:pStyle w:val="BodyText"/>
      </w:pPr>
      <w:r>
        <w:t>Greenhouse gas emissions will depend on the emissions intensity of energy consumption, which varies by energy source. As the emissions intensity of electricity varies significantly across States and Territories, it is important to take into account this variability for the purposes of the CBA.</w:t>
      </w:r>
    </w:p>
    <w:p w14:paraId="7AEF2921" w14:textId="1B199420" w:rsidR="00ED0E85" w:rsidRPr="002360AA" w:rsidRDefault="00ED0E85" w:rsidP="00ED0E85">
      <w:pPr>
        <w:pStyle w:val="BodyText"/>
      </w:pPr>
      <w:r w:rsidRPr="002360AA">
        <w:t>The National Greenhouse Accounts Factors reports emissions factors for end users of electricity in each State and Territory (table </w:t>
      </w:r>
      <w:r w:rsidRPr="002360AA">
        <w:rPr>
          <w:noProof/>
        </w:rPr>
        <w:fldChar w:fldCharType="begin"/>
      </w:r>
      <w:r w:rsidRPr="002360AA">
        <w:rPr>
          <w:noProof/>
        </w:rPr>
        <w:instrText xml:space="preserve"> REF _Caption6470 </w:instrText>
      </w:r>
      <w:r>
        <w:rPr>
          <w:noProof/>
        </w:rPr>
        <w:instrText xml:space="preserve"> \* MERGEFORMAT </w:instrText>
      </w:r>
      <w:r w:rsidRPr="002360AA">
        <w:rPr>
          <w:noProof/>
        </w:rPr>
        <w:fldChar w:fldCharType="separate"/>
      </w:r>
      <w:r w:rsidR="00AD3561">
        <w:rPr>
          <w:noProof/>
        </w:rPr>
        <w:t>B</w:t>
      </w:r>
      <w:r w:rsidR="00AD3561" w:rsidRPr="002C208E">
        <w:rPr>
          <w:noProof/>
        </w:rPr>
        <w:t>.</w:t>
      </w:r>
      <w:r w:rsidR="00AD3561">
        <w:rPr>
          <w:noProof/>
        </w:rPr>
        <w:t>9</w:t>
      </w:r>
      <w:r w:rsidRPr="002360AA">
        <w:rPr>
          <w:noProof/>
        </w:rPr>
        <w:fldChar w:fldCharType="end"/>
      </w:r>
      <w:r w:rsidRPr="002360AA">
        <w:t>), including:</w:t>
      </w:r>
    </w:p>
    <w:p w14:paraId="4409D58B" w14:textId="77777777" w:rsidR="00ED0E85" w:rsidRPr="002360AA" w:rsidRDefault="00ED0E85" w:rsidP="00ED0E85">
      <w:pPr>
        <w:pStyle w:val="ListBullet"/>
      </w:pPr>
      <w:r w:rsidRPr="002360AA">
        <w:t>Scope 2 emissions — these are indirect emissions from the generation of the electricity purchased and consumed; and</w:t>
      </w:r>
    </w:p>
    <w:p w14:paraId="48520764" w14:textId="77777777" w:rsidR="00ED0E85" w:rsidRPr="002360AA" w:rsidRDefault="00ED0E85" w:rsidP="00ED0E85">
      <w:pPr>
        <w:pStyle w:val="ListBullet"/>
      </w:pPr>
      <w:r w:rsidRPr="002360AA">
        <w:t>Scope 3 emissions — these are indirect emissions from the extraction, production and transport of fuel burned at generation and the indirect emissions attributable to the electricity lost in delivery in the transmission and distribution network.</w:t>
      </w:r>
    </w:p>
    <w:p w14:paraId="0DF275A0" w14:textId="559914D0" w:rsidR="00ED0E85" w:rsidRPr="002C208E" w:rsidRDefault="00ED0E85" w:rsidP="00ED0E85">
      <w:pPr>
        <w:pStyle w:val="Caption"/>
      </w:pPr>
      <w:r w:rsidRPr="002C208E">
        <w:fldChar w:fldCharType="begin"/>
      </w:r>
      <w:r w:rsidRPr="002C208E">
        <w:instrText xml:space="preserve"> IF 1 = 1 "</w:instrText>
      </w:r>
      <w:r w:rsidRPr="002C208E">
        <w:fldChar w:fldCharType="begin"/>
      </w:r>
      <w:r w:rsidRPr="002C208E">
        <w:instrText xml:space="preserve"> IF </w:instrText>
      </w:r>
      <w:r w:rsidRPr="002C208E">
        <w:rPr>
          <w:noProof/>
        </w:rPr>
        <w:fldChar w:fldCharType="begin"/>
      </w:r>
      <w:r w:rsidRPr="002C208E">
        <w:rPr>
          <w:noProof/>
        </w:rPr>
        <w:instrText xml:space="preserve"> STYLEREF "Heading 6" \l \n </w:instrText>
      </w:r>
      <w:r w:rsidRPr="002C208E">
        <w:rPr>
          <w:noProof/>
        </w:rPr>
        <w:fldChar w:fldCharType="separate"/>
      </w:r>
      <w:r w:rsidR="00AD3561">
        <w:rPr>
          <w:noProof/>
        </w:rPr>
        <w:instrText>B</w:instrText>
      </w:r>
      <w:r w:rsidRPr="002C208E">
        <w:rPr>
          <w:noProof/>
        </w:rPr>
        <w:fldChar w:fldCharType="end"/>
      </w:r>
      <w:r w:rsidRPr="002C208E">
        <w:instrText xml:space="preserve"> = 0 "</w:instrText>
      </w:r>
      <w:r w:rsidRPr="002C208E">
        <w:fldChar w:fldCharType="begin"/>
      </w:r>
      <w:r w:rsidRPr="002C208E">
        <w:instrText xml:space="preserve"> IF </w:instrText>
      </w:r>
      <w:r w:rsidRPr="002C208E">
        <w:rPr>
          <w:noProof/>
        </w:rPr>
        <w:fldChar w:fldCharType="begin"/>
      </w:r>
      <w:r w:rsidRPr="002C208E">
        <w:rPr>
          <w:noProof/>
        </w:rPr>
        <w:instrText xml:space="preserve"> STYLEREF "Heading 1" \l \n </w:instrText>
      </w:r>
      <w:r w:rsidRPr="002C208E">
        <w:rPr>
          <w:noProof/>
        </w:rPr>
        <w:fldChar w:fldCharType="separate"/>
      </w:r>
      <w:r w:rsidRPr="002C208E">
        <w:rPr>
          <w:noProof/>
        </w:rPr>
        <w:instrText>0</w:instrText>
      </w:r>
      <w:r w:rsidRPr="002C208E">
        <w:rPr>
          <w:noProof/>
        </w:rPr>
        <w:fldChar w:fldCharType="end"/>
      </w:r>
      <w:r w:rsidRPr="002C208E">
        <w:instrText xml:space="preserve"> = 0 "" "</w:instrText>
      </w:r>
      <w:r w:rsidRPr="002C208E">
        <w:rPr>
          <w:noProof/>
        </w:rPr>
        <w:fldChar w:fldCharType="begin"/>
      </w:r>
      <w:r w:rsidRPr="002C208E">
        <w:rPr>
          <w:noProof/>
        </w:rPr>
        <w:instrText xml:space="preserve"> STYLEREF "Heading 1" \l \n </w:instrText>
      </w:r>
      <w:r w:rsidRPr="002C208E">
        <w:rPr>
          <w:noProof/>
        </w:rPr>
        <w:fldChar w:fldCharType="separate"/>
      </w:r>
      <w:r w:rsidRPr="002C208E">
        <w:rPr>
          <w:noProof/>
        </w:rPr>
        <w:instrText>2</w:instrText>
      </w:r>
      <w:r w:rsidRPr="002C208E">
        <w:rPr>
          <w:noProof/>
        </w:rPr>
        <w:fldChar w:fldCharType="end"/>
      </w:r>
      <w:r w:rsidRPr="002C208E">
        <w:instrText xml:space="preserve">." </w:instrText>
      </w:r>
      <w:r w:rsidRPr="002C208E">
        <w:fldChar w:fldCharType="end"/>
      </w:r>
      <w:r w:rsidRPr="002C208E">
        <w:instrText>" "</w:instrText>
      </w:r>
      <w:r w:rsidRPr="002C208E">
        <w:rPr>
          <w:noProof/>
        </w:rPr>
        <w:fldChar w:fldCharType="begin"/>
      </w:r>
      <w:r w:rsidRPr="002C208E">
        <w:rPr>
          <w:noProof/>
        </w:rPr>
        <w:instrText xml:space="preserve"> STYLEREF "Heading 6" \l \n </w:instrText>
      </w:r>
      <w:r w:rsidRPr="002C208E">
        <w:rPr>
          <w:noProof/>
        </w:rPr>
        <w:fldChar w:fldCharType="separate"/>
      </w:r>
      <w:r w:rsidR="00AD3561">
        <w:rPr>
          <w:noProof/>
        </w:rPr>
        <w:instrText>B</w:instrText>
      </w:r>
      <w:r w:rsidRPr="002C208E">
        <w:rPr>
          <w:noProof/>
        </w:rPr>
        <w:fldChar w:fldCharType="end"/>
      </w:r>
      <w:r w:rsidRPr="002C208E">
        <w:instrText xml:space="preserve">." </w:instrText>
      </w:r>
      <w:r w:rsidRPr="002C208E">
        <w:fldChar w:fldCharType="separate"/>
      </w:r>
      <w:r w:rsidR="00AD3561">
        <w:rPr>
          <w:noProof/>
        </w:rPr>
        <w:instrText>B</w:instrText>
      </w:r>
      <w:r w:rsidR="00AD3561" w:rsidRPr="002C208E">
        <w:rPr>
          <w:noProof/>
        </w:rPr>
        <w:instrText>.</w:instrText>
      </w:r>
      <w:r w:rsidRPr="002C208E">
        <w:fldChar w:fldCharType="end"/>
      </w:r>
      <w:r w:rsidRPr="002C208E">
        <w:fldChar w:fldCharType="begin"/>
      </w:r>
      <w:r w:rsidRPr="002C208E">
        <w:instrText xml:space="preserve"> SEQ Item \* ARABIC \s </w:instrText>
      </w:r>
      <w:r w:rsidRPr="002C208E">
        <w:fldChar w:fldCharType="begin"/>
      </w:r>
      <w:r w:rsidRPr="002C208E">
        <w:instrText xml:space="preserve"> IF </w:instrText>
      </w:r>
      <w:r w:rsidRPr="002C208E">
        <w:rPr>
          <w:noProof/>
        </w:rPr>
        <w:fldChar w:fldCharType="begin"/>
      </w:r>
      <w:r w:rsidRPr="002C208E">
        <w:rPr>
          <w:noProof/>
        </w:rPr>
        <w:instrText xml:space="preserve"> STYLEREF "Heading 6" \l \n </w:instrText>
      </w:r>
      <w:r w:rsidRPr="002C208E">
        <w:rPr>
          <w:noProof/>
        </w:rPr>
        <w:fldChar w:fldCharType="separate"/>
      </w:r>
      <w:r w:rsidR="00AD3561">
        <w:rPr>
          <w:noProof/>
        </w:rPr>
        <w:instrText>B</w:instrText>
      </w:r>
      <w:r w:rsidRPr="002C208E">
        <w:rPr>
          <w:noProof/>
        </w:rPr>
        <w:fldChar w:fldCharType="end"/>
      </w:r>
      <w:r w:rsidRPr="002C208E">
        <w:instrText xml:space="preserve"> = 0 "</w:instrText>
      </w:r>
      <w:r w:rsidRPr="002C208E">
        <w:fldChar w:fldCharType="begin"/>
      </w:r>
      <w:r w:rsidRPr="002C208E">
        <w:instrText xml:space="preserve"> IF </w:instrText>
      </w:r>
      <w:r w:rsidRPr="002C208E">
        <w:rPr>
          <w:noProof/>
        </w:rPr>
        <w:fldChar w:fldCharType="begin"/>
      </w:r>
      <w:r w:rsidRPr="002C208E">
        <w:rPr>
          <w:noProof/>
        </w:rPr>
        <w:instrText xml:space="preserve"> STYLEREF "Heading 1" \l \n </w:instrText>
      </w:r>
      <w:r w:rsidRPr="002C208E">
        <w:rPr>
          <w:noProof/>
        </w:rPr>
        <w:fldChar w:fldCharType="separate"/>
      </w:r>
      <w:r w:rsidRPr="002C208E">
        <w:rPr>
          <w:noProof/>
        </w:rPr>
        <w:instrText>0</w:instrText>
      </w:r>
      <w:r w:rsidRPr="002C208E">
        <w:rPr>
          <w:noProof/>
        </w:rPr>
        <w:fldChar w:fldCharType="end"/>
      </w:r>
      <w:r w:rsidRPr="002C208E">
        <w:instrText xml:space="preserve"> = 0 "" "1" </w:instrText>
      </w:r>
      <w:r w:rsidRPr="002C208E">
        <w:fldChar w:fldCharType="end"/>
      </w:r>
      <w:r w:rsidRPr="002C208E">
        <w:instrText xml:space="preserve">" "6" </w:instrText>
      </w:r>
      <w:r w:rsidRPr="002C208E">
        <w:fldChar w:fldCharType="separate"/>
      </w:r>
      <w:r w:rsidR="00AD3561" w:rsidRPr="002C208E">
        <w:rPr>
          <w:noProof/>
        </w:rPr>
        <w:instrText>6</w:instrText>
      </w:r>
      <w:r w:rsidRPr="002C208E">
        <w:fldChar w:fldCharType="end"/>
      </w:r>
      <w:r w:rsidRPr="002C208E">
        <w:instrText xml:space="preserve"> </w:instrText>
      </w:r>
      <w:r w:rsidRPr="002C208E">
        <w:fldChar w:fldCharType="separate"/>
      </w:r>
      <w:r w:rsidR="00AD3561">
        <w:rPr>
          <w:noProof/>
        </w:rPr>
        <w:instrText>9</w:instrText>
      </w:r>
      <w:r w:rsidRPr="002C208E">
        <w:fldChar w:fldCharType="end"/>
      </w:r>
      <w:r w:rsidRPr="002C208E">
        <w:instrText xml:space="preserve">" "" </w:instrText>
      </w:r>
      <w:r w:rsidRPr="002C208E">
        <w:fldChar w:fldCharType="separate"/>
      </w:r>
      <w:bookmarkStart w:id="7531" w:name="_Caption7949"/>
      <w:bookmarkStart w:id="7532" w:name="_Caption5269"/>
      <w:bookmarkStart w:id="7533" w:name="_Caption8932"/>
      <w:bookmarkStart w:id="7534" w:name="_Caption9722"/>
      <w:bookmarkStart w:id="7535" w:name="_Caption3233"/>
      <w:bookmarkStart w:id="7536" w:name="_Caption6648"/>
      <w:bookmarkStart w:id="7537" w:name="_Caption4139"/>
      <w:bookmarkStart w:id="7538" w:name="_Caption4829"/>
      <w:bookmarkStart w:id="7539" w:name="_Caption2457"/>
      <w:bookmarkStart w:id="7540" w:name="_Caption5357"/>
      <w:bookmarkStart w:id="7541" w:name="_Caption0273"/>
      <w:bookmarkStart w:id="7542" w:name="_Caption8888"/>
      <w:bookmarkStart w:id="7543" w:name="_Caption1319"/>
      <w:bookmarkStart w:id="7544" w:name="_Caption2936"/>
      <w:bookmarkStart w:id="7545" w:name="_Caption5932"/>
      <w:bookmarkStart w:id="7546" w:name="_Caption5217"/>
      <w:bookmarkStart w:id="7547" w:name="_Caption4146"/>
      <w:bookmarkStart w:id="7548" w:name="_Caption5057"/>
      <w:bookmarkStart w:id="7549" w:name="_Caption1055"/>
      <w:bookmarkStart w:id="7550" w:name="_Caption3973"/>
      <w:bookmarkStart w:id="7551" w:name="_Caption0291"/>
      <w:bookmarkStart w:id="7552" w:name="_Caption4932"/>
      <w:bookmarkStart w:id="7553" w:name="_Caption3955"/>
      <w:bookmarkStart w:id="7554" w:name="_Caption5680"/>
      <w:bookmarkStart w:id="7555" w:name="_Caption0320"/>
      <w:bookmarkStart w:id="7556" w:name="_Caption0510"/>
      <w:bookmarkStart w:id="7557" w:name="_Caption3616"/>
      <w:bookmarkStart w:id="7558" w:name="_Caption3631"/>
      <w:bookmarkStart w:id="7559" w:name="_Caption4553"/>
      <w:bookmarkStart w:id="7560" w:name="_Caption0318"/>
      <w:bookmarkStart w:id="7561" w:name="_Caption0670"/>
      <w:bookmarkStart w:id="7562" w:name="_Caption7568"/>
      <w:bookmarkStart w:id="7563" w:name="_Caption1672"/>
      <w:bookmarkStart w:id="7564" w:name="_Caption9371"/>
      <w:bookmarkStart w:id="7565" w:name="_Caption4223"/>
      <w:bookmarkStart w:id="7566" w:name="_Caption0269"/>
      <w:bookmarkStart w:id="7567" w:name="_Caption9576"/>
      <w:bookmarkStart w:id="7568" w:name="_Caption8711"/>
      <w:bookmarkStart w:id="7569" w:name="_Caption3188"/>
      <w:bookmarkStart w:id="7570" w:name="_Caption2815"/>
      <w:bookmarkStart w:id="7571" w:name="_Caption1478"/>
      <w:bookmarkStart w:id="7572" w:name="_Caption1063"/>
      <w:bookmarkStart w:id="7573" w:name="_Caption6807"/>
      <w:bookmarkStart w:id="7574" w:name="_Caption0230"/>
      <w:bookmarkStart w:id="7575" w:name="_Caption7646"/>
      <w:bookmarkStart w:id="7576" w:name="_Caption9268"/>
      <w:bookmarkStart w:id="7577" w:name="_Caption6126"/>
      <w:bookmarkStart w:id="7578" w:name="_Caption2286"/>
      <w:bookmarkStart w:id="7579" w:name="_Caption9863"/>
      <w:bookmarkStart w:id="7580" w:name="_Caption8012"/>
      <w:bookmarkStart w:id="7581" w:name="_Caption7059"/>
      <w:bookmarkStart w:id="7582" w:name="_Caption9680"/>
      <w:bookmarkStart w:id="7583" w:name="_Caption7587"/>
      <w:bookmarkStart w:id="7584" w:name="_Caption4856"/>
      <w:bookmarkStart w:id="7585" w:name="_Caption3414"/>
      <w:bookmarkStart w:id="7586" w:name="_Caption8647"/>
      <w:bookmarkStart w:id="7587" w:name="_Caption6470"/>
      <w:bookmarkStart w:id="7588" w:name="_Caption7454"/>
      <w:bookmarkStart w:id="7589" w:name="_Caption1723"/>
      <w:bookmarkStart w:id="7590" w:name="_Caption1923"/>
      <w:bookmarkStart w:id="7591" w:name="_Caption0130"/>
      <w:bookmarkStart w:id="7592" w:name="_Caption7225"/>
      <w:bookmarkStart w:id="7593" w:name="_Caption5138"/>
      <w:bookmarkStart w:id="7594" w:name="_Caption0582"/>
      <w:bookmarkStart w:id="7595" w:name="_Caption6595"/>
      <w:bookmarkStart w:id="7596" w:name="_Caption6894"/>
      <w:bookmarkStart w:id="7597" w:name="_Caption4626"/>
      <w:bookmarkStart w:id="7598" w:name="_Caption2717"/>
      <w:bookmarkStart w:id="7599" w:name="_Caption9864"/>
      <w:bookmarkStart w:id="7600" w:name="_Caption9691"/>
      <w:bookmarkStart w:id="7601" w:name="_Caption6943"/>
      <w:bookmarkStart w:id="7602" w:name="_Caption4927"/>
      <w:bookmarkStart w:id="7603" w:name="_Caption5011"/>
      <w:bookmarkStart w:id="7604" w:name="_Caption2126"/>
      <w:bookmarkStart w:id="7605" w:name="_Caption5888"/>
      <w:bookmarkStart w:id="7606" w:name="_Caption7551"/>
      <w:bookmarkStart w:id="7607" w:name="_Caption6888"/>
      <w:bookmarkStart w:id="7608" w:name="_Caption5909"/>
      <w:bookmarkStart w:id="7609" w:name="_Caption4112"/>
      <w:bookmarkStart w:id="7610" w:name="_Caption1316"/>
      <w:bookmarkStart w:id="7611" w:name="_Caption3031"/>
      <w:bookmarkStart w:id="7612" w:name="_Caption5770"/>
      <w:bookmarkStart w:id="7613" w:name="_Caption9993"/>
      <w:bookmarkStart w:id="7614" w:name="_Caption4185"/>
      <w:bookmarkStart w:id="7615" w:name="_Caption8766"/>
      <w:bookmarkStart w:id="7616" w:name="_Caption8043"/>
      <w:bookmarkStart w:id="7617" w:name="_Caption4188"/>
      <w:bookmarkStart w:id="7618" w:name="_Caption0363"/>
      <w:bookmarkStart w:id="7619" w:name="_Caption3249"/>
      <w:bookmarkStart w:id="7620" w:name="_Caption0367"/>
      <w:bookmarkStart w:id="7621" w:name="_Caption3556"/>
      <w:bookmarkStart w:id="7622" w:name="_Caption3331"/>
      <w:bookmarkStart w:id="7623" w:name="_Caption6751"/>
      <w:bookmarkStart w:id="7624" w:name="_Caption3956"/>
      <w:bookmarkStart w:id="7625" w:name="_Caption2741"/>
      <w:bookmarkStart w:id="7626" w:name="_Caption5902"/>
      <w:bookmarkStart w:id="7627" w:name="_Caption7733"/>
      <w:bookmarkStart w:id="7628" w:name="_Caption6010"/>
      <w:bookmarkStart w:id="7629" w:name="_Caption3125"/>
      <w:bookmarkStart w:id="7630" w:name="_Caption6901"/>
      <w:bookmarkStart w:id="7631" w:name="_Toc530477067"/>
      <w:bookmarkStart w:id="7632" w:name="_Toc19275667"/>
      <w:bookmarkStart w:id="7633" w:name="_Toc19276277"/>
      <w:bookmarkStart w:id="7634" w:name="_Toc19280276"/>
      <w:r w:rsidR="00C353B5">
        <w:rPr>
          <w:noProof/>
        </w:rPr>
        <w:t>B</w:t>
      </w:r>
      <w:r w:rsidR="00C353B5" w:rsidRPr="002C208E">
        <w:rPr>
          <w:noProof/>
        </w:rPr>
        <w:t>.</w:t>
      </w:r>
      <w:r w:rsidR="00C353B5">
        <w:rPr>
          <w:noProof/>
        </w:rPr>
        <w:t>9</w:t>
      </w:r>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r w:rsidRPr="002C208E">
        <w:fldChar w:fldCharType="end"/>
      </w:r>
      <w:r w:rsidRPr="002C208E">
        <w:tab/>
        <w:t>Electricity emissions factors for end users</w:t>
      </w:r>
      <w:bookmarkEnd w:id="7631"/>
      <w:r>
        <w:t>, 2016-17</w:t>
      </w:r>
      <w:bookmarkEnd w:id="7632"/>
      <w:bookmarkEnd w:id="7633"/>
      <w:bookmarkEnd w:id="7634"/>
    </w:p>
    <w:tbl>
      <w:tblPr>
        <w:tblW w:w="7937" w:type="dxa"/>
        <w:tblLayout w:type="fixed"/>
        <w:tblLook w:val="0000" w:firstRow="0" w:lastRow="0" w:firstColumn="0" w:lastColumn="0" w:noHBand="0" w:noVBand="0"/>
      </w:tblPr>
      <w:tblGrid>
        <w:gridCol w:w="1575"/>
        <w:gridCol w:w="795"/>
        <w:gridCol w:w="796"/>
        <w:gridCol w:w="795"/>
        <w:gridCol w:w="795"/>
        <w:gridCol w:w="795"/>
        <w:gridCol w:w="795"/>
        <w:gridCol w:w="796"/>
        <w:gridCol w:w="795"/>
      </w:tblGrid>
      <w:tr w:rsidR="00ED0E85" w:rsidRPr="002360AA" w14:paraId="5871EB72" w14:textId="77777777" w:rsidTr="00ED0E85">
        <w:trPr>
          <w:trHeight w:val="80"/>
        </w:trPr>
        <w:tc>
          <w:tcPr>
            <w:tcW w:w="1575" w:type="dxa"/>
            <w:shd w:val="clear" w:color="auto" w:fill="6F6652"/>
            <w:tcMar>
              <w:left w:w="57" w:type="dxa"/>
              <w:right w:w="57" w:type="dxa"/>
            </w:tcMar>
          </w:tcPr>
          <w:p w14:paraId="29973CFD" w14:textId="77777777" w:rsidR="00ED0E85" w:rsidRPr="002360AA" w:rsidRDefault="00ED0E85" w:rsidP="00ED0E85">
            <w:pPr>
              <w:pStyle w:val="TableDataColumnHeading"/>
              <w:jc w:val="left"/>
              <w:rPr>
                <w:lang w:val="en-GB"/>
              </w:rPr>
            </w:pPr>
          </w:p>
        </w:tc>
        <w:tc>
          <w:tcPr>
            <w:tcW w:w="795" w:type="dxa"/>
            <w:shd w:val="clear" w:color="auto" w:fill="6F6652"/>
            <w:tcMar>
              <w:left w:w="57" w:type="dxa"/>
              <w:right w:w="57" w:type="dxa"/>
            </w:tcMar>
          </w:tcPr>
          <w:p w14:paraId="2A0B82CA" w14:textId="77777777" w:rsidR="00ED0E85" w:rsidRPr="002360AA" w:rsidRDefault="00ED0E85" w:rsidP="00ED0E85">
            <w:pPr>
              <w:pStyle w:val="TableDataColumnHeading"/>
              <w:rPr>
                <w:lang w:val="en-GB"/>
              </w:rPr>
            </w:pPr>
            <w:r w:rsidRPr="002360AA">
              <w:rPr>
                <w:lang w:val="en-GB"/>
              </w:rPr>
              <w:t>NSW</w:t>
            </w:r>
          </w:p>
        </w:tc>
        <w:tc>
          <w:tcPr>
            <w:tcW w:w="796" w:type="dxa"/>
            <w:shd w:val="clear" w:color="auto" w:fill="6F6652"/>
            <w:tcMar>
              <w:left w:w="57" w:type="dxa"/>
              <w:right w:w="57" w:type="dxa"/>
            </w:tcMar>
          </w:tcPr>
          <w:p w14:paraId="16A540CC" w14:textId="77777777" w:rsidR="00ED0E85" w:rsidRPr="002360AA" w:rsidRDefault="00ED0E85" w:rsidP="00ED0E85">
            <w:pPr>
              <w:pStyle w:val="TableDataColumnHeading"/>
              <w:rPr>
                <w:lang w:val="en-GB"/>
              </w:rPr>
            </w:pPr>
            <w:r w:rsidRPr="002360AA">
              <w:rPr>
                <w:lang w:val="en-GB"/>
              </w:rPr>
              <w:t>Vic</w:t>
            </w:r>
          </w:p>
        </w:tc>
        <w:tc>
          <w:tcPr>
            <w:tcW w:w="795" w:type="dxa"/>
            <w:shd w:val="clear" w:color="auto" w:fill="6F6652"/>
            <w:tcMar>
              <w:left w:w="57" w:type="dxa"/>
              <w:right w:w="57" w:type="dxa"/>
            </w:tcMar>
          </w:tcPr>
          <w:p w14:paraId="5CB39B8A" w14:textId="77777777" w:rsidR="00ED0E85" w:rsidRPr="002360AA" w:rsidRDefault="00ED0E85" w:rsidP="00ED0E85">
            <w:pPr>
              <w:pStyle w:val="TableDataColumnHeading"/>
              <w:rPr>
                <w:lang w:val="en-GB"/>
              </w:rPr>
            </w:pPr>
            <w:r w:rsidRPr="002360AA">
              <w:rPr>
                <w:lang w:val="en-GB"/>
              </w:rPr>
              <w:t>Qld</w:t>
            </w:r>
          </w:p>
        </w:tc>
        <w:tc>
          <w:tcPr>
            <w:tcW w:w="795" w:type="dxa"/>
            <w:shd w:val="clear" w:color="auto" w:fill="6F6652"/>
            <w:tcMar>
              <w:left w:w="57" w:type="dxa"/>
              <w:right w:w="57" w:type="dxa"/>
            </w:tcMar>
          </w:tcPr>
          <w:p w14:paraId="7162D745" w14:textId="77777777" w:rsidR="00ED0E85" w:rsidRPr="002360AA" w:rsidRDefault="00ED0E85" w:rsidP="00ED0E85">
            <w:pPr>
              <w:pStyle w:val="TableDataColumnHeading"/>
              <w:rPr>
                <w:lang w:val="en-GB"/>
              </w:rPr>
            </w:pPr>
            <w:r w:rsidRPr="002360AA">
              <w:rPr>
                <w:lang w:val="en-GB"/>
              </w:rPr>
              <w:t>SA</w:t>
            </w:r>
          </w:p>
        </w:tc>
        <w:tc>
          <w:tcPr>
            <w:tcW w:w="795" w:type="dxa"/>
            <w:shd w:val="clear" w:color="auto" w:fill="6F6652"/>
            <w:tcMar>
              <w:left w:w="57" w:type="dxa"/>
              <w:right w:w="57" w:type="dxa"/>
            </w:tcMar>
          </w:tcPr>
          <w:p w14:paraId="77E95F9C" w14:textId="77777777" w:rsidR="00ED0E85" w:rsidRPr="002360AA" w:rsidRDefault="00ED0E85" w:rsidP="00ED0E85">
            <w:pPr>
              <w:pStyle w:val="TableDataColumnHeading"/>
              <w:rPr>
                <w:lang w:val="en-GB"/>
              </w:rPr>
            </w:pPr>
            <w:r w:rsidRPr="002360AA">
              <w:rPr>
                <w:lang w:val="en-GB"/>
              </w:rPr>
              <w:t>WA</w:t>
            </w:r>
          </w:p>
        </w:tc>
        <w:tc>
          <w:tcPr>
            <w:tcW w:w="795" w:type="dxa"/>
            <w:shd w:val="clear" w:color="auto" w:fill="6F6652"/>
            <w:tcMar>
              <w:left w:w="57" w:type="dxa"/>
              <w:right w:w="57" w:type="dxa"/>
            </w:tcMar>
          </w:tcPr>
          <w:p w14:paraId="4F05D317" w14:textId="77777777" w:rsidR="00ED0E85" w:rsidRPr="002360AA" w:rsidRDefault="00ED0E85" w:rsidP="00ED0E85">
            <w:pPr>
              <w:pStyle w:val="TableDataColumnHeading"/>
              <w:rPr>
                <w:lang w:val="en-GB"/>
              </w:rPr>
            </w:pPr>
            <w:r w:rsidRPr="002360AA">
              <w:rPr>
                <w:lang w:val="en-GB"/>
              </w:rPr>
              <w:t>Tas</w:t>
            </w:r>
          </w:p>
        </w:tc>
        <w:tc>
          <w:tcPr>
            <w:tcW w:w="796" w:type="dxa"/>
            <w:shd w:val="clear" w:color="auto" w:fill="6F6652"/>
            <w:tcMar>
              <w:left w:w="57" w:type="dxa"/>
              <w:right w:w="57" w:type="dxa"/>
            </w:tcMar>
          </w:tcPr>
          <w:p w14:paraId="2D7FF718" w14:textId="77777777" w:rsidR="00ED0E85" w:rsidRPr="002360AA" w:rsidRDefault="00ED0E85" w:rsidP="00ED0E85">
            <w:pPr>
              <w:pStyle w:val="TableDataColumnHeading"/>
              <w:rPr>
                <w:lang w:val="en-GB"/>
              </w:rPr>
            </w:pPr>
            <w:r w:rsidRPr="002360AA">
              <w:rPr>
                <w:lang w:val="en-GB"/>
              </w:rPr>
              <w:t>ACT</w:t>
            </w:r>
          </w:p>
        </w:tc>
        <w:tc>
          <w:tcPr>
            <w:tcW w:w="795" w:type="dxa"/>
            <w:shd w:val="clear" w:color="auto" w:fill="6F6652"/>
            <w:tcMar>
              <w:left w:w="57" w:type="dxa"/>
              <w:right w:w="57" w:type="dxa"/>
            </w:tcMar>
          </w:tcPr>
          <w:p w14:paraId="2137101D" w14:textId="77777777" w:rsidR="00ED0E85" w:rsidRPr="002360AA" w:rsidRDefault="00ED0E85" w:rsidP="00ED0E85">
            <w:pPr>
              <w:pStyle w:val="TableDataColumnHeading"/>
              <w:rPr>
                <w:lang w:val="en-GB"/>
              </w:rPr>
            </w:pPr>
            <w:r w:rsidRPr="002360AA">
              <w:rPr>
                <w:lang w:val="en-GB"/>
              </w:rPr>
              <w:t>NT</w:t>
            </w:r>
          </w:p>
        </w:tc>
      </w:tr>
      <w:tr w:rsidR="00ED0E85" w:rsidRPr="002360AA" w14:paraId="0C93508A" w14:textId="77777777" w:rsidTr="00ED0E85">
        <w:trPr>
          <w:trHeight w:val="461"/>
        </w:trPr>
        <w:tc>
          <w:tcPr>
            <w:tcW w:w="1575" w:type="dxa"/>
            <w:tcBorders>
              <w:bottom w:val="single" w:sz="8" w:space="0" w:color="FFFFFF" w:themeColor="background1"/>
            </w:tcBorders>
            <w:shd w:val="clear" w:color="auto" w:fill="auto"/>
            <w:tcMar>
              <w:left w:w="57" w:type="dxa"/>
              <w:right w:w="57" w:type="dxa"/>
            </w:tcMar>
          </w:tcPr>
          <w:p w14:paraId="2562561F" w14:textId="77777777" w:rsidR="00ED0E85" w:rsidRPr="002360AA" w:rsidRDefault="00ED0E85" w:rsidP="00ED0E85">
            <w:pPr>
              <w:pStyle w:val="TableUnit"/>
              <w:jc w:val="left"/>
              <w:rPr>
                <w:lang w:val="en-GB"/>
              </w:rPr>
            </w:pPr>
          </w:p>
        </w:tc>
        <w:tc>
          <w:tcPr>
            <w:tcW w:w="795" w:type="dxa"/>
            <w:tcBorders>
              <w:bottom w:val="single" w:sz="8" w:space="0" w:color="FFFFFF" w:themeColor="background1"/>
            </w:tcBorders>
            <w:shd w:val="clear" w:color="auto" w:fill="auto"/>
            <w:tcMar>
              <w:left w:w="57" w:type="dxa"/>
              <w:right w:w="57" w:type="dxa"/>
            </w:tcMar>
          </w:tcPr>
          <w:p w14:paraId="488EB7B5" w14:textId="77777777" w:rsidR="00ED0E85" w:rsidRPr="002360AA" w:rsidRDefault="00ED0E85" w:rsidP="00ED0E85">
            <w:pPr>
              <w:pStyle w:val="TableUnit"/>
              <w:rPr>
                <w:lang w:val="en-GB"/>
              </w:rPr>
            </w:pPr>
            <w:r w:rsidRPr="002360AA">
              <w:rPr>
                <w:lang w:val="en-GB"/>
              </w:rPr>
              <w:t>Kg CO</w:t>
            </w:r>
            <w:r w:rsidRPr="002360AA">
              <w:rPr>
                <w:vertAlign w:val="subscript"/>
                <w:lang w:val="en-GB"/>
              </w:rPr>
              <w:t>2-e</w:t>
            </w:r>
            <w:r w:rsidRPr="002360AA">
              <w:rPr>
                <w:lang w:val="en-GB"/>
              </w:rPr>
              <w:t xml:space="preserve"> per Kwh</w:t>
            </w:r>
          </w:p>
        </w:tc>
        <w:tc>
          <w:tcPr>
            <w:tcW w:w="796" w:type="dxa"/>
            <w:tcBorders>
              <w:bottom w:val="single" w:sz="8" w:space="0" w:color="FFFFFF" w:themeColor="background1"/>
            </w:tcBorders>
            <w:shd w:val="clear" w:color="auto" w:fill="auto"/>
            <w:tcMar>
              <w:left w:w="57" w:type="dxa"/>
              <w:right w:w="57" w:type="dxa"/>
            </w:tcMar>
          </w:tcPr>
          <w:p w14:paraId="262A696E" w14:textId="77777777" w:rsidR="00ED0E85" w:rsidRPr="002360AA" w:rsidRDefault="00ED0E85" w:rsidP="00ED0E85">
            <w:pPr>
              <w:pStyle w:val="TableUnit"/>
              <w:rPr>
                <w:lang w:val="en-GB"/>
              </w:rPr>
            </w:pPr>
            <w:r w:rsidRPr="002360AA">
              <w:rPr>
                <w:lang w:val="en-GB"/>
              </w:rPr>
              <w:t>Kg CO</w:t>
            </w:r>
            <w:r w:rsidRPr="002360AA">
              <w:rPr>
                <w:vertAlign w:val="subscript"/>
                <w:lang w:val="en-GB"/>
              </w:rPr>
              <w:t>2-e</w:t>
            </w:r>
            <w:r w:rsidRPr="002360AA">
              <w:rPr>
                <w:lang w:val="en-GB"/>
              </w:rPr>
              <w:t xml:space="preserve"> per Kwh</w:t>
            </w:r>
          </w:p>
        </w:tc>
        <w:tc>
          <w:tcPr>
            <w:tcW w:w="795" w:type="dxa"/>
            <w:tcBorders>
              <w:bottom w:val="single" w:sz="8" w:space="0" w:color="FFFFFF" w:themeColor="background1"/>
            </w:tcBorders>
            <w:shd w:val="clear" w:color="auto" w:fill="auto"/>
            <w:tcMar>
              <w:left w:w="57" w:type="dxa"/>
              <w:right w:w="57" w:type="dxa"/>
            </w:tcMar>
          </w:tcPr>
          <w:p w14:paraId="441B7029" w14:textId="77777777" w:rsidR="00ED0E85" w:rsidRPr="002360AA" w:rsidRDefault="00ED0E85" w:rsidP="00ED0E85">
            <w:pPr>
              <w:pStyle w:val="TableUnit"/>
              <w:rPr>
                <w:lang w:val="en-GB"/>
              </w:rPr>
            </w:pPr>
            <w:r w:rsidRPr="002360AA">
              <w:rPr>
                <w:lang w:val="en-GB"/>
              </w:rPr>
              <w:t>Kg CO</w:t>
            </w:r>
            <w:r w:rsidRPr="002360AA">
              <w:rPr>
                <w:vertAlign w:val="subscript"/>
                <w:lang w:val="en-GB"/>
              </w:rPr>
              <w:t>2-e</w:t>
            </w:r>
            <w:r w:rsidRPr="002360AA">
              <w:rPr>
                <w:lang w:val="en-GB"/>
              </w:rPr>
              <w:t xml:space="preserve"> per Kwh</w:t>
            </w:r>
          </w:p>
        </w:tc>
        <w:tc>
          <w:tcPr>
            <w:tcW w:w="795" w:type="dxa"/>
            <w:tcBorders>
              <w:bottom w:val="single" w:sz="8" w:space="0" w:color="FFFFFF" w:themeColor="background1"/>
            </w:tcBorders>
            <w:shd w:val="clear" w:color="auto" w:fill="auto"/>
            <w:tcMar>
              <w:left w:w="57" w:type="dxa"/>
              <w:right w:w="57" w:type="dxa"/>
            </w:tcMar>
          </w:tcPr>
          <w:p w14:paraId="6BAAAE82" w14:textId="77777777" w:rsidR="00ED0E85" w:rsidRPr="002360AA" w:rsidRDefault="00ED0E85" w:rsidP="00ED0E85">
            <w:pPr>
              <w:pStyle w:val="TableUnit"/>
              <w:rPr>
                <w:lang w:val="en-GB"/>
              </w:rPr>
            </w:pPr>
            <w:r w:rsidRPr="002360AA">
              <w:rPr>
                <w:lang w:val="en-GB"/>
              </w:rPr>
              <w:t>Kg CO</w:t>
            </w:r>
            <w:r w:rsidRPr="002360AA">
              <w:rPr>
                <w:vertAlign w:val="subscript"/>
                <w:lang w:val="en-GB"/>
              </w:rPr>
              <w:t>2-e</w:t>
            </w:r>
            <w:r w:rsidRPr="002360AA">
              <w:rPr>
                <w:lang w:val="en-GB"/>
              </w:rPr>
              <w:t xml:space="preserve"> per Kwh</w:t>
            </w:r>
          </w:p>
        </w:tc>
        <w:tc>
          <w:tcPr>
            <w:tcW w:w="795" w:type="dxa"/>
            <w:tcBorders>
              <w:bottom w:val="single" w:sz="8" w:space="0" w:color="FFFFFF" w:themeColor="background1"/>
            </w:tcBorders>
            <w:shd w:val="clear" w:color="auto" w:fill="auto"/>
            <w:tcMar>
              <w:left w:w="57" w:type="dxa"/>
              <w:right w:w="57" w:type="dxa"/>
            </w:tcMar>
          </w:tcPr>
          <w:p w14:paraId="0DF5945C" w14:textId="77777777" w:rsidR="00ED0E85" w:rsidRPr="002360AA" w:rsidRDefault="00ED0E85" w:rsidP="00ED0E85">
            <w:pPr>
              <w:pStyle w:val="TableUnit"/>
              <w:rPr>
                <w:lang w:val="en-GB"/>
              </w:rPr>
            </w:pPr>
            <w:r w:rsidRPr="002360AA">
              <w:rPr>
                <w:lang w:val="en-GB"/>
              </w:rPr>
              <w:t>Kg CO</w:t>
            </w:r>
            <w:r w:rsidRPr="002360AA">
              <w:rPr>
                <w:vertAlign w:val="subscript"/>
                <w:lang w:val="en-GB"/>
              </w:rPr>
              <w:t>2-e</w:t>
            </w:r>
            <w:r w:rsidRPr="002360AA">
              <w:rPr>
                <w:lang w:val="en-GB"/>
              </w:rPr>
              <w:t xml:space="preserve"> per Kwh</w:t>
            </w:r>
          </w:p>
        </w:tc>
        <w:tc>
          <w:tcPr>
            <w:tcW w:w="795" w:type="dxa"/>
            <w:tcBorders>
              <w:bottom w:val="single" w:sz="8" w:space="0" w:color="FFFFFF" w:themeColor="background1"/>
            </w:tcBorders>
            <w:shd w:val="clear" w:color="auto" w:fill="auto"/>
            <w:tcMar>
              <w:left w:w="57" w:type="dxa"/>
              <w:right w:w="57" w:type="dxa"/>
            </w:tcMar>
          </w:tcPr>
          <w:p w14:paraId="21494CE3" w14:textId="77777777" w:rsidR="00ED0E85" w:rsidRPr="002360AA" w:rsidRDefault="00ED0E85" w:rsidP="00ED0E85">
            <w:pPr>
              <w:pStyle w:val="TableUnit"/>
              <w:rPr>
                <w:lang w:val="en-GB"/>
              </w:rPr>
            </w:pPr>
            <w:r w:rsidRPr="002360AA">
              <w:rPr>
                <w:lang w:val="en-GB"/>
              </w:rPr>
              <w:t>Kg CO</w:t>
            </w:r>
            <w:r w:rsidRPr="002360AA">
              <w:rPr>
                <w:vertAlign w:val="subscript"/>
                <w:lang w:val="en-GB"/>
              </w:rPr>
              <w:t>2-e</w:t>
            </w:r>
            <w:r w:rsidRPr="002360AA">
              <w:rPr>
                <w:lang w:val="en-GB"/>
              </w:rPr>
              <w:t xml:space="preserve"> per Kwh</w:t>
            </w:r>
          </w:p>
        </w:tc>
        <w:tc>
          <w:tcPr>
            <w:tcW w:w="796" w:type="dxa"/>
            <w:tcBorders>
              <w:bottom w:val="single" w:sz="8" w:space="0" w:color="FFFFFF" w:themeColor="background1"/>
            </w:tcBorders>
            <w:shd w:val="clear" w:color="auto" w:fill="auto"/>
            <w:tcMar>
              <w:left w:w="57" w:type="dxa"/>
              <w:right w:w="57" w:type="dxa"/>
            </w:tcMar>
          </w:tcPr>
          <w:p w14:paraId="1417748A" w14:textId="77777777" w:rsidR="00ED0E85" w:rsidRPr="002360AA" w:rsidRDefault="00ED0E85" w:rsidP="00ED0E85">
            <w:pPr>
              <w:pStyle w:val="TableUnit"/>
              <w:rPr>
                <w:lang w:val="en-GB"/>
              </w:rPr>
            </w:pPr>
            <w:r w:rsidRPr="002360AA">
              <w:rPr>
                <w:lang w:val="en-GB"/>
              </w:rPr>
              <w:t>Kg CO</w:t>
            </w:r>
            <w:r w:rsidRPr="002360AA">
              <w:rPr>
                <w:vertAlign w:val="subscript"/>
                <w:lang w:val="en-GB"/>
              </w:rPr>
              <w:t>2-e</w:t>
            </w:r>
            <w:r w:rsidRPr="002360AA">
              <w:rPr>
                <w:lang w:val="en-GB"/>
              </w:rPr>
              <w:t xml:space="preserve"> per Kwh</w:t>
            </w:r>
          </w:p>
        </w:tc>
        <w:tc>
          <w:tcPr>
            <w:tcW w:w="795" w:type="dxa"/>
            <w:tcBorders>
              <w:bottom w:val="single" w:sz="8" w:space="0" w:color="FFFFFF" w:themeColor="background1"/>
            </w:tcBorders>
            <w:shd w:val="clear" w:color="auto" w:fill="auto"/>
            <w:tcMar>
              <w:left w:w="57" w:type="dxa"/>
              <w:right w:w="57" w:type="dxa"/>
            </w:tcMar>
          </w:tcPr>
          <w:p w14:paraId="62DE7DF7" w14:textId="77777777" w:rsidR="00ED0E85" w:rsidRPr="002360AA" w:rsidRDefault="00ED0E85" w:rsidP="00ED0E85">
            <w:pPr>
              <w:pStyle w:val="TableUnit"/>
              <w:rPr>
                <w:lang w:val="en-GB"/>
              </w:rPr>
            </w:pPr>
            <w:r w:rsidRPr="002360AA">
              <w:rPr>
                <w:lang w:val="en-GB"/>
              </w:rPr>
              <w:t>Kg CO</w:t>
            </w:r>
            <w:r w:rsidRPr="002360AA">
              <w:rPr>
                <w:vertAlign w:val="subscript"/>
                <w:lang w:val="en-GB"/>
              </w:rPr>
              <w:t>2-e</w:t>
            </w:r>
            <w:r w:rsidRPr="002360AA">
              <w:rPr>
                <w:lang w:val="en-GB"/>
              </w:rPr>
              <w:t xml:space="preserve"> per Kwh</w:t>
            </w:r>
          </w:p>
        </w:tc>
      </w:tr>
      <w:tr w:rsidR="00ED0E85" w:rsidRPr="002360AA" w14:paraId="76DA68C7" w14:textId="77777777" w:rsidTr="00ED0E85">
        <w:trPr>
          <w:trHeight w:val="230"/>
        </w:trPr>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856F84" w14:textId="77777777" w:rsidR="00ED0E85" w:rsidRPr="002360AA" w:rsidRDefault="00ED0E85" w:rsidP="00ED0E85">
            <w:pPr>
              <w:pStyle w:val="TableDataEntries"/>
              <w:jc w:val="left"/>
              <w:rPr>
                <w:lang w:val="en-GB"/>
              </w:rPr>
            </w:pPr>
            <w:r w:rsidRPr="002360AA">
              <w:rPr>
                <w:lang w:val="en-GB"/>
              </w:rPr>
              <w:t>Scope 2 emissions</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13C2F7" w14:textId="77777777" w:rsidR="00ED0E85" w:rsidRPr="002360AA" w:rsidRDefault="00ED0E85" w:rsidP="00ED0E85">
            <w:pPr>
              <w:pStyle w:val="TableDataEntries"/>
              <w:rPr>
                <w:lang w:val="en-GB"/>
              </w:rPr>
            </w:pPr>
            <w:r w:rsidRPr="002360AA">
              <w:rPr>
                <w:lang w:val="en-GB"/>
              </w:rPr>
              <w:t>0.82</w:t>
            </w:r>
          </w:p>
        </w:tc>
        <w:tc>
          <w:tcPr>
            <w:tcW w:w="7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2B576B" w14:textId="77777777" w:rsidR="00ED0E85" w:rsidRPr="002360AA" w:rsidRDefault="00ED0E85" w:rsidP="00ED0E85">
            <w:pPr>
              <w:pStyle w:val="TableDataEntries"/>
              <w:rPr>
                <w:lang w:val="en-GB"/>
              </w:rPr>
            </w:pPr>
            <w:r w:rsidRPr="002360AA">
              <w:rPr>
                <w:lang w:val="en-GB"/>
              </w:rPr>
              <w:t>1.07</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C58DF8" w14:textId="77777777" w:rsidR="00ED0E85" w:rsidRPr="002360AA" w:rsidRDefault="00ED0E85" w:rsidP="00ED0E85">
            <w:pPr>
              <w:pStyle w:val="TableDataEntries"/>
              <w:rPr>
                <w:lang w:val="en-GB"/>
              </w:rPr>
            </w:pPr>
            <w:r w:rsidRPr="002360AA">
              <w:rPr>
                <w:lang w:val="en-GB"/>
              </w:rPr>
              <w:t>0.80</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E444BA" w14:textId="77777777" w:rsidR="00ED0E85" w:rsidRPr="002360AA" w:rsidRDefault="00ED0E85" w:rsidP="00ED0E85">
            <w:pPr>
              <w:pStyle w:val="TableDataEntries"/>
              <w:rPr>
                <w:lang w:val="en-GB"/>
              </w:rPr>
            </w:pPr>
            <w:r w:rsidRPr="002360AA">
              <w:rPr>
                <w:lang w:val="en-GB"/>
              </w:rPr>
              <w:t>0.51</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2D610D" w14:textId="77777777" w:rsidR="00ED0E85" w:rsidRPr="002360AA" w:rsidRDefault="00ED0E85" w:rsidP="00ED0E85">
            <w:pPr>
              <w:pStyle w:val="TableDataEntries"/>
              <w:rPr>
                <w:lang w:val="en-GB"/>
              </w:rPr>
            </w:pPr>
            <w:r w:rsidRPr="002360AA">
              <w:rPr>
                <w:lang w:val="en-GB"/>
              </w:rPr>
              <w:t>0.70</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F0DC27" w14:textId="77777777" w:rsidR="00ED0E85" w:rsidRPr="002360AA" w:rsidRDefault="00ED0E85" w:rsidP="00ED0E85">
            <w:pPr>
              <w:pStyle w:val="TableDataEntries"/>
              <w:rPr>
                <w:lang w:val="en-GB"/>
              </w:rPr>
            </w:pPr>
            <w:r w:rsidRPr="002360AA">
              <w:rPr>
                <w:lang w:val="en-GB"/>
              </w:rPr>
              <w:t>0.19</w:t>
            </w:r>
          </w:p>
        </w:tc>
        <w:tc>
          <w:tcPr>
            <w:tcW w:w="7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3AB95B" w14:textId="77777777" w:rsidR="00ED0E85" w:rsidRPr="002360AA" w:rsidRDefault="00ED0E85" w:rsidP="00ED0E85">
            <w:pPr>
              <w:pStyle w:val="TableDataEntries"/>
              <w:rPr>
                <w:lang w:val="en-GB"/>
              </w:rPr>
            </w:pPr>
            <w:r w:rsidRPr="002360AA">
              <w:rPr>
                <w:lang w:val="en-GB"/>
              </w:rPr>
              <w:t>0.82</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E5CC45" w14:textId="77777777" w:rsidR="00ED0E85" w:rsidRPr="002360AA" w:rsidRDefault="00ED0E85" w:rsidP="00ED0E85">
            <w:pPr>
              <w:pStyle w:val="TableDataEntries"/>
              <w:rPr>
                <w:lang w:val="en-GB"/>
              </w:rPr>
            </w:pPr>
            <w:r w:rsidRPr="002360AA">
              <w:rPr>
                <w:lang w:val="en-GB"/>
              </w:rPr>
              <w:t>0.64</w:t>
            </w:r>
          </w:p>
        </w:tc>
      </w:tr>
      <w:tr w:rsidR="00ED0E85" w:rsidRPr="002360AA" w14:paraId="726DB02E" w14:textId="77777777" w:rsidTr="00ED0E85">
        <w:trPr>
          <w:trHeight w:val="230"/>
        </w:trPr>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F281D8" w14:textId="77777777" w:rsidR="00ED0E85" w:rsidRPr="002360AA" w:rsidRDefault="00ED0E85" w:rsidP="00ED0E85">
            <w:pPr>
              <w:pStyle w:val="TableDataEntries"/>
              <w:jc w:val="left"/>
              <w:rPr>
                <w:lang w:val="en-GB"/>
              </w:rPr>
            </w:pPr>
            <w:r w:rsidRPr="002360AA">
              <w:rPr>
                <w:lang w:val="en-GB"/>
              </w:rPr>
              <w:t>Scope 3 emissions</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6C1681" w14:textId="77777777" w:rsidR="00ED0E85" w:rsidRPr="002360AA" w:rsidRDefault="00ED0E85" w:rsidP="00ED0E85">
            <w:pPr>
              <w:pStyle w:val="TableDataEntries"/>
              <w:rPr>
                <w:lang w:val="en-GB"/>
              </w:rPr>
            </w:pPr>
            <w:r w:rsidRPr="002360AA">
              <w:rPr>
                <w:lang w:val="en-GB"/>
              </w:rPr>
              <w:t>0.10</w:t>
            </w:r>
          </w:p>
        </w:tc>
        <w:tc>
          <w:tcPr>
            <w:tcW w:w="7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A8474D" w14:textId="77777777" w:rsidR="00ED0E85" w:rsidRPr="002360AA" w:rsidRDefault="00ED0E85" w:rsidP="00ED0E85">
            <w:pPr>
              <w:pStyle w:val="TableDataEntries"/>
              <w:rPr>
                <w:lang w:val="en-GB"/>
              </w:rPr>
            </w:pPr>
            <w:r w:rsidRPr="002360AA">
              <w:rPr>
                <w:lang w:val="en-GB"/>
              </w:rPr>
              <w:t>0.10</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C4394D" w14:textId="77777777" w:rsidR="00ED0E85" w:rsidRPr="002360AA" w:rsidRDefault="00ED0E85" w:rsidP="00ED0E85">
            <w:pPr>
              <w:pStyle w:val="TableDataEntries"/>
              <w:rPr>
                <w:lang w:val="en-GB"/>
              </w:rPr>
            </w:pPr>
            <w:r w:rsidRPr="002360AA">
              <w:rPr>
                <w:lang w:val="en-GB"/>
              </w:rPr>
              <w:t>0.13</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D72122" w14:textId="77777777" w:rsidR="00ED0E85" w:rsidRPr="002360AA" w:rsidRDefault="00ED0E85" w:rsidP="00ED0E85">
            <w:pPr>
              <w:pStyle w:val="TableDataEntries"/>
              <w:rPr>
                <w:lang w:val="en-GB"/>
              </w:rPr>
            </w:pPr>
            <w:r w:rsidRPr="002360AA">
              <w:rPr>
                <w:lang w:val="en-GB"/>
              </w:rPr>
              <w:t>0.10</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1EC6E1" w14:textId="77777777" w:rsidR="00ED0E85" w:rsidRPr="002360AA" w:rsidRDefault="00ED0E85" w:rsidP="00ED0E85">
            <w:pPr>
              <w:pStyle w:val="TableDataEntries"/>
              <w:rPr>
                <w:lang w:val="en-GB"/>
              </w:rPr>
            </w:pPr>
            <w:r w:rsidRPr="002360AA">
              <w:rPr>
                <w:lang w:val="en-GB"/>
              </w:rPr>
              <w:t>0.05</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C0820D" w14:textId="77777777" w:rsidR="00ED0E85" w:rsidRPr="002360AA" w:rsidRDefault="00ED0E85" w:rsidP="00ED0E85">
            <w:pPr>
              <w:pStyle w:val="TableDataEntries"/>
              <w:rPr>
                <w:lang w:val="en-GB"/>
              </w:rPr>
            </w:pPr>
            <w:r w:rsidRPr="002360AA">
              <w:rPr>
                <w:lang w:val="en-GB"/>
              </w:rPr>
              <w:t>0.03</w:t>
            </w:r>
          </w:p>
        </w:tc>
        <w:tc>
          <w:tcPr>
            <w:tcW w:w="7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49FE2C" w14:textId="77777777" w:rsidR="00ED0E85" w:rsidRPr="002360AA" w:rsidRDefault="00ED0E85" w:rsidP="00ED0E85">
            <w:pPr>
              <w:pStyle w:val="TableDataEntries"/>
              <w:rPr>
                <w:lang w:val="en-GB"/>
              </w:rPr>
            </w:pPr>
            <w:r w:rsidRPr="002360AA">
              <w:rPr>
                <w:lang w:val="en-GB"/>
              </w:rPr>
              <w:t>0.10</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A8A278" w14:textId="77777777" w:rsidR="00ED0E85" w:rsidRPr="002360AA" w:rsidRDefault="00ED0E85" w:rsidP="00ED0E85">
            <w:pPr>
              <w:pStyle w:val="TableDataEntries"/>
              <w:rPr>
                <w:lang w:val="en-GB"/>
              </w:rPr>
            </w:pPr>
            <w:r w:rsidRPr="002360AA">
              <w:rPr>
                <w:lang w:val="en-GB"/>
              </w:rPr>
              <w:t>0.09</w:t>
            </w:r>
          </w:p>
        </w:tc>
      </w:tr>
      <w:tr w:rsidR="00ED0E85" w:rsidRPr="00143A66" w14:paraId="45C09AB8" w14:textId="77777777" w:rsidTr="00ED0E85">
        <w:trPr>
          <w:trHeight w:val="230"/>
        </w:trPr>
        <w:tc>
          <w:tcPr>
            <w:tcW w:w="157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50CC5B3" w14:textId="77777777" w:rsidR="00ED0E85" w:rsidRPr="00143A66" w:rsidRDefault="00ED0E85" w:rsidP="00ED0E85">
            <w:pPr>
              <w:pStyle w:val="TableDataEntries"/>
              <w:jc w:val="left"/>
              <w:rPr>
                <w:rFonts w:ascii="Franklin Gothic Demi" w:hAnsi="Franklin Gothic Demi"/>
                <w:lang w:val="en-GB"/>
              </w:rPr>
            </w:pPr>
            <w:r w:rsidRPr="00143A66">
              <w:rPr>
                <w:rFonts w:ascii="Franklin Gothic Demi" w:hAnsi="Franklin Gothic Demi"/>
                <w:lang w:val="en-GB"/>
              </w:rPr>
              <w:t>Total</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60960F0" w14:textId="77777777" w:rsidR="00ED0E85" w:rsidRPr="00143A66" w:rsidRDefault="00ED0E85" w:rsidP="00ED0E85">
            <w:pPr>
              <w:pStyle w:val="TableDataEntries"/>
              <w:rPr>
                <w:rFonts w:ascii="Franklin Gothic Demi" w:hAnsi="Franklin Gothic Demi"/>
                <w:lang w:val="en-GB"/>
              </w:rPr>
            </w:pPr>
            <w:r w:rsidRPr="00143A66">
              <w:rPr>
                <w:rFonts w:ascii="Franklin Gothic Demi" w:hAnsi="Franklin Gothic Demi"/>
                <w:lang w:val="en-GB"/>
              </w:rPr>
              <w:t>0.92</w:t>
            </w:r>
          </w:p>
        </w:tc>
        <w:tc>
          <w:tcPr>
            <w:tcW w:w="79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0D882DF" w14:textId="77777777" w:rsidR="00ED0E85" w:rsidRPr="00143A66" w:rsidRDefault="00ED0E85" w:rsidP="00ED0E85">
            <w:pPr>
              <w:pStyle w:val="TableDataEntries"/>
              <w:rPr>
                <w:rFonts w:ascii="Franklin Gothic Demi" w:hAnsi="Franklin Gothic Demi"/>
                <w:lang w:val="en-GB"/>
              </w:rPr>
            </w:pPr>
            <w:r w:rsidRPr="00143A66">
              <w:rPr>
                <w:rFonts w:ascii="Franklin Gothic Demi" w:hAnsi="Franklin Gothic Demi"/>
                <w:lang w:val="en-GB"/>
              </w:rPr>
              <w:t>1.17</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D217AE0" w14:textId="77777777" w:rsidR="00ED0E85" w:rsidRPr="00143A66" w:rsidRDefault="00ED0E85" w:rsidP="00ED0E85">
            <w:pPr>
              <w:pStyle w:val="TableDataEntries"/>
              <w:rPr>
                <w:rFonts w:ascii="Franklin Gothic Demi" w:hAnsi="Franklin Gothic Demi"/>
                <w:lang w:val="en-GB"/>
              </w:rPr>
            </w:pPr>
            <w:r w:rsidRPr="00143A66">
              <w:rPr>
                <w:rFonts w:ascii="Franklin Gothic Demi" w:hAnsi="Franklin Gothic Demi"/>
                <w:lang w:val="en-GB"/>
              </w:rPr>
              <w:t>0.93</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873E9BA" w14:textId="77777777" w:rsidR="00ED0E85" w:rsidRPr="00143A66" w:rsidRDefault="00ED0E85" w:rsidP="00ED0E85">
            <w:pPr>
              <w:pStyle w:val="TableDataEntries"/>
              <w:rPr>
                <w:rFonts w:ascii="Franklin Gothic Demi" w:hAnsi="Franklin Gothic Demi"/>
                <w:lang w:val="en-GB"/>
              </w:rPr>
            </w:pPr>
            <w:r w:rsidRPr="00143A66">
              <w:rPr>
                <w:rFonts w:ascii="Franklin Gothic Demi" w:hAnsi="Franklin Gothic Demi"/>
                <w:lang w:val="en-GB"/>
              </w:rPr>
              <w:t>0.61</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1DA2BE8" w14:textId="77777777" w:rsidR="00ED0E85" w:rsidRPr="00143A66" w:rsidRDefault="00ED0E85" w:rsidP="00ED0E85">
            <w:pPr>
              <w:pStyle w:val="TableDataEntries"/>
              <w:rPr>
                <w:rFonts w:ascii="Franklin Gothic Demi" w:hAnsi="Franklin Gothic Demi"/>
                <w:lang w:val="en-GB"/>
              </w:rPr>
            </w:pPr>
            <w:r w:rsidRPr="00143A66">
              <w:rPr>
                <w:rFonts w:ascii="Franklin Gothic Demi" w:hAnsi="Franklin Gothic Demi"/>
                <w:lang w:val="en-GB"/>
              </w:rPr>
              <w:t>0.75</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9D34AFC" w14:textId="77777777" w:rsidR="00ED0E85" w:rsidRPr="00143A66" w:rsidRDefault="00ED0E85" w:rsidP="00ED0E85">
            <w:pPr>
              <w:pStyle w:val="TableDataEntries"/>
              <w:rPr>
                <w:rFonts w:ascii="Franklin Gothic Demi" w:hAnsi="Franklin Gothic Demi"/>
                <w:lang w:val="en-GB"/>
              </w:rPr>
            </w:pPr>
            <w:r w:rsidRPr="00143A66">
              <w:rPr>
                <w:rFonts w:ascii="Franklin Gothic Demi" w:hAnsi="Franklin Gothic Demi"/>
                <w:lang w:val="en-GB"/>
              </w:rPr>
              <w:t>0.22</w:t>
            </w:r>
          </w:p>
        </w:tc>
        <w:tc>
          <w:tcPr>
            <w:tcW w:w="79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9F06803" w14:textId="77777777" w:rsidR="00ED0E85" w:rsidRPr="00143A66" w:rsidRDefault="00ED0E85" w:rsidP="00ED0E85">
            <w:pPr>
              <w:pStyle w:val="TableDataEntries"/>
              <w:rPr>
                <w:rFonts w:ascii="Franklin Gothic Demi" w:hAnsi="Franklin Gothic Demi"/>
                <w:lang w:val="en-GB"/>
              </w:rPr>
            </w:pPr>
            <w:r w:rsidRPr="00143A66">
              <w:rPr>
                <w:rFonts w:ascii="Franklin Gothic Demi" w:hAnsi="Franklin Gothic Demi"/>
                <w:lang w:val="en-GB"/>
              </w:rPr>
              <w:t>0.92</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6D2F2FC" w14:textId="77777777" w:rsidR="00ED0E85" w:rsidRPr="00143A66" w:rsidRDefault="00ED0E85" w:rsidP="00ED0E85">
            <w:pPr>
              <w:pStyle w:val="TableDataEntries"/>
              <w:rPr>
                <w:rFonts w:ascii="Franklin Gothic Demi" w:hAnsi="Franklin Gothic Demi"/>
                <w:lang w:val="en-GB"/>
              </w:rPr>
            </w:pPr>
            <w:r w:rsidRPr="00143A66">
              <w:rPr>
                <w:rFonts w:ascii="Franklin Gothic Demi" w:hAnsi="Franklin Gothic Demi"/>
                <w:lang w:val="en-GB"/>
              </w:rPr>
              <w:t>0.73</w:t>
            </w:r>
          </w:p>
        </w:tc>
      </w:tr>
    </w:tbl>
    <w:p w14:paraId="08FC5146" w14:textId="77777777" w:rsidR="00ED0E85" w:rsidRPr="009253DC" w:rsidRDefault="00ED0E85" w:rsidP="00ED0E85">
      <w:pPr>
        <w:pStyle w:val="Source"/>
        <w:rPr>
          <w:iCs/>
        </w:rPr>
      </w:pPr>
      <w:r w:rsidRPr="009253DC">
        <w:rPr>
          <w:iCs/>
        </w:rPr>
        <w:t xml:space="preserve">Note: ACT and NSW are reported together. </w:t>
      </w:r>
    </w:p>
    <w:p w14:paraId="52C6A865" w14:textId="77777777" w:rsidR="00ED0E85" w:rsidRPr="002360AA" w:rsidRDefault="00ED0E85" w:rsidP="00ED0E85">
      <w:pPr>
        <w:pStyle w:val="Source"/>
      </w:pPr>
      <w:r w:rsidRPr="002360AA">
        <w:rPr>
          <w:i/>
        </w:rPr>
        <w:t>Source:</w:t>
      </w:r>
      <w:r w:rsidRPr="002360AA">
        <w:t xml:space="preserve"> Australian Government Department of the Environment and Energy, </w:t>
      </w:r>
      <w:r w:rsidRPr="002360AA">
        <w:rPr>
          <w:i/>
        </w:rPr>
        <w:t>National Greenhouse Accounts Factors</w:t>
      </w:r>
      <w:r w:rsidRPr="002360AA">
        <w:t>, Australian National Greenhouse Accounts, July 2018, pp. 68</w:t>
      </w:r>
      <w:r w:rsidRPr="002360AA">
        <w:noBreakHyphen/>
        <w:t>80.</w:t>
      </w:r>
    </w:p>
    <w:p w14:paraId="2A370CD9" w14:textId="7D2F82E6" w:rsidR="00ED0E85" w:rsidRPr="002360AA" w:rsidRDefault="00ED0E85" w:rsidP="00ED0E85">
      <w:pPr>
        <w:pStyle w:val="BodyText"/>
      </w:pPr>
      <w:r w:rsidRPr="002360AA">
        <w:t xml:space="preserve">For natural gas consumption, </w:t>
      </w:r>
      <w:r>
        <w:t>Energy Action</w:t>
      </w:r>
      <w:r w:rsidRPr="002360AA">
        <w:t xml:space="preserve"> used an emissions factor of 51.4 Kg Co2</w:t>
      </w:r>
      <w:r w:rsidRPr="002360AA">
        <w:noBreakHyphen/>
        <w:t>e per GJ, which is consistent with emission factors for the consumption of natural gas reported in the National Greenhouse Accounts Factors, excluding Scope 3 emissions.</w:t>
      </w:r>
      <w:r w:rsidRPr="002360AA">
        <w:rPr>
          <w:rStyle w:val="FootnoteReference"/>
        </w:rPr>
        <w:footnoteReference w:id="108"/>
      </w:r>
      <w:r w:rsidRPr="002360AA">
        <w:t xml:space="preserve"> For the </w:t>
      </w:r>
      <w:r>
        <w:t>CBA</w:t>
      </w:r>
      <w:r w:rsidRPr="002360AA">
        <w:t>, we add estimates of Scope 3 emissions, as reported in the National Greenhouse Accounts Factors (table </w:t>
      </w:r>
      <w:r w:rsidRPr="002360AA">
        <w:rPr>
          <w:noProof/>
        </w:rPr>
        <w:fldChar w:fldCharType="begin"/>
      </w:r>
      <w:r w:rsidRPr="002360AA">
        <w:rPr>
          <w:noProof/>
        </w:rPr>
        <w:instrText xml:space="preserve"> REF _Caption7017 </w:instrText>
      </w:r>
      <w:r>
        <w:rPr>
          <w:noProof/>
        </w:rPr>
        <w:instrText xml:space="preserve"> \* MERGEFORMAT </w:instrText>
      </w:r>
      <w:r w:rsidRPr="002360AA">
        <w:rPr>
          <w:noProof/>
        </w:rPr>
        <w:fldChar w:fldCharType="separate"/>
      </w:r>
      <w:r w:rsidR="00AD3561">
        <w:rPr>
          <w:noProof/>
        </w:rPr>
        <w:t>B</w:t>
      </w:r>
      <w:r w:rsidR="00AD3561" w:rsidRPr="002360AA">
        <w:rPr>
          <w:noProof/>
        </w:rPr>
        <w:t>.</w:t>
      </w:r>
      <w:r w:rsidR="00AD3561">
        <w:rPr>
          <w:noProof/>
        </w:rPr>
        <w:t>10</w:t>
      </w:r>
      <w:r w:rsidRPr="002360AA">
        <w:rPr>
          <w:noProof/>
        </w:rPr>
        <w:fldChar w:fldCharType="end"/>
      </w:r>
      <w:r w:rsidRPr="002360AA">
        <w:t>).</w:t>
      </w:r>
      <w:r w:rsidRPr="002360AA">
        <w:rPr>
          <w:rStyle w:val="FootnoteReference"/>
        </w:rPr>
        <w:footnoteReference w:id="109"/>
      </w:r>
    </w:p>
    <w:p w14:paraId="1CF4B8BA" w14:textId="79B6448D" w:rsidR="00ED0E85" w:rsidRPr="002360AA" w:rsidRDefault="00ED0E85" w:rsidP="00ED0E85">
      <w:pPr>
        <w:pStyle w:val="Caption"/>
      </w:pPr>
      <w:r w:rsidRPr="002360AA">
        <w:fldChar w:fldCharType="begin"/>
      </w:r>
      <w:r w:rsidRPr="002360AA">
        <w:instrText xml:space="preserve"> IF 1 = 1 "</w:instrText>
      </w:r>
      <w:r w:rsidRPr="002360AA">
        <w:fldChar w:fldCharType="begin"/>
      </w:r>
      <w:r w:rsidRPr="002360AA">
        <w:instrText xml:space="preserve"> IF </w:instrText>
      </w:r>
      <w:r w:rsidRPr="002360AA">
        <w:rPr>
          <w:noProof/>
        </w:rPr>
        <w:fldChar w:fldCharType="begin"/>
      </w:r>
      <w:r w:rsidRPr="002360AA">
        <w:rPr>
          <w:noProof/>
        </w:rPr>
        <w:instrText xml:space="preserve"> STYLEREF "Heading 6" \l \n </w:instrText>
      </w:r>
      <w:r w:rsidRPr="002360AA">
        <w:rPr>
          <w:noProof/>
        </w:rPr>
        <w:fldChar w:fldCharType="separate"/>
      </w:r>
      <w:r w:rsidR="00AD3561">
        <w:rPr>
          <w:noProof/>
        </w:rPr>
        <w:instrText>B</w:instrText>
      </w:r>
      <w:r w:rsidRPr="002360AA">
        <w:rPr>
          <w:noProof/>
        </w:rPr>
        <w:fldChar w:fldCharType="end"/>
      </w:r>
      <w:r w:rsidRPr="002360AA">
        <w:instrText xml:space="preserve"> = 0 "</w:instrText>
      </w:r>
      <w:r w:rsidRPr="002360AA">
        <w:fldChar w:fldCharType="begin"/>
      </w:r>
      <w:r w:rsidRPr="002360AA">
        <w:instrText xml:space="preserve"> IF </w:instrText>
      </w:r>
      <w:r w:rsidRPr="002360AA">
        <w:rPr>
          <w:noProof/>
        </w:rPr>
        <w:fldChar w:fldCharType="begin"/>
      </w:r>
      <w:r w:rsidRPr="002360AA">
        <w:rPr>
          <w:noProof/>
        </w:rPr>
        <w:instrText xml:space="preserve"> STYLEREF "Heading 1" \l \n </w:instrText>
      </w:r>
      <w:r w:rsidRPr="002360AA">
        <w:rPr>
          <w:noProof/>
        </w:rPr>
        <w:fldChar w:fldCharType="separate"/>
      </w:r>
      <w:r w:rsidRPr="002360AA">
        <w:rPr>
          <w:noProof/>
        </w:rPr>
        <w:instrText>0</w:instrText>
      </w:r>
      <w:r w:rsidRPr="002360AA">
        <w:rPr>
          <w:noProof/>
        </w:rPr>
        <w:fldChar w:fldCharType="end"/>
      </w:r>
      <w:r w:rsidRPr="002360AA">
        <w:instrText xml:space="preserve"> = 0 "" "</w:instrText>
      </w:r>
      <w:r w:rsidRPr="002360AA">
        <w:rPr>
          <w:noProof/>
        </w:rPr>
        <w:fldChar w:fldCharType="begin"/>
      </w:r>
      <w:r w:rsidRPr="002360AA">
        <w:rPr>
          <w:noProof/>
        </w:rPr>
        <w:instrText xml:space="preserve"> STYLEREF "Heading 1" \l \n </w:instrText>
      </w:r>
      <w:r w:rsidRPr="002360AA">
        <w:rPr>
          <w:noProof/>
        </w:rPr>
        <w:fldChar w:fldCharType="separate"/>
      </w:r>
      <w:r w:rsidRPr="002360AA">
        <w:rPr>
          <w:noProof/>
        </w:rPr>
        <w:instrText>2</w:instrText>
      </w:r>
      <w:r w:rsidRPr="002360AA">
        <w:rPr>
          <w:noProof/>
        </w:rPr>
        <w:fldChar w:fldCharType="end"/>
      </w:r>
      <w:r w:rsidRPr="002360AA">
        <w:instrText xml:space="preserve">." </w:instrText>
      </w:r>
      <w:r w:rsidRPr="002360AA">
        <w:fldChar w:fldCharType="end"/>
      </w:r>
      <w:r w:rsidRPr="002360AA">
        <w:instrText>" "</w:instrText>
      </w:r>
      <w:r>
        <w:rPr>
          <w:noProof/>
        </w:rPr>
        <w:fldChar w:fldCharType="begin"/>
      </w:r>
      <w:r>
        <w:rPr>
          <w:noProof/>
        </w:rPr>
        <w:instrText xml:space="preserve"> STYLEREF "Heading 6" \l \n </w:instrText>
      </w:r>
      <w:r>
        <w:rPr>
          <w:noProof/>
        </w:rPr>
        <w:fldChar w:fldCharType="separate"/>
      </w:r>
      <w:r w:rsidR="00AD3561">
        <w:rPr>
          <w:noProof/>
        </w:rPr>
        <w:instrText>B</w:instrText>
      </w:r>
      <w:r>
        <w:rPr>
          <w:noProof/>
        </w:rPr>
        <w:fldChar w:fldCharType="end"/>
      </w:r>
      <w:r w:rsidRPr="002360AA">
        <w:instrText xml:space="preserve">." </w:instrText>
      </w:r>
      <w:r w:rsidRPr="002360AA">
        <w:fldChar w:fldCharType="separate"/>
      </w:r>
      <w:r w:rsidR="00AD3561">
        <w:rPr>
          <w:noProof/>
        </w:rPr>
        <w:instrText>B</w:instrText>
      </w:r>
      <w:r w:rsidR="00AD3561" w:rsidRPr="002360AA">
        <w:rPr>
          <w:noProof/>
        </w:rPr>
        <w:instrText>.</w:instrText>
      </w:r>
      <w:r w:rsidRPr="002360AA">
        <w:fldChar w:fldCharType="end"/>
      </w:r>
      <w:r w:rsidRPr="002360AA">
        <w:fldChar w:fldCharType="begin"/>
      </w:r>
      <w:r w:rsidRPr="002360AA">
        <w:instrText xml:space="preserve"> SEQ Item \* ARABIC \s </w:instrText>
      </w:r>
      <w:r w:rsidRPr="002360AA">
        <w:fldChar w:fldCharType="begin"/>
      </w:r>
      <w:r w:rsidRPr="002360AA">
        <w:instrText xml:space="preserve"> IF </w:instrText>
      </w:r>
      <w:r w:rsidRPr="002360AA">
        <w:rPr>
          <w:noProof/>
        </w:rPr>
        <w:fldChar w:fldCharType="begin"/>
      </w:r>
      <w:r w:rsidRPr="002360AA">
        <w:rPr>
          <w:noProof/>
        </w:rPr>
        <w:instrText xml:space="preserve"> STYLEREF "Heading 6" \l \n </w:instrText>
      </w:r>
      <w:r w:rsidRPr="002360AA">
        <w:rPr>
          <w:noProof/>
        </w:rPr>
        <w:fldChar w:fldCharType="separate"/>
      </w:r>
      <w:r w:rsidR="00AD3561">
        <w:rPr>
          <w:noProof/>
        </w:rPr>
        <w:instrText>B</w:instrText>
      </w:r>
      <w:r w:rsidRPr="002360AA">
        <w:rPr>
          <w:noProof/>
        </w:rPr>
        <w:fldChar w:fldCharType="end"/>
      </w:r>
      <w:r w:rsidRPr="002360AA">
        <w:instrText xml:space="preserve"> = 0 "</w:instrText>
      </w:r>
      <w:r w:rsidRPr="002360AA">
        <w:fldChar w:fldCharType="begin"/>
      </w:r>
      <w:r w:rsidRPr="002360AA">
        <w:instrText xml:space="preserve"> IF </w:instrText>
      </w:r>
      <w:r w:rsidRPr="002360AA">
        <w:rPr>
          <w:noProof/>
        </w:rPr>
        <w:fldChar w:fldCharType="begin"/>
      </w:r>
      <w:r w:rsidRPr="002360AA">
        <w:rPr>
          <w:noProof/>
        </w:rPr>
        <w:instrText xml:space="preserve"> STYLEREF "Heading 1" \l \n </w:instrText>
      </w:r>
      <w:r w:rsidRPr="002360AA">
        <w:rPr>
          <w:noProof/>
        </w:rPr>
        <w:fldChar w:fldCharType="separate"/>
      </w:r>
      <w:r w:rsidRPr="002360AA">
        <w:rPr>
          <w:noProof/>
        </w:rPr>
        <w:instrText>0</w:instrText>
      </w:r>
      <w:r w:rsidRPr="002360AA">
        <w:rPr>
          <w:noProof/>
        </w:rPr>
        <w:fldChar w:fldCharType="end"/>
      </w:r>
      <w:r w:rsidRPr="002360AA">
        <w:instrText xml:space="preserve"> = 0 "" "1" </w:instrText>
      </w:r>
      <w:r w:rsidRPr="002360AA">
        <w:fldChar w:fldCharType="end"/>
      </w:r>
      <w:r w:rsidRPr="002360AA">
        <w:instrText xml:space="preserve">" "6" </w:instrText>
      </w:r>
      <w:r w:rsidRPr="002360AA">
        <w:fldChar w:fldCharType="separate"/>
      </w:r>
      <w:r w:rsidR="00AD3561" w:rsidRPr="002360AA">
        <w:rPr>
          <w:noProof/>
        </w:rPr>
        <w:instrText>6</w:instrText>
      </w:r>
      <w:r w:rsidRPr="002360AA">
        <w:fldChar w:fldCharType="end"/>
      </w:r>
      <w:r w:rsidRPr="002360AA">
        <w:instrText xml:space="preserve"> </w:instrText>
      </w:r>
      <w:r w:rsidRPr="002360AA">
        <w:fldChar w:fldCharType="separate"/>
      </w:r>
      <w:r w:rsidR="00AD3561">
        <w:rPr>
          <w:noProof/>
        </w:rPr>
        <w:instrText>10</w:instrText>
      </w:r>
      <w:r w:rsidRPr="002360AA">
        <w:fldChar w:fldCharType="end"/>
      </w:r>
      <w:r w:rsidRPr="002360AA">
        <w:instrText xml:space="preserve">" "" </w:instrText>
      </w:r>
      <w:r w:rsidRPr="002360AA">
        <w:fldChar w:fldCharType="separate"/>
      </w:r>
      <w:bookmarkStart w:id="7635" w:name="_Caption5510"/>
      <w:bookmarkStart w:id="7636" w:name="_Caption6609"/>
      <w:bookmarkStart w:id="7637" w:name="_Caption1452"/>
      <w:bookmarkStart w:id="7638" w:name="_Caption0186"/>
      <w:bookmarkStart w:id="7639" w:name="_Caption0710"/>
      <w:bookmarkStart w:id="7640" w:name="_Caption3926"/>
      <w:bookmarkStart w:id="7641" w:name="_Caption9160"/>
      <w:bookmarkStart w:id="7642" w:name="_Caption3327"/>
      <w:bookmarkStart w:id="7643" w:name="_Caption7945"/>
      <w:bookmarkStart w:id="7644" w:name="_Caption8362"/>
      <w:bookmarkStart w:id="7645" w:name="_Caption4745"/>
      <w:bookmarkStart w:id="7646" w:name="_Caption6339"/>
      <w:bookmarkStart w:id="7647" w:name="_Caption9396"/>
      <w:bookmarkStart w:id="7648" w:name="_Caption4855"/>
      <w:bookmarkStart w:id="7649" w:name="_Caption5050"/>
      <w:bookmarkStart w:id="7650" w:name="_Caption7807"/>
      <w:bookmarkStart w:id="7651" w:name="_Caption9264"/>
      <w:bookmarkStart w:id="7652" w:name="_Caption8607"/>
      <w:bookmarkStart w:id="7653" w:name="_Caption0469"/>
      <w:bookmarkStart w:id="7654" w:name="_Caption9487"/>
      <w:bookmarkStart w:id="7655" w:name="_Caption7834"/>
      <w:bookmarkStart w:id="7656" w:name="_Caption7175"/>
      <w:bookmarkStart w:id="7657" w:name="_Caption0323"/>
      <w:bookmarkStart w:id="7658" w:name="_Caption6214"/>
      <w:bookmarkStart w:id="7659" w:name="_Caption8291"/>
      <w:bookmarkStart w:id="7660" w:name="_Caption3272"/>
      <w:bookmarkStart w:id="7661" w:name="_Caption1852"/>
      <w:bookmarkStart w:id="7662" w:name="_Caption1347"/>
      <w:bookmarkStart w:id="7663" w:name="_Caption6553"/>
      <w:bookmarkStart w:id="7664" w:name="_Caption6638"/>
      <w:bookmarkStart w:id="7665" w:name="_Caption8478"/>
      <w:bookmarkStart w:id="7666" w:name="_Caption6246"/>
      <w:bookmarkStart w:id="7667" w:name="_Caption0193"/>
      <w:bookmarkStart w:id="7668" w:name="_Caption3802"/>
      <w:bookmarkStart w:id="7669" w:name="_Caption6758"/>
      <w:bookmarkStart w:id="7670" w:name="_Caption1557"/>
      <w:bookmarkStart w:id="7671" w:name="_Caption3006"/>
      <w:bookmarkStart w:id="7672" w:name="_Caption8842"/>
      <w:bookmarkStart w:id="7673" w:name="_Caption8536"/>
      <w:bookmarkStart w:id="7674" w:name="_Caption5216"/>
      <w:bookmarkStart w:id="7675" w:name="_Caption0622"/>
      <w:bookmarkStart w:id="7676" w:name="_Caption3030"/>
      <w:bookmarkStart w:id="7677" w:name="_Caption8545"/>
      <w:bookmarkStart w:id="7678" w:name="_Caption2533"/>
      <w:bookmarkStart w:id="7679" w:name="_Caption5968"/>
      <w:bookmarkStart w:id="7680" w:name="_Caption3123"/>
      <w:bookmarkStart w:id="7681" w:name="_Caption7222"/>
      <w:bookmarkStart w:id="7682" w:name="_Caption3697"/>
      <w:bookmarkStart w:id="7683" w:name="_Caption0750"/>
      <w:bookmarkStart w:id="7684" w:name="_Caption2619"/>
      <w:bookmarkStart w:id="7685" w:name="_Caption1251"/>
      <w:bookmarkStart w:id="7686" w:name="_Caption5951"/>
      <w:bookmarkStart w:id="7687" w:name="_Caption7017"/>
      <w:bookmarkStart w:id="7688" w:name="_Caption5904"/>
      <w:bookmarkStart w:id="7689" w:name="_Caption1508"/>
      <w:bookmarkStart w:id="7690" w:name="_Caption7196"/>
      <w:bookmarkStart w:id="7691" w:name="_Caption7352"/>
      <w:bookmarkStart w:id="7692" w:name="_Caption0850"/>
      <w:bookmarkStart w:id="7693" w:name="_Caption9387"/>
      <w:bookmarkStart w:id="7694" w:name="_Caption0052"/>
      <w:bookmarkStart w:id="7695" w:name="_Caption9871"/>
      <w:bookmarkStart w:id="7696" w:name="_Caption4799"/>
      <w:bookmarkStart w:id="7697" w:name="_Caption0063"/>
      <w:bookmarkStart w:id="7698" w:name="_Caption2962"/>
      <w:bookmarkStart w:id="7699" w:name="_Caption4683"/>
      <w:bookmarkStart w:id="7700" w:name="_Caption2285"/>
      <w:bookmarkStart w:id="7701" w:name="_Caption6734"/>
      <w:bookmarkStart w:id="7702" w:name="_Caption1736"/>
      <w:bookmarkStart w:id="7703" w:name="_Caption9655"/>
      <w:bookmarkStart w:id="7704" w:name="_Caption4843"/>
      <w:bookmarkStart w:id="7705" w:name="_Caption2515"/>
      <w:bookmarkStart w:id="7706" w:name="_Caption5179"/>
      <w:bookmarkStart w:id="7707" w:name="_Caption2418"/>
      <w:bookmarkStart w:id="7708" w:name="_Caption3040"/>
      <w:bookmarkStart w:id="7709" w:name="_Caption0049"/>
      <w:bookmarkStart w:id="7710" w:name="_Caption3940"/>
      <w:bookmarkStart w:id="7711" w:name="_Caption7978"/>
      <w:bookmarkStart w:id="7712" w:name="_Caption6535"/>
      <w:bookmarkStart w:id="7713" w:name="_Caption3584"/>
      <w:bookmarkStart w:id="7714" w:name="_Caption1325"/>
      <w:bookmarkStart w:id="7715" w:name="_Caption5013"/>
      <w:bookmarkStart w:id="7716" w:name="_Caption8212"/>
      <w:bookmarkStart w:id="7717" w:name="_Caption1231"/>
      <w:bookmarkStart w:id="7718" w:name="_Caption0448"/>
      <w:bookmarkStart w:id="7719" w:name="_Caption3449"/>
      <w:bookmarkStart w:id="7720" w:name="_Caption0808"/>
      <w:bookmarkStart w:id="7721" w:name="_Caption1569"/>
      <w:bookmarkStart w:id="7722" w:name="_Caption5957"/>
      <w:bookmarkStart w:id="7723" w:name="_Caption4421"/>
      <w:bookmarkStart w:id="7724" w:name="_Caption9052"/>
      <w:bookmarkStart w:id="7725" w:name="_Caption4264"/>
      <w:bookmarkStart w:id="7726" w:name="_Caption8495"/>
      <w:bookmarkStart w:id="7727" w:name="_Caption3775"/>
      <w:bookmarkStart w:id="7728" w:name="_Caption4918"/>
      <w:bookmarkStart w:id="7729" w:name="_Toc530477069"/>
      <w:bookmarkStart w:id="7730" w:name="_Toc19275668"/>
      <w:bookmarkStart w:id="7731" w:name="_Toc19276278"/>
      <w:bookmarkStart w:id="7732" w:name="_Toc19280277"/>
      <w:r w:rsidR="00C353B5">
        <w:rPr>
          <w:noProof/>
        </w:rPr>
        <w:t>B</w:t>
      </w:r>
      <w:r w:rsidR="00C353B5" w:rsidRPr="002360AA">
        <w:rPr>
          <w:noProof/>
        </w:rPr>
        <w:t>.</w:t>
      </w:r>
      <w:r w:rsidR="00C353B5">
        <w:rPr>
          <w:noProof/>
        </w:rPr>
        <w:t>10</w:t>
      </w:r>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r w:rsidRPr="002360AA">
        <w:fldChar w:fldCharType="end"/>
      </w:r>
      <w:r w:rsidRPr="002360AA">
        <w:tab/>
        <w:t>Natural gas emissions factors</w:t>
      </w:r>
      <w:bookmarkEnd w:id="7729"/>
      <w:bookmarkEnd w:id="7730"/>
      <w:bookmarkEnd w:id="7731"/>
      <w:bookmarkEnd w:id="7732"/>
    </w:p>
    <w:tbl>
      <w:tblPr>
        <w:tblW w:w="7937" w:type="dxa"/>
        <w:tblLayout w:type="fixed"/>
        <w:tblLook w:val="0000" w:firstRow="0" w:lastRow="0" w:firstColumn="0" w:lastColumn="0" w:noHBand="0" w:noVBand="0"/>
      </w:tblPr>
      <w:tblGrid>
        <w:gridCol w:w="1575"/>
        <w:gridCol w:w="795"/>
        <w:gridCol w:w="796"/>
        <w:gridCol w:w="795"/>
        <w:gridCol w:w="795"/>
        <w:gridCol w:w="795"/>
        <w:gridCol w:w="795"/>
        <w:gridCol w:w="796"/>
        <w:gridCol w:w="795"/>
      </w:tblGrid>
      <w:tr w:rsidR="00ED0E85" w:rsidRPr="002360AA" w14:paraId="242DC226" w14:textId="77777777" w:rsidTr="00ED0E85">
        <w:trPr>
          <w:trHeight w:val="461"/>
        </w:trPr>
        <w:tc>
          <w:tcPr>
            <w:tcW w:w="1575" w:type="dxa"/>
            <w:shd w:val="clear" w:color="auto" w:fill="6F6652"/>
            <w:tcMar>
              <w:left w:w="57" w:type="dxa"/>
              <w:right w:w="57" w:type="dxa"/>
            </w:tcMar>
          </w:tcPr>
          <w:p w14:paraId="735F6D84" w14:textId="77777777" w:rsidR="00ED0E85" w:rsidRPr="002360AA" w:rsidRDefault="00ED0E85" w:rsidP="00ED0E85">
            <w:pPr>
              <w:pStyle w:val="TableDataColumnHeading"/>
              <w:jc w:val="left"/>
              <w:rPr>
                <w:lang w:val="en-GB"/>
              </w:rPr>
            </w:pPr>
          </w:p>
        </w:tc>
        <w:tc>
          <w:tcPr>
            <w:tcW w:w="795" w:type="dxa"/>
            <w:shd w:val="clear" w:color="auto" w:fill="6F6652"/>
            <w:tcMar>
              <w:left w:w="57" w:type="dxa"/>
              <w:right w:w="57" w:type="dxa"/>
            </w:tcMar>
          </w:tcPr>
          <w:p w14:paraId="2EF958C4" w14:textId="77777777" w:rsidR="00ED0E85" w:rsidRPr="002360AA" w:rsidRDefault="00ED0E85" w:rsidP="00ED0E85">
            <w:pPr>
              <w:pStyle w:val="TableDataColumnHeading"/>
              <w:rPr>
                <w:lang w:val="en-GB"/>
              </w:rPr>
            </w:pPr>
            <w:r w:rsidRPr="002360AA">
              <w:rPr>
                <w:lang w:val="en-GB"/>
              </w:rPr>
              <w:t>NSW</w:t>
            </w:r>
          </w:p>
        </w:tc>
        <w:tc>
          <w:tcPr>
            <w:tcW w:w="796" w:type="dxa"/>
            <w:shd w:val="clear" w:color="auto" w:fill="6F6652"/>
            <w:tcMar>
              <w:left w:w="57" w:type="dxa"/>
              <w:right w:w="57" w:type="dxa"/>
            </w:tcMar>
          </w:tcPr>
          <w:p w14:paraId="2ECF1BC4" w14:textId="77777777" w:rsidR="00ED0E85" w:rsidRPr="002360AA" w:rsidRDefault="00ED0E85" w:rsidP="00ED0E85">
            <w:pPr>
              <w:pStyle w:val="TableDataColumnHeading"/>
              <w:rPr>
                <w:lang w:val="en-GB"/>
              </w:rPr>
            </w:pPr>
            <w:r w:rsidRPr="002360AA">
              <w:rPr>
                <w:lang w:val="en-GB"/>
              </w:rPr>
              <w:t>Vic</w:t>
            </w:r>
          </w:p>
        </w:tc>
        <w:tc>
          <w:tcPr>
            <w:tcW w:w="795" w:type="dxa"/>
            <w:shd w:val="clear" w:color="auto" w:fill="6F6652"/>
            <w:tcMar>
              <w:left w:w="57" w:type="dxa"/>
              <w:right w:w="57" w:type="dxa"/>
            </w:tcMar>
          </w:tcPr>
          <w:p w14:paraId="5A68E965" w14:textId="77777777" w:rsidR="00ED0E85" w:rsidRPr="002360AA" w:rsidRDefault="00ED0E85" w:rsidP="00ED0E85">
            <w:pPr>
              <w:pStyle w:val="TableDataColumnHeading"/>
              <w:rPr>
                <w:lang w:val="en-GB"/>
              </w:rPr>
            </w:pPr>
            <w:r w:rsidRPr="002360AA">
              <w:rPr>
                <w:lang w:val="en-GB"/>
              </w:rPr>
              <w:t>Qld</w:t>
            </w:r>
          </w:p>
        </w:tc>
        <w:tc>
          <w:tcPr>
            <w:tcW w:w="795" w:type="dxa"/>
            <w:shd w:val="clear" w:color="auto" w:fill="6F6652"/>
            <w:tcMar>
              <w:left w:w="57" w:type="dxa"/>
              <w:right w:w="57" w:type="dxa"/>
            </w:tcMar>
          </w:tcPr>
          <w:p w14:paraId="05CEB491" w14:textId="77777777" w:rsidR="00ED0E85" w:rsidRPr="002360AA" w:rsidRDefault="00ED0E85" w:rsidP="00ED0E85">
            <w:pPr>
              <w:pStyle w:val="TableDataColumnHeading"/>
              <w:rPr>
                <w:lang w:val="en-GB"/>
              </w:rPr>
            </w:pPr>
            <w:r w:rsidRPr="002360AA">
              <w:rPr>
                <w:lang w:val="en-GB"/>
              </w:rPr>
              <w:t>SA</w:t>
            </w:r>
          </w:p>
        </w:tc>
        <w:tc>
          <w:tcPr>
            <w:tcW w:w="795" w:type="dxa"/>
            <w:shd w:val="clear" w:color="auto" w:fill="6F6652"/>
            <w:tcMar>
              <w:left w:w="57" w:type="dxa"/>
              <w:right w:w="57" w:type="dxa"/>
            </w:tcMar>
          </w:tcPr>
          <w:p w14:paraId="65F1CF3A" w14:textId="77777777" w:rsidR="00ED0E85" w:rsidRPr="002360AA" w:rsidRDefault="00ED0E85" w:rsidP="00ED0E85">
            <w:pPr>
              <w:pStyle w:val="TableDataColumnHeading"/>
              <w:rPr>
                <w:lang w:val="en-GB"/>
              </w:rPr>
            </w:pPr>
            <w:r w:rsidRPr="002360AA">
              <w:rPr>
                <w:lang w:val="en-GB"/>
              </w:rPr>
              <w:t>WA</w:t>
            </w:r>
          </w:p>
        </w:tc>
        <w:tc>
          <w:tcPr>
            <w:tcW w:w="795" w:type="dxa"/>
            <w:shd w:val="clear" w:color="auto" w:fill="6F6652"/>
            <w:tcMar>
              <w:left w:w="57" w:type="dxa"/>
              <w:right w:w="57" w:type="dxa"/>
            </w:tcMar>
          </w:tcPr>
          <w:p w14:paraId="08A7D8E3" w14:textId="77777777" w:rsidR="00ED0E85" w:rsidRPr="002360AA" w:rsidRDefault="00ED0E85" w:rsidP="00ED0E85">
            <w:pPr>
              <w:pStyle w:val="TableDataColumnHeading"/>
              <w:rPr>
                <w:lang w:val="en-GB"/>
              </w:rPr>
            </w:pPr>
            <w:r w:rsidRPr="002360AA">
              <w:rPr>
                <w:lang w:val="en-GB"/>
              </w:rPr>
              <w:t>Tas</w:t>
            </w:r>
          </w:p>
        </w:tc>
        <w:tc>
          <w:tcPr>
            <w:tcW w:w="796" w:type="dxa"/>
            <w:shd w:val="clear" w:color="auto" w:fill="6F6652"/>
            <w:tcMar>
              <w:left w:w="57" w:type="dxa"/>
              <w:right w:w="57" w:type="dxa"/>
            </w:tcMar>
          </w:tcPr>
          <w:p w14:paraId="2A3836C3" w14:textId="77777777" w:rsidR="00ED0E85" w:rsidRPr="002360AA" w:rsidRDefault="00ED0E85" w:rsidP="00ED0E85">
            <w:pPr>
              <w:pStyle w:val="TableDataColumnHeading"/>
              <w:rPr>
                <w:lang w:val="en-GB"/>
              </w:rPr>
            </w:pPr>
            <w:r w:rsidRPr="002360AA">
              <w:rPr>
                <w:lang w:val="en-GB"/>
              </w:rPr>
              <w:t>ACT</w:t>
            </w:r>
          </w:p>
        </w:tc>
        <w:tc>
          <w:tcPr>
            <w:tcW w:w="795" w:type="dxa"/>
            <w:shd w:val="clear" w:color="auto" w:fill="6F6652"/>
            <w:tcMar>
              <w:left w:w="57" w:type="dxa"/>
              <w:right w:w="57" w:type="dxa"/>
            </w:tcMar>
          </w:tcPr>
          <w:p w14:paraId="49999674" w14:textId="77777777" w:rsidR="00ED0E85" w:rsidRPr="002360AA" w:rsidRDefault="00ED0E85" w:rsidP="00ED0E85">
            <w:pPr>
              <w:pStyle w:val="TableDataColumnHeading"/>
              <w:rPr>
                <w:lang w:val="en-GB"/>
              </w:rPr>
            </w:pPr>
            <w:r w:rsidRPr="002360AA">
              <w:rPr>
                <w:lang w:val="en-GB"/>
              </w:rPr>
              <w:t>NT</w:t>
            </w:r>
          </w:p>
        </w:tc>
      </w:tr>
      <w:tr w:rsidR="00ED0E85" w:rsidRPr="002360AA" w14:paraId="25D2B975" w14:textId="77777777" w:rsidTr="00ED0E85">
        <w:trPr>
          <w:trHeight w:val="230"/>
        </w:trPr>
        <w:tc>
          <w:tcPr>
            <w:tcW w:w="1575" w:type="dxa"/>
            <w:tcBorders>
              <w:bottom w:val="single" w:sz="8" w:space="0" w:color="FFFFFF" w:themeColor="background1"/>
            </w:tcBorders>
            <w:shd w:val="clear" w:color="auto" w:fill="auto"/>
            <w:tcMar>
              <w:left w:w="57" w:type="dxa"/>
              <w:right w:w="57" w:type="dxa"/>
            </w:tcMar>
          </w:tcPr>
          <w:p w14:paraId="0A7DF5C3" w14:textId="77777777" w:rsidR="00ED0E85" w:rsidRPr="002360AA" w:rsidRDefault="00ED0E85" w:rsidP="00ED0E85">
            <w:pPr>
              <w:pStyle w:val="TableUnit"/>
              <w:jc w:val="left"/>
              <w:rPr>
                <w:lang w:val="en-GB"/>
              </w:rPr>
            </w:pPr>
          </w:p>
        </w:tc>
        <w:tc>
          <w:tcPr>
            <w:tcW w:w="795" w:type="dxa"/>
            <w:tcBorders>
              <w:bottom w:val="single" w:sz="8" w:space="0" w:color="FFFFFF" w:themeColor="background1"/>
            </w:tcBorders>
            <w:shd w:val="clear" w:color="auto" w:fill="auto"/>
            <w:tcMar>
              <w:left w:w="57" w:type="dxa"/>
              <w:right w:w="57" w:type="dxa"/>
            </w:tcMar>
          </w:tcPr>
          <w:p w14:paraId="1D49F808" w14:textId="77777777" w:rsidR="00ED0E85" w:rsidRPr="002360AA" w:rsidRDefault="00ED0E85" w:rsidP="00ED0E85">
            <w:pPr>
              <w:pStyle w:val="TableUnit"/>
              <w:rPr>
                <w:lang w:val="en-GB"/>
              </w:rPr>
            </w:pPr>
            <w:r w:rsidRPr="002360AA">
              <w:rPr>
                <w:lang w:val="en-GB"/>
              </w:rPr>
              <w:t>Kg CO</w:t>
            </w:r>
            <w:r w:rsidRPr="002360AA">
              <w:rPr>
                <w:vertAlign w:val="subscript"/>
                <w:lang w:val="en-GB"/>
              </w:rPr>
              <w:t>2-e</w:t>
            </w:r>
            <w:r w:rsidRPr="002360AA">
              <w:rPr>
                <w:lang w:val="en-GB"/>
              </w:rPr>
              <w:t xml:space="preserve"> per GJ</w:t>
            </w:r>
          </w:p>
        </w:tc>
        <w:tc>
          <w:tcPr>
            <w:tcW w:w="796" w:type="dxa"/>
            <w:tcBorders>
              <w:bottom w:val="single" w:sz="8" w:space="0" w:color="FFFFFF" w:themeColor="background1"/>
            </w:tcBorders>
            <w:shd w:val="clear" w:color="auto" w:fill="auto"/>
            <w:tcMar>
              <w:left w:w="57" w:type="dxa"/>
              <w:right w:w="57" w:type="dxa"/>
            </w:tcMar>
          </w:tcPr>
          <w:p w14:paraId="39BD1B9B" w14:textId="77777777" w:rsidR="00ED0E85" w:rsidRPr="002360AA" w:rsidRDefault="00ED0E85" w:rsidP="00ED0E85">
            <w:pPr>
              <w:pStyle w:val="TableUnit"/>
              <w:rPr>
                <w:lang w:val="en-GB"/>
              </w:rPr>
            </w:pPr>
            <w:r w:rsidRPr="002360AA">
              <w:rPr>
                <w:lang w:val="en-GB"/>
              </w:rPr>
              <w:t>Kg CO</w:t>
            </w:r>
            <w:r w:rsidRPr="002360AA">
              <w:rPr>
                <w:vertAlign w:val="subscript"/>
                <w:lang w:val="en-GB"/>
              </w:rPr>
              <w:t>2-e</w:t>
            </w:r>
            <w:r w:rsidRPr="002360AA">
              <w:rPr>
                <w:lang w:val="en-GB"/>
              </w:rPr>
              <w:t xml:space="preserve"> per GJ</w:t>
            </w:r>
          </w:p>
        </w:tc>
        <w:tc>
          <w:tcPr>
            <w:tcW w:w="795" w:type="dxa"/>
            <w:tcBorders>
              <w:bottom w:val="single" w:sz="8" w:space="0" w:color="FFFFFF" w:themeColor="background1"/>
            </w:tcBorders>
            <w:shd w:val="clear" w:color="auto" w:fill="auto"/>
            <w:tcMar>
              <w:left w:w="57" w:type="dxa"/>
              <w:right w:w="57" w:type="dxa"/>
            </w:tcMar>
          </w:tcPr>
          <w:p w14:paraId="26D8D4D7" w14:textId="77777777" w:rsidR="00ED0E85" w:rsidRPr="002360AA" w:rsidRDefault="00ED0E85" w:rsidP="00ED0E85">
            <w:pPr>
              <w:pStyle w:val="TableUnit"/>
              <w:rPr>
                <w:lang w:val="en-GB"/>
              </w:rPr>
            </w:pPr>
            <w:r w:rsidRPr="002360AA">
              <w:rPr>
                <w:lang w:val="en-GB"/>
              </w:rPr>
              <w:t>Kg CO</w:t>
            </w:r>
            <w:r w:rsidRPr="002360AA">
              <w:rPr>
                <w:vertAlign w:val="subscript"/>
                <w:lang w:val="en-GB"/>
              </w:rPr>
              <w:t>2-e</w:t>
            </w:r>
            <w:r w:rsidRPr="002360AA">
              <w:rPr>
                <w:lang w:val="en-GB"/>
              </w:rPr>
              <w:t xml:space="preserve"> per GJ</w:t>
            </w:r>
          </w:p>
        </w:tc>
        <w:tc>
          <w:tcPr>
            <w:tcW w:w="795" w:type="dxa"/>
            <w:tcBorders>
              <w:bottom w:val="single" w:sz="8" w:space="0" w:color="FFFFFF" w:themeColor="background1"/>
            </w:tcBorders>
            <w:shd w:val="clear" w:color="auto" w:fill="auto"/>
            <w:tcMar>
              <w:left w:w="57" w:type="dxa"/>
              <w:right w:w="57" w:type="dxa"/>
            </w:tcMar>
          </w:tcPr>
          <w:p w14:paraId="6769F32D" w14:textId="77777777" w:rsidR="00ED0E85" w:rsidRPr="002360AA" w:rsidRDefault="00ED0E85" w:rsidP="00ED0E85">
            <w:pPr>
              <w:pStyle w:val="TableUnit"/>
              <w:rPr>
                <w:lang w:val="en-GB"/>
              </w:rPr>
            </w:pPr>
            <w:r w:rsidRPr="002360AA">
              <w:rPr>
                <w:lang w:val="en-GB"/>
              </w:rPr>
              <w:t>Kg CO</w:t>
            </w:r>
            <w:r w:rsidRPr="002360AA">
              <w:rPr>
                <w:vertAlign w:val="subscript"/>
                <w:lang w:val="en-GB"/>
              </w:rPr>
              <w:t>2-e</w:t>
            </w:r>
            <w:r w:rsidRPr="002360AA">
              <w:rPr>
                <w:lang w:val="en-GB"/>
              </w:rPr>
              <w:t xml:space="preserve"> per GJ</w:t>
            </w:r>
          </w:p>
        </w:tc>
        <w:tc>
          <w:tcPr>
            <w:tcW w:w="795" w:type="dxa"/>
            <w:tcBorders>
              <w:bottom w:val="single" w:sz="8" w:space="0" w:color="FFFFFF" w:themeColor="background1"/>
            </w:tcBorders>
            <w:shd w:val="clear" w:color="auto" w:fill="auto"/>
            <w:tcMar>
              <w:left w:w="57" w:type="dxa"/>
              <w:right w:w="57" w:type="dxa"/>
            </w:tcMar>
          </w:tcPr>
          <w:p w14:paraId="66A2F297" w14:textId="77777777" w:rsidR="00ED0E85" w:rsidRPr="002360AA" w:rsidRDefault="00ED0E85" w:rsidP="00ED0E85">
            <w:pPr>
              <w:pStyle w:val="TableUnit"/>
              <w:rPr>
                <w:lang w:val="en-GB"/>
              </w:rPr>
            </w:pPr>
            <w:r w:rsidRPr="002360AA">
              <w:rPr>
                <w:lang w:val="en-GB"/>
              </w:rPr>
              <w:t>Kg CO</w:t>
            </w:r>
            <w:r w:rsidRPr="002360AA">
              <w:rPr>
                <w:vertAlign w:val="subscript"/>
                <w:lang w:val="en-GB"/>
              </w:rPr>
              <w:t>2-e</w:t>
            </w:r>
            <w:r w:rsidRPr="002360AA">
              <w:rPr>
                <w:lang w:val="en-GB"/>
              </w:rPr>
              <w:t xml:space="preserve"> per GJ</w:t>
            </w:r>
          </w:p>
        </w:tc>
        <w:tc>
          <w:tcPr>
            <w:tcW w:w="795" w:type="dxa"/>
            <w:tcBorders>
              <w:bottom w:val="single" w:sz="8" w:space="0" w:color="FFFFFF" w:themeColor="background1"/>
            </w:tcBorders>
            <w:shd w:val="clear" w:color="auto" w:fill="auto"/>
            <w:tcMar>
              <w:left w:w="57" w:type="dxa"/>
              <w:right w:w="57" w:type="dxa"/>
            </w:tcMar>
          </w:tcPr>
          <w:p w14:paraId="1441849E" w14:textId="77777777" w:rsidR="00ED0E85" w:rsidRPr="002360AA" w:rsidRDefault="00ED0E85" w:rsidP="00ED0E85">
            <w:pPr>
              <w:pStyle w:val="TableUnit"/>
              <w:rPr>
                <w:lang w:val="en-GB"/>
              </w:rPr>
            </w:pPr>
            <w:r w:rsidRPr="002360AA">
              <w:rPr>
                <w:lang w:val="en-GB"/>
              </w:rPr>
              <w:t>Kg CO</w:t>
            </w:r>
            <w:r w:rsidRPr="002360AA">
              <w:rPr>
                <w:vertAlign w:val="subscript"/>
                <w:lang w:val="en-GB"/>
              </w:rPr>
              <w:t>2-e</w:t>
            </w:r>
            <w:r w:rsidRPr="002360AA">
              <w:rPr>
                <w:lang w:val="en-GB"/>
              </w:rPr>
              <w:t xml:space="preserve"> per GJ</w:t>
            </w:r>
          </w:p>
        </w:tc>
        <w:tc>
          <w:tcPr>
            <w:tcW w:w="796" w:type="dxa"/>
            <w:tcBorders>
              <w:bottom w:val="single" w:sz="8" w:space="0" w:color="FFFFFF" w:themeColor="background1"/>
            </w:tcBorders>
            <w:shd w:val="clear" w:color="auto" w:fill="auto"/>
            <w:tcMar>
              <w:left w:w="57" w:type="dxa"/>
              <w:right w:w="57" w:type="dxa"/>
            </w:tcMar>
          </w:tcPr>
          <w:p w14:paraId="30895B3F" w14:textId="77777777" w:rsidR="00ED0E85" w:rsidRPr="002360AA" w:rsidRDefault="00ED0E85" w:rsidP="00ED0E85">
            <w:pPr>
              <w:pStyle w:val="TableUnit"/>
              <w:rPr>
                <w:lang w:val="en-GB"/>
              </w:rPr>
            </w:pPr>
            <w:r w:rsidRPr="002360AA">
              <w:rPr>
                <w:lang w:val="en-GB"/>
              </w:rPr>
              <w:t>Kg CO</w:t>
            </w:r>
            <w:r w:rsidRPr="002360AA">
              <w:rPr>
                <w:vertAlign w:val="subscript"/>
                <w:lang w:val="en-GB"/>
              </w:rPr>
              <w:t>2-e</w:t>
            </w:r>
            <w:r w:rsidRPr="002360AA">
              <w:rPr>
                <w:lang w:val="en-GB"/>
              </w:rPr>
              <w:t xml:space="preserve"> per GJ</w:t>
            </w:r>
          </w:p>
        </w:tc>
        <w:tc>
          <w:tcPr>
            <w:tcW w:w="795" w:type="dxa"/>
            <w:tcBorders>
              <w:bottom w:val="single" w:sz="8" w:space="0" w:color="FFFFFF" w:themeColor="background1"/>
            </w:tcBorders>
            <w:shd w:val="clear" w:color="auto" w:fill="auto"/>
            <w:tcMar>
              <w:left w:w="57" w:type="dxa"/>
              <w:right w:w="57" w:type="dxa"/>
            </w:tcMar>
          </w:tcPr>
          <w:p w14:paraId="207E3C0E" w14:textId="77777777" w:rsidR="00ED0E85" w:rsidRPr="002360AA" w:rsidRDefault="00ED0E85" w:rsidP="00ED0E85">
            <w:pPr>
              <w:pStyle w:val="TableUnit"/>
              <w:rPr>
                <w:lang w:val="en-GB"/>
              </w:rPr>
            </w:pPr>
            <w:r w:rsidRPr="002360AA">
              <w:rPr>
                <w:lang w:val="en-GB"/>
              </w:rPr>
              <w:t>Kg CO</w:t>
            </w:r>
            <w:r w:rsidRPr="002360AA">
              <w:rPr>
                <w:vertAlign w:val="subscript"/>
                <w:lang w:val="en-GB"/>
              </w:rPr>
              <w:t>2-e</w:t>
            </w:r>
            <w:r w:rsidRPr="002360AA">
              <w:rPr>
                <w:lang w:val="en-GB"/>
              </w:rPr>
              <w:t xml:space="preserve"> per GJ</w:t>
            </w:r>
          </w:p>
        </w:tc>
      </w:tr>
      <w:tr w:rsidR="00ED0E85" w:rsidRPr="002360AA" w14:paraId="0F4F62AC" w14:textId="77777777" w:rsidTr="00ED0E85">
        <w:trPr>
          <w:trHeight w:val="230"/>
        </w:trPr>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218536" w14:textId="77777777" w:rsidR="00ED0E85" w:rsidRPr="002360AA" w:rsidRDefault="00ED0E85" w:rsidP="00ED0E85">
            <w:pPr>
              <w:pStyle w:val="TableDataEntries"/>
              <w:jc w:val="left"/>
              <w:rPr>
                <w:lang w:val="en-GB"/>
              </w:rPr>
            </w:pPr>
            <w:r w:rsidRPr="002360AA">
              <w:rPr>
                <w:lang w:val="en-GB"/>
              </w:rPr>
              <w:t>Scope 1 emissions</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003BF0" w14:textId="77777777" w:rsidR="00ED0E85" w:rsidRPr="002360AA" w:rsidRDefault="00ED0E85" w:rsidP="00ED0E85">
            <w:pPr>
              <w:pStyle w:val="TableDataEntries"/>
              <w:rPr>
                <w:lang w:val="en-GB"/>
              </w:rPr>
            </w:pPr>
            <w:r w:rsidRPr="002360AA">
              <w:rPr>
                <w:lang w:val="en-GB"/>
              </w:rPr>
              <w:t>51.4</w:t>
            </w:r>
          </w:p>
        </w:tc>
        <w:tc>
          <w:tcPr>
            <w:tcW w:w="7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083F6D" w14:textId="77777777" w:rsidR="00ED0E85" w:rsidRPr="002360AA" w:rsidRDefault="00ED0E85" w:rsidP="00ED0E85">
            <w:pPr>
              <w:pStyle w:val="TableDataEntries"/>
              <w:rPr>
                <w:lang w:val="en-GB"/>
              </w:rPr>
            </w:pPr>
            <w:r w:rsidRPr="002360AA">
              <w:rPr>
                <w:lang w:val="en-GB"/>
              </w:rPr>
              <w:t>51.4</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761F3F" w14:textId="77777777" w:rsidR="00ED0E85" w:rsidRPr="002360AA" w:rsidRDefault="00ED0E85" w:rsidP="00ED0E85">
            <w:pPr>
              <w:pStyle w:val="TableDataEntries"/>
              <w:rPr>
                <w:lang w:val="en-GB"/>
              </w:rPr>
            </w:pPr>
            <w:r w:rsidRPr="002360AA">
              <w:rPr>
                <w:lang w:val="en-GB"/>
              </w:rPr>
              <w:t>51.4</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99AE3E" w14:textId="77777777" w:rsidR="00ED0E85" w:rsidRPr="002360AA" w:rsidRDefault="00ED0E85" w:rsidP="00ED0E85">
            <w:pPr>
              <w:pStyle w:val="TableDataEntries"/>
              <w:rPr>
                <w:lang w:val="en-GB"/>
              </w:rPr>
            </w:pPr>
            <w:r w:rsidRPr="002360AA">
              <w:rPr>
                <w:lang w:val="en-GB"/>
              </w:rPr>
              <w:t>51.4</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BE7231" w14:textId="77777777" w:rsidR="00ED0E85" w:rsidRPr="002360AA" w:rsidRDefault="00ED0E85" w:rsidP="00ED0E85">
            <w:pPr>
              <w:pStyle w:val="TableDataEntries"/>
              <w:rPr>
                <w:lang w:val="en-GB"/>
              </w:rPr>
            </w:pPr>
            <w:r w:rsidRPr="002360AA">
              <w:rPr>
                <w:lang w:val="en-GB"/>
              </w:rPr>
              <w:t>51.4</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2F8A69" w14:textId="77777777" w:rsidR="00ED0E85" w:rsidRPr="002360AA" w:rsidRDefault="00ED0E85" w:rsidP="00ED0E85">
            <w:pPr>
              <w:pStyle w:val="TableDataEntries"/>
              <w:rPr>
                <w:lang w:val="en-GB"/>
              </w:rPr>
            </w:pPr>
            <w:r w:rsidRPr="002360AA">
              <w:rPr>
                <w:lang w:val="en-GB"/>
              </w:rPr>
              <w:t>51.4</w:t>
            </w:r>
          </w:p>
        </w:tc>
        <w:tc>
          <w:tcPr>
            <w:tcW w:w="7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DD91FF" w14:textId="77777777" w:rsidR="00ED0E85" w:rsidRPr="002360AA" w:rsidRDefault="00ED0E85" w:rsidP="00ED0E85">
            <w:pPr>
              <w:pStyle w:val="TableDataEntries"/>
              <w:rPr>
                <w:lang w:val="en-GB"/>
              </w:rPr>
            </w:pPr>
            <w:r w:rsidRPr="002360AA">
              <w:rPr>
                <w:lang w:val="en-GB"/>
              </w:rPr>
              <w:t>51.4</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36B1CA" w14:textId="77777777" w:rsidR="00ED0E85" w:rsidRPr="002360AA" w:rsidRDefault="00ED0E85" w:rsidP="00ED0E85">
            <w:pPr>
              <w:pStyle w:val="TableDataEntries"/>
              <w:rPr>
                <w:lang w:val="en-GB"/>
              </w:rPr>
            </w:pPr>
            <w:r w:rsidRPr="002360AA">
              <w:rPr>
                <w:lang w:val="en-GB"/>
              </w:rPr>
              <w:t>51.4</w:t>
            </w:r>
          </w:p>
        </w:tc>
      </w:tr>
      <w:tr w:rsidR="00ED0E85" w:rsidRPr="002360AA" w14:paraId="63528B8C" w14:textId="77777777" w:rsidTr="00ED0E85">
        <w:trPr>
          <w:trHeight w:val="230"/>
        </w:trPr>
        <w:tc>
          <w:tcPr>
            <w:tcW w:w="157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8918DD" w14:textId="77777777" w:rsidR="00ED0E85" w:rsidRPr="002360AA" w:rsidRDefault="00ED0E85" w:rsidP="00ED0E85">
            <w:pPr>
              <w:pStyle w:val="TableDataEntries"/>
              <w:jc w:val="left"/>
              <w:rPr>
                <w:lang w:val="en-GB"/>
              </w:rPr>
            </w:pPr>
            <w:r w:rsidRPr="002360AA">
              <w:rPr>
                <w:lang w:val="en-GB"/>
              </w:rPr>
              <w:t>Scope 3 emissions</w:t>
            </w:r>
            <w:r w:rsidRPr="002360AA">
              <w:rPr>
                <w:rStyle w:val="NoteLabel"/>
              </w:rPr>
              <w:t>a</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8BDD91" w14:textId="77777777" w:rsidR="00ED0E85" w:rsidRPr="002360AA" w:rsidRDefault="00ED0E85" w:rsidP="00ED0E85">
            <w:pPr>
              <w:pStyle w:val="TableDataEntries"/>
              <w:rPr>
                <w:lang w:val="en-GB"/>
              </w:rPr>
            </w:pPr>
            <w:r w:rsidRPr="002360AA">
              <w:rPr>
                <w:lang w:val="en-GB"/>
              </w:rPr>
              <w:t>12.8</w:t>
            </w:r>
          </w:p>
        </w:tc>
        <w:tc>
          <w:tcPr>
            <w:tcW w:w="7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BFEEE6" w14:textId="77777777" w:rsidR="00ED0E85" w:rsidRPr="002360AA" w:rsidRDefault="00ED0E85" w:rsidP="00ED0E85">
            <w:pPr>
              <w:pStyle w:val="TableDataEntries"/>
              <w:rPr>
                <w:lang w:val="en-GB"/>
              </w:rPr>
            </w:pPr>
            <w:r w:rsidRPr="002360AA">
              <w:rPr>
                <w:lang w:val="en-GB"/>
              </w:rPr>
              <w:t>3.9</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3CC4B2" w14:textId="77777777" w:rsidR="00ED0E85" w:rsidRPr="002360AA" w:rsidRDefault="00ED0E85" w:rsidP="00ED0E85">
            <w:pPr>
              <w:pStyle w:val="TableDataEntries"/>
              <w:rPr>
                <w:lang w:val="en-GB"/>
              </w:rPr>
            </w:pPr>
            <w:r w:rsidRPr="002360AA">
              <w:rPr>
                <w:lang w:val="en-GB"/>
              </w:rPr>
              <w:t>8.7</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52C406" w14:textId="77777777" w:rsidR="00ED0E85" w:rsidRPr="002360AA" w:rsidRDefault="00ED0E85" w:rsidP="00ED0E85">
            <w:pPr>
              <w:pStyle w:val="TableDataEntries"/>
              <w:rPr>
                <w:lang w:val="en-GB"/>
              </w:rPr>
            </w:pPr>
            <w:r w:rsidRPr="002360AA">
              <w:rPr>
                <w:lang w:val="en-GB"/>
              </w:rPr>
              <w:t>10.4</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36C81D" w14:textId="77777777" w:rsidR="00ED0E85" w:rsidRPr="002360AA" w:rsidRDefault="00ED0E85" w:rsidP="00ED0E85">
            <w:pPr>
              <w:pStyle w:val="TableDataEntries"/>
              <w:rPr>
                <w:lang w:val="en-GB"/>
              </w:rPr>
            </w:pPr>
            <w:r w:rsidRPr="002360AA">
              <w:rPr>
                <w:lang w:val="en-GB"/>
              </w:rPr>
              <w:t>4.0</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A7C146" w14:textId="77777777" w:rsidR="00ED0E85" w:rsidRPr="002360AA" w:rsidRDefault="00ED0E85" w:rsidP="00ED0E85">
            <w:pPr>
              <w:pStyle w:val="TableDataEntries"/>
              <w:rPr>
                <w:lang w:val="en-GB"/>
              </w:rPr>
            </w:pPr>
            <w:r w:rsidRPr="002360AA">
              <w:rPr>
                <w:lang w:val="en-GB"/>
              </w:rPr>
              <w:t>3.9</w:t>
            </w:r>
            <w:r w:rsidRPr="002360AA">
              <w:rPr>
                <w:rStyle w:val="NoteLabel"/>
              </w:rPr>
              <w:t>b</w:t>
            </w:r>
          </w:p>
        </w:tc>
        <w:tc>
          <w:tcPr>
            <w:tcW w:w="79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AE71E0" w14:textId="77777777" w:rsidR="00ED0E85" w:rsidRPr="002360AA" w:rsidRDefault="00ED0E85" w:rsidP="00ED0E85">
            <w:pPr>
              <w:pStyle w:val="TableDataEntries"/>
              <w:rPr>
                <w:lang w:val="en-GB"/>
              </w:rPr>
            </w:pPr>
            <w:r w:rsidRPr="002360AA">
              <w:rPr>
                <w:lang w:val="en-GB"/>
              </w:rPr>
              <w:t>12.8</w:t>
            </w:r>
          </w:p>
        </w:tc>
        <w:tc>
          <w:tcPr>
            <w:tcW w:w="795"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5350E1" w14:textId="77777777" w:rsidR="00ED0E85" w:rsidRPr="002360AA" w:rsidRDefault="00ED0E85" w:rsidP="00ED0E85">
            <w:pPr>
              <w:pStyle w:val="TableDataEntries"/>
              <w:rPr>
                <w:lang w:val="en-GB"/>
              </w:rPr>
            </w:pPr>
            <w:r w:rsidRPr="002360AA">
              <w:rPr>
                <w:lang w:val="en-GB"/>
              </w:rPr>
              <w:t>4.0</w:t>
            </w:r>
            <w:r w:rsidRPr="002360AA">
              <w:rPr>
                <w:rStyle w:val="NoteLabel"/>
              </w:rPr>
              <w:t>c</w:t>
            </w:r>
          </w:p>
        </w:tc>
      </w:tr>
      <w:tr w:rsidR="00ED0E85" w:rsidRPr="00143A66" w14:paraId="0ADE81A9" w14:textId="77777777" w:rsidTr="00ED0E85">
        <w:trPr>
          <w:trHeight w:val="230"/>
        </w:trPr>
        <w:tc>
          <w:tcPr>
            <w:tcW w:w="157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0C06275" w14:textId="77777777" w:rsidR="00ED0E85" w:rsidRPr="00143A66" w:rsidRDefault="00ED0E85" w:rsidP="00ED0E85">
            <w:pPr>
              <w:pStyle w:val="TableDataEntries"/>
              <w:jc w:val="left"/>
              <w:rPr>
                <w:rFonts w:ascii="Franklin Gothic Demi" w:hAnsi="Franklin Gothic Demi"/>
                <w:lang w:val="en-GB"/>
              </w:rPr>
            </w:pPr>
            <w:r w:rsidRPr="00143A66">
              <w:rPr>
                <w:rFonts w:ascii="Franklin Gothic Demi" w:hAnsi="Franklin Gothic Demi"/>
                <w:lang w:val="en-GB"/>
              </w:rPr>
              <w:t>Total</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F8E1239" w14:textId="77777777" w:rsidR="00ED0E85" w:rsidRPr="00143A66" w:rsidRDefault="00ED0E85" w:rsidP="00ED0E85">
            <w:pPr>
              <w:pStyle w:val="TableDataEntries"/>
              <w:rPr>
                <w:rFonts w:ascii="Franklin Gothic Demi" w:hAnsi="Franklin Gothic Demi"/>
                <w:lang w:val="en-GB"/>
              </w:rPr>
            </w:pPr>
            <w:r w:rsidRPr="00143A66">
              <w:rPr>
                <w:rFonts w:ascii="Franklin Gothic Demi" w:hAnsi="Franklin Gothic Demi"/>
                <w:lang w:val="en-GB"/>
              </w:rPr>
              <w:t>64.2</w:t>
            </w:r>
          </w:p>
        </w:tc>
        <w:tc>
          <w:tcPr>
            <w:tcW w:w="79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85DE7F4" w14:textId="77777777" w:rsidR="00ED0E85" w:rsidRPr="00143A66" w:rsidRDefault="00ED0E85" w:rsidP="00ED0E85">
            <w:pPr>
              <w:pStyle w:val="TableDataEntries"/>
              <w:rPr>
                <w:rFonts w:ascii="Franklin Gothic Demi" w:hAnsi="Franklin Gothic Demi"/>
                <w:lang w:val="en-GB"/>
              </w:rPr>
            </w:pPr>
            <w:r w:rsidRPr="00143A66">
              <w:rPr>
                <w:rFonts w:ascii="Franklin Gothic Demi" w:hAnsi="Franklin Gothic Demi"/>
                <w:lang w:val="en-GB"/>
              </w:rPr>
              <w:t>55.3</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5984DEA" w14:textId="77777777" w:rsidR="00ED0E85" w:rsidRPr="00143A66" w:rsidRDefault="00ED0E85" w:rsidP="00ED0E85">
            <w:pPr>
              <w:pStyle w:val="TableDataEntries"/>
              <w:rPr>
                <w:rFonts w:ascii="Franklin Gothic Demi" w:hAnsi="Franklin Gothic Demi"/>
                <w:lang w:val="en-GB"/>
              </w:rPr>
            </w:pPr>
            <w:r w:rsidRPr="00143A66">
              <w:rPr>
                <w:rFonts w:ascii="Franklin Gothic Demi" w:hAnsi="Franklin Gothic Demi"/>
                <w:lang w:val="en-GB"/>
              </w:rPr>
              <w:t>60.1</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EF1CE6B" w14:textId="77777777" w:rsidR="00ED0E85" w:rsidRPr="00143A66" w:rsidRDefault="00ED0E85" w:rsidP="00ED0E85">
            <w:pPr>
              <w:pStyle w:val="TableDataEntries"/>
              <w:rPr>
                <w:rFonts w:ascii="Franklin Gothic Demi" w:hAnsi="Franklin Gothic Demi"/>
                <w:lang w:val="en-GB"/>
              </w:rPr>
            </w:pPr>
            <w:r w:rsidRPr="00143A66">
              <w:rPr>
                <w:rFonts w:ascii="Franklin Gothic Demi" w:hAnsi="Franklin Gothic Demi"/>
                <w:lang w:val="en-GB"/>
              </w:rPr>
              <w:t>61.8</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D88B27F" w14:textId="77777777" w:rsidR="00ED0E85" w:rsidRPr="00143A66" w:rsidRDefault="00ED0E85" w:rsidP="00ED0E85">
            <w:pPr>
              <w:pStyle w:val="TableDataEntries"/>
              <w:rPr>
                <w:rFonts w:ascii="Franklin Gothic Demi" w:hAnsi="Franklin Gothic Demi"/>
                <w:lang w:val="en-GB"/>
              </w:rPr>
            </w:pPr>
            <w:r w:rsidRPr="00143A66">
              <w:rPr>
                <w:rFonts w:ascii="Franklin Gothic Demi" w:hAnsi="Franklin Gothic Demi"/>
                <w:lang w:val="en-GB"/>
              </w:rPr>
              <w:t>55.4</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0345A86" w14:textId="77777777" w:rsidR="00ED0E85" w:rsidRPr="00143A66" w:rsidRDefault="00ED0E85" w:rsidP="00ED0E85">
            <w:pPr>
              <w:pStyle w:val="TableDataEntries"/>
              <w:rPr>
                <w:rFonts w:ascii="Franklin Gothic Demi" w:hAnsi="Franklin Gothic Demi"/>
                <w:lang w:val="en-GB"/>
              </w:rPr>
            </w:pPr>
            <w:r w:rsidRPr="00143A66">
              <w:rPr>
                <w:rFonts w:ascii="Franklin Gothic Demi" w:hAnsi="Franklin Gothic Demi"/>
                <w:lang w:val="en-GB"/>
              </w:rPr>
              <w:t>55.3</w:t>
            </w:r>
          </w:p>
        </w:tc>
        <w:tc>
          <w:tcPr>
            <w:tcW w:w="79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3819CDA" w14:textId="77777777" w:rsidR="00ED0E85" w:rsidRPr="00143A66" w:rsidRDefault="00ED0E85" w:rsidP="00ED0E85">
            <w:pPr>
              <w:pStyle w:val="TableDataEntries"/>
              <w:rPr>
                <w:rFonts w:ascii="Franklin Gothic Demi" w:hAnsi="Franklin Gothic Demi"/>
                <w:lang w:val="en-GB"/>
              </w:rPr>
            </w:pPr>
            <w:r w:rsidRPr="00143A66">
              <w:rPr>
                <w:rFonts w:ascii="Franklin Gothic Demi" w:hAnsi="Franklin Gothic Demi"/>
                <w:lang w:val="en-GB"/>
              </w:rPr>
              <w:t>64.2</w:t>
            </w:r>
          </w:p>
        </w:tc>
        <w:tc>
          <w:tcPr>
            <w:tcW w:w="795"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E6B0654" w14:textId="77777777" w:rsidR="00ED0E85" w:rsidRPr="00143A66" w:rsidRDefault="00ED0E85" w:rsidP="00ED0E85">
            <w:pPr>
              <w:pStyle w:val="TableDataEntries"/>
              <w:rPr>
                <w:rFonts w:ascii="Franklin Gothic Demi" w:hAnsi="Franklin Gothic Demi"/>
                <w:lang w:val="en-GB"/>
              </w:rPr>
            </w:pPr>
            <w:r w:rsidRPr="00143A66">
              <w:rPr>
                <w:rFonts w:ascii="Franklin Gothic Demi" w:hAnsi="Franklin Gothic Demi"/>
                <w:lang w:val="en-GB"/>
              </w:rPr>
              <w:t>55.4</w:t>
            </w:r>
          </w:p>
        </w:tc>
      </w:tr>
    </w:tbl>
    <w:p w14:paraId="1520EC44" w14:textId="77777777" w:rsidR="00ED0E85" w:rsidRPr="002360AA" w:rsidRDefault="00ED0E85" w:rsidP="00ED0E85">
      <w:pPr>
        <w:pStyle w:val="Note"/>
      </w:pPr>
      <w:r w:rsidRPr="002360AA">
        <w:rPr>
          <w:rStyle w:val="NoteLabel"/>
        </w:rPr>
        <w:t>a</w:t>
      </w:r>
      <w:r w:rsidRPr="002360AA">
        <w:t xml:space="preserve"> Scope 3 emissions factors based on estimate for metro areas in each State. Estimates for non</w:t>
      </w:r>
      <w:r w:rsidRPr="002360AA">
        <w:noBreakHyphen/>
        <w:t xml:space="preserve">metro areas vary slightly, but would not make a significant difference to the overall results. </w:t>
      </w:r>
      <w:r w:rsidRPr="002360AA">
        <w:rPr>
          <w:rStyle w:val="NoteLabel"/>
        </w:rPr>
        <w:t>b</w:t>
      </w:r>
      <w:r w:rsidRPr="002360AA">
        <w:t xml:space="preserve"> Scope 3 emissions factors were not reported for Tasmania. Figure used based on estimate for Victoria. </w:t>
      </w:r>
      <w:r w:rsidRPr="002360AA">
        <w:rPr>
          <w:rStyle w:val="NoteLabel"/>
        </w:rPr>
        <w:t>c</w:t>
      </w:r>
      <w:r w:rsidRPr="002360AA">
        <w:t xml:space="preserve"> Scope 3 emissions factors were not reported for the Northern Territory. Figure used based on estimate for Western Australia.</w:t>
      </w:r>
    </w:p>
    <w:p w14:paraId="2B14A533" w14:textId="77777777" w:rsidR="00ED0E85" w:rsidRDefault="00ED0E85" w:rsidP="00ED0E85">
      <w:pPr>
        <w:pStyle w:val="Source"/>
      </w:pPr>
      <w:r w:rsidRPr="002360AA">
        <w:rPr>
          <w:i/>
        </w:rPr>
        <w:t>Source:</w:t>
      </w:r>
      <w:r w:rsidRPr="002360AA">
        <w:t xml:space="preserve"> Australian Government Department of the Environment and Energy, </w:t>
      </w:r>
      <w:r w:rsidRPr="002360AA">
        <w:rPr>
          <w:i/>
        </w:rPr>
        <w:t>National Greenhouse Accounts Factors</w:t>
      </w:r>
      <w:r w:rsidRPr="002360AA">
        <w:t>, Australian National Greenhouse Accounts, July 2018, pp. 12 and 66.</w:t>
      </w:r>
    </w:p>
    <w:p w14:paraId="52126DB8" w14:textId="2335BFE0" w:rsidR="00ED0E85" w:rsidRDefault="00ED0E85" w:rsidP="00ED0E85">
      <w:pPr>
        <w:pStyle w:val="BodyText"/>
        <w:rPr>
          <w:lang w:eastAsia="en-US"/>
        </w:rPr>
      </w:pPr>
      <w:r>
        <w:rPr>
          <w:lang w:eastAsia="en-US"/>
        </w:rPr>
        <w:t>We assume that future GHG intensity in all states and territories declines in line with national estimates by the Climate Change Authority under their reference case (chart </w:t>
      </w:r>
      <w:r>
        <w:rPr>
          <w:lang w:eastAsia="en-US"/>
        </w:rPr>
        <w:fldChar w:fldCharType="begin"/>
      </w:r>
      <w:r>
        <w:rPr>
          <w:lang w:eastAsia="en-US"/>
        </w:rPr>
        <w:instrText xml:space="preserve"> REF _Caption8077 </w:instrText>
      </w:r>
      <w:r>
        <w:rPr>
          <w:lang w:eastAsia="en-US"/>
        </w:rPr>
        <w:fldChar w:fldCharType="separate"/>
      </w:r>
      <w:r w:rsidR="00AD3561">
        <w:rPr>
          <w:noProof/>
        </w:rPr>
        <w:t>B</w:t>
      </w:r>
      <w:r w:rsidR="00AD3561" w:rsidRPr="00695C93">
        <w:rPr>
          <w:noProof/>
        </w:rPr>
        <w:t>.</w:t>
      </w:r>
      <w:r w:rsidR="00AD3561">
        <w:rPr>
          <w:noProof/>
        </w:rPr>
        <w:t>11</w:t>
      </w:r>
      <w:r>
        <w:rPr>
          <w:lang w:eastAsia="en-US"/>
        </w:rPr>
        <w:fldChar w:fldCharType="end"/>
      </w:r>
      <w:r>
        <w:rPr>
          <w:lang w:eastAsia="en-US"/>
        </w:rPr>
        <w:t>).</w:t>
      </w:r>
    </w:p>
    <w:p w14:paraId="2807FDAB" w14:textId="255A1DBB" w:rsidR="00ED0E85" w:rsidRPr="00695C93"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B</w:instrText>
      </w:r>
      <w:r w:rsidR="004550CB">
        <w:rPr>
          <w:noProof/>
        </w:rPr>
        <w:fldChar w:fldCharType="end"/>
      </w:r>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w:instrText>
      </w:r>
      <w:r w:rsidRPr="00695C93">
        <w:fldChar w:fldCharType="separate"/>
      </w:r>
      <w:r>
        <w:rPr>
          <w:b/>
          <w:bCs/>
          <w:noProof/>
          <w:lang w:val="en-US"/>
        </w:rPr>
        <w:instrText>Error! No text of specified style in document.</w:instrText>
      </w:r>
      <w:r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B</w:instrText>
      </w:r>
      <w:r w:rsidR="004550CB">
        <w:rPr>
          <w:noProof/>
        </w:rPr>
        <w:fldChar w:fldCharType="end"/>
      </w:r>
      <w:r w:rsidRPr="00695C93">
        <w:instrText xml:space="preserve">." </w:instrText>
      </w:r>
      <w:r w:rsidRPr="00695C93">
        <w:fldChar w:fldCharType="separate"/>
      </w:r>
      <w:r w:rsidR="00AD3561">
        <w:rPr>
          <w:noProof/>
        </w:rPr>
        <w:instrText>B</w:instrText>
      </w:r>
      <w:r w:rsidR="00AD356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B</w:instrText>
      </w:r>
      <w:r w:rsidR="004550CB">
        <w:rPr>
          <w:noProof/>
        </w:rPr>
        <w:fldChar w:fldCharType="end"/>
      </w:r>
      <w:r w:rsidRPr="00695C93">
        <w:instrText xml:space="preserve"> = 0 "</w:instrText>
      </w:r>
      <w:r w:rsidRPr="00695C93">
        <w:fldChar w:fldCharType="begin"/>
      </w:r>
      <w:r w:rsidRPr="00695C93">
        <w:instrText xml:space="preserve"> IF </w:instrText>
      </w:r>
      <w:r>
        <w:fldChar w:fldCharType="begin"/>
      </w:r>
      <w:r>
        <w:instrText xml:space="preserve"> STYLEREF "Heading 1" \l \n </w:instrText>
      </w:r>
      <w:r>
        <w:fldChar w:fldCharType="separate"/>
      </w:r>
      <w:r>
        <w:rPr>
          <w:b/>
          <w:bCs/>
          <w:noProof/>
          <w:lang w:val="en-US"/>
        </w:rPr>
        <w:instrText>Error! No text of specified style in document.</w:instrText>
      </w:r>
      <w:r>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AD3561" w:rsidRPr="00695C93">
        <w:rPr>
          <w:noProof/>
        </w:rPr>
        <w:instrText>6</w:instrText>
      </w:r>
      <w:r w:rsidRPr="00695C93">
        <w:fldChar w:fldCharType="end"/>
      </w:r>
      <w:r w:rsidRPr="00695C93">
        <w:instrText xml:space="preserve"> </w:instrText>
      </w:r>
      <w:r w:rsidRPr="00695C93">
        <w:fldChar w:fldCharType="separate"/>
      </w:r>
      <w:r w:rsidR="00AD3561">
        <w:rPr>
          <w:noProof/>
        </w:rPr>
        <w:instrText>11</w:instrText>
      </w:r>
      <w:r w:rsidRPr="00695C93">
        <w:fldChar w:fldCharType="end"/>
      </w:r>
      <w:r w:rsidRPr="00695C93">
        <w:instrText xml:space="preserve">" "" </w:instrText>
      </w:r>
      <w:r w:rsidRPr="00695C93">
        <w:fldChar w:fldCharType="separate"/>
      </w:r>
      <w:bookmarkStart w:id="7733" w:name="_Caption1105"/>
      <w:bookmarkStart w:id="7734" w:name="_Caption0044"/>
      <w:bookmarkStart w:id="7735" w:name="_Caption0450"/>
      <w:bookmarkStart w:id="7736" w:name="_Caption3844"/>
      <w:bookmarkStart w:id="7737" w:name="_Caption2062"/>
      <w:bookmarkStart w:id="7738" w:name="_Caption4911"/>
      <w:bookmarkStart w:id="7739" w:name="_Caption8077"/>
      <w:bookmarkStart w:id="7740" w:name="_Caption2627"/>
      <w:bookmarkStart w:id="7741" w:name="_Caption3022"/>
      <w:bookmarkStart w:id="7742" w:name="_Caption4506"/>
      <w:bookmarkStart w:id="7743" w:name="_Caption3035"/>
      <w:bookmarkStart w:id="7744" w:name="_Caption3858"/>
      <w:bookmarkStart w:id="7745" w:name="_Caption9406"/>
      <w:bookmarkStart w:id="7746" w:name="_Caption0732"/>
      <w:bookmarkStart w:id="7747" w:name="_Caption2249"/>
      <w:bookmarkStart w:id="7748" w:name="_Caption8830"/>
      <w:bookmarkStart w:id="7749" w:name="_Caption6006"/>
      <w:bookmarkStart w:id="7750" w:name="_Caption5371"/>
      <w:bookmarkStart w:id="7751" w:name="_Toc19275669"/>
      <w:bookmarkStart w:id="7752" w:name="_Toc19276279"/>
      <w:bookmarkStart w:id="7753" w:name="_Toc19280278"/>
      <w:r w:rsidR="00C353B5">
        <w:rPr>
          <w:noProof/>
        </w:rPr>
        <w:t>B</w:t>
      </w:r>
      <w:r w:rsidR="00C353B5" w:rsidRPr="00695C93">
        <w:rPr>
          <w:noProof/>
        </w:rPr>
        <w:t>.</w:t>
      </w:r>
      <w:r w:rsidR="00C353B5">
        <w:rPr>
          <w:noProof/>
        </w:rPr>
        <w:t>11</w:t>
      </w:r>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r w:rsidRPr="00695C93">
        <w:fldChar w:fldCharType="end"/>
      </w:r>
      <w:r w:rsidRPr="00695C93">
        <w:tab/>
      </w:r>
      <w:r>
        <w:t>Greenhouse gas intensity of electricity</w:t>
      </w:r>
      <w:bookmarkEnd w:id="7751"/>
      <w:bookmarkEnd w:id="7752"/>
      <w:bookmarkEnd w:id="7753"/>
    </w:p>
    <w:tbl>
      <w:tblPr>
        <w:tblStyle w:val="TableGrid"/>
        <w:tblW w:w="793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9E8E5" w:themeFill="background2"/>
        <w:tblLayout w:type="fixed"/>
        <w:tblCellMar>
          <w:left w:w="0" w:type="dxa"/>
          <w:right w:w="0" w:type="dxa"/>
        </w:tblCellMar>
        <w:tblLook w:val="04A0" w:firstRow="1" w:lastRow="0" w:firstColumn="1" w:lastColumn="0" w:noHBand="0" w:noVBand="1"/>
      </w:tblPr>
      <w:tblGrid>
        <w:gridCol w:w="7938"/>
      </w:tblGrid>
      <w:tr w:rsidR="00ED0E85" w14:paraId="4175F3FA" w14:textId="77777777" w:rsidTr="00ED0E85">
        <w:trPr>
          <w:cantSplit/>
        </w:trPr>
        <w:tc>
          <w:tcPr>
            <w:tcW w:w="7938" w:type="dxa"/>
            <w:shd w:val="clear" w:color="auto" w:fill="E9E8E5" w:themeFill="background2"/>
          </w:tcPr>
          <w:p w14:paraId="559B4A15" w14:textId="77777777" w:rsidR="00ED0E85" w:rsidRDefault="00E35784" w:rsidP="00E35784">
            <w:pPr>
              <w:pStyle w:val="Chart"/>
              <w:spacing w:before="120" w:after="120"/>
              <w:jc w:val="center"/>
            </w:pPr>
            <w:r w:rsidRPr="00E35784">
              <w:rPr>
                <w:noProof/>
                <w:lang w:eastAsia="en-AU"/>
              </w:rPr>
              <w:drawing>
                <wp:inline distT="0" distB="0" distL="0" distR="0" wp14:anchorId="2B08982B" wp14:editId="03C27FA5">
                  <wp:extent cx="4879340" cy="25273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879340" cy="2527300"/>
                          </a:xfrm>
                          <a:prstGeom prst="rect">
                            <a:avLst/>
                          </a:prstGeom>
                          <a:noFill/>
                          <a:ln>
                            <a:noFill/>
                          </a:ln>
                        </pic:spPr>
                      </pic:pic>
                    </a:graphicData>
                  </a:graphic>
                </wp:inline>
              </w:drawing>
            </w:r>
          </w:p>
        </w:tc>
      </w:tr>
    </w:tbl>
    <w:p w14:paraId="651D8A52" w14:textId="77777777" w:rsidR="00ED0E85" w:rsidRDefault="00ED0E85" w:rsidP="00ED0E85">
      <w:pPr>
        <w:pStyle w:val="Source"/>
      </w:pPr>
      <w:r>
        <w:rPr>
          <w:i/>
        </w:rPr>
        <w:t>Data source</w:t>
      </w:r>
      <w:r w:rsidRPr="00A67576">
        <w:rPr>
          <w:i/>
        </w:rPr>
        <w:t>:</w:t>
      </w:r>
      <w:r>
        <w:t xml:space="preserve"> </w:t>
      </w:r>
      <w:r w:rsidRPr="002360AA">
        <w:t xml:space="preserve">Australian Government Department of the Environment and Energy, </w:t>
      </w:r>
      <w:r w:rsidRPr="002360AA">
        <w:rPr>
          <w:i/>
        </w:rPr>
        <w:t>National Greenhouse Accounts Factors</w:t>
      </w:r>
      <w:r w:rsidRPr="002360AA">
        <w:t>, Australian National Greenhouse Accounts, July 2018, pp. 68</w:t>
      </w:r>
      <w:r w:rsidRPr="002360AA">
        <w:noBreakHyphen/>
        <w:t>80</w:t>
      </w:r>
      <w:r>
        <w:t>; Climate Change Authority, Policy Options for Australia’s Electricity Supply Sector: Special Review Research Report, August 2016.</w:t>
      </w:r>
    </w:p>
    <w:p w14:paraId="39505716" w14:textId="77777777" w:rsidR="00ED0E85" w:rsidRPr="004A2854" w:rsidRDefault="00ED0E85" w:rsidP="00ED0E85">
      <w:pPr>
        <w:pStyle w:val="Heading8"/>
        <w:numPr>
          <w:ilvl w:val="7"/>
          <w:numId w:val="5"/>
        </w:numPr>
      </w:pPr>
      <w:r w:rsidRPr="004A2854">
        <w:t>Valuing greenhouse gas emissions</w:t>
      </w:r>
    </w:p>
    <w:p w14:paraId="5A29C507" w14:textId="77777777" w:rsidR="00ED0E85" w:rsidRDefault="00ED0E85" w:rsidP="00ED0E85">
      <w:pPr>
        <w:pStyle w:val="BodyText"/>
      </w:pPr>
      <w:r>
        <w:t>There are also various approaches in the literature to valuing these environmental benefits, including the following:</w:t>
      </w:r>
    </w:p>
    <w:p w14:paraId="0F7875D0" w14:textId="77777777" w:rsidR="00ED0E85" w:rsidRDefault="00ED0E85" w:rsidP="001F5383">
      <w:pPr>
        <w:pStyle w:val="ListBullet"/>
        <w:numPr>
          <w:ilvl w:val="0"/>
          <w:numId w:val="17"/>
        </w:numPr>
      </w:pPr>
      <w:r>
        <w:t>Social cost of carbon (SCC) approach — this is a measure of the discounted value of expected future global damages from additional GHG emissions.</w:t>
      </w:r>
      <w:r>
        <w:rPr>
          <w:rStyle w:val="FootnoteReference"/>
        </w:rPr>
        <w:footnoteReference w:id="110"/>
      </w:r>
      <w:r>
        <w:t xml:space="preserve"> SCC estimates are generally based on modelling of future climate change impacts and their economic effects. Given the large uncertainties around the impacts of climate change, estimates of the SCC can vary significantly.</w:t>
      </w:r>
    </w:p>
    <w:p w14:paraId="1B4C5EFE" w14:textId="77777777" w:rsidR="00ED0E85" w:rsidRDefault="00ED0E85" w:rsidP="001F5383">
      <w:pPr>
        <w:pStyle w:val="ListBullet"/>
        <w:numPr>
          <w:ilvl w:val="0"/>
          <w:numId w:val="17"/>
        </w:numPr>
      </w:pPr>
      <w:r>
        <w:t>Mitigation/abatement cost approach — under this approach, GHG emissions are valued using a carbon price measure, on the basis that a carbon price reflects the marginal cost of abatement. The price used to value carbon emissions could be an existing traded price, such as the EU Emissions Trading Scheme (ETS) price. Alternatively, several Australian studies value the reduction in greenhouse gas emissions using the projected carbon price from various carbon price modelling exercises (alternatively, projected future energy prices including the carbon price are used as the energy price, which also captures the value of the greenhouse gas externality).</w:t>
      </w:r>
    </w:p>
    <w:p w14:paraId="5BE4F31D" w14:textId="1AC0EEE2" w:rsidR="00ED0E85" w:rsidRPr="00E611FB" w:rsidRDefault="00ED0E85" w:rsidP="00ED0E85">
      <w:pPr>
        <w:pStyle w:val="BodyText"/>
      </w:pPr>
      <w:r w:rsidRPr="00E611FB">
        <w:t>The United States (US) Government’s Interagency Working Group (IWG) on Social Cost of Greenhouse Gases revised its estimates of the social cost of carbon for Regulatory Impact Analysis in August 2016.</w:t>
      </w:r>
      <w:r w:rsidRPr="009253DC">
        <w:rPr>
          <w:rStyle w:val="FootnoteReference"/>
        </w:rPr>
        <w:footnoteReference w:id="111"/>
      </w:r>
      <w:r w:rsidRPr="00E611FB">
        <w:t xml:space="preserve"> To generate these estimates, the IWG generated a frequency distribution for the future costs of climate change per tonne of CO</w:t>
      </w:r>
      <w:r w:rsidRPr="004E29E3">
        <w:rPr>
          <w:vertAlign w:val="subscript"/>
        </w:rPr>
        <w:t>2-e</w:t>
      </w:r>
      <w:r w:rsidRPr="00E611FB">
        <w:t xml:space="preserve"> based on climate modelling. Chart </w:t>
      </w:r>
      <w:r w:rsidR="004550CB">
        <w:rPr>
          <w:noProof/>
        </w:rPr>
        <w:fldChar w:fldCharType="begin"/>
      </w:r>
      <w:r w:rsidR="004550CB">
        <w:rPr>
          <w:noProof/>
        </w:rPr>
        <w:instrText xml:space="preserve"> REF _Caption8751 </w:instrText>
      </w:r>
      <w:r w:rsidR="004550CB">
        <w:rPr>
          <w:noProof/>
        </w:rPr>
        <w:fldChar w:fldCharType="separate"/>
      </w:r>
      <w:r w:rsidR="00AD3561">
        <w:rPr>
          <w:noProof/>
        </w:rPr>
        <w:t>B</w:t>
      </w:r>
      <w:r w:rsidR="00AD3561" w:rsidRPr="00C41EDE">
        <w:rPr>
          <w:noProof/>
        </w:rPr>
        <w:t>.</w:t>
      </w:r>
      <w:r w:rsidR="00AD3561">
        <w:rPr>
          <w:noProof/>
        </w:rPr>
        <w:t>12</w:t>
      </w:r>
      <w:r w:rsidR="004550CB">
        <w:rPr>
          <w:noProof/>
        </w:rPr>
        <w:fldChar w:fldCharType="end"/>
      </w:r>
      <w:r w:rsidRPr="00E611FB">
        <w:t xml:space="preserve"> shows these estimates in Australian dollar</w:t>
      </w:r>
      <w:r>
        <w:t>s</w:t>
      </w:r>
      <w:r w:rsidRPr="00E611FB">
        <w:t>:</w:t>
      </w:r>
    </w:p>
    <w:p w14:paraId="794F8C41" w14:textId="77777777" w:rsidR="00ED0E85" w:rsidRDefault="00ED0E85" w:rsidP="001F5383">
      <w:pPr>
        <w:pStyle w:val="ListBullet"/>
        <w:numPr>
          <w:ilvl w:val="0"/>
          <w:numId w:val="17"/>
        </w:numPr>
        <w:rPr>
          <w:lang w:val="en-GB" w:eastAsia="en-US"/>
        </w:rPr>
      </w:pPr>
      <w:r>
        <w:rPr>
          <w:lang w:val="en-GB" w:eastAsia="en-US"/>
        </w:rPr>
        <w:t>The low scenario, discounts the average estimate of the future costs of climate change, using a discount rate of 5 per cent.</w:t>
      </w:r>
    </w:p>
    <w:p w14:paraId="7BC488F4" w14:textId="77777777" w:rsidR="00ED0E85" w:rsidRDefault="00ED0E85" w:rsidP="001F5383">
      <w:pPr>
        <w:pStyle w:val="ListBullet"/>
        <w:numPr>
          <w:ilvl w:val="0"/>
          <w:numId w:val="17"/>
        </w:numPr>
        <w:rPr>
          <w:lang w:val="en-GB" w:eastAsia="en-US"/>
        </w:rPr>
      </w:pPr>
      <w:r>
        <w:rPr>
          <w:lang w:val="en-GB" w:eastAsia="en-US"/>
        </w:rPr>
        <w:t>The medium scenario discounts the average estimate of the future costs of climate change, using a discount rate of 3 per cent.</w:t>
      </w:r>
    </w:p>
    <w:p w14:paraId="3DC6F5D9" w14:textId="77777777" w:rsidR="00ED0E85" w:rsidRDefault="00ED0E85" w:rsidP="001F5383">
      <w:pPr>
        <w:pStyle w:val="ListBullet"/>
        <w:numPr>
          <w:ilvl w:val="0"/>
          <w:numId w:val="17"/>
        </w:numPr>
        <w:rPr>
          <w:lang w:val="en-GB" w:eastAsia="en-US"/>
        </w:rPr>
      </w:pPr>
      <w:r>
        <w:rPr>
          <w:lang w:val="en-GB" w:eastAsia="en-US"/>
        </w:rPr>
        <w:t>The high scenario discounts the average estimate of the future costs of climate change, using a discount rate of 2.5 per cent.</w:t>
      </w:r>
    </w:p>
    <w:p w14:paraId="14D24D64" w14:textId="77777777" w:rsidR="00ED0E85" w:rsidRDefault="00ED0E85" w:rsidP="001F5383">
      <w:pPr>
        <w:pStyle w:val="ListBullet"/>
        <w:numPr>
          <w:ilvl w:val="0"/>
          <w:numId w:val="17"/>
        </w:numPr>
        <w:rPr>
          <w:lang w:val="en-GB" w:eastAsia="en-US"/>
        </w:rPr>
      </w:pPr>
      <w:r>
        <w:rPr>
          <w:lang w:val="en-GB" w:eastAsia="en-US"/>
        </w:rPr>
        <w:t>The high impact scenario corresponds to the 95</w:t>
      </w:r>
      <w:r>
        <w:rPr>
          <w:vertAlign w:val="superscript"/>
          <w:lang w:val="en-GB" w:eastAsia="en-US"/>
        </w:rPr>
        <w:t>th</w:t>
      </w:r>
      <w:r>
        <w:rPr>
          <w:lang w:val="en-GB" w:eastAsia="en-US"/>
        </w:rPr>
        <w:t xml:space="preserve"> percentile of the frequency distribution of the future costs of climate change, using a discount rate of 3 per cent.</w:t>
      </w:r>
    </w:p>
    <w:p w14:paraId="62EFBAB6" w14:textId="22CC8949" w:rsidR="00ED0E85" w:rsidRPr="00695C93" w:rsidRDefault="00ED0E85" w:rsidP="00ED0E85">
      <w:pPr>
        <w:pStyle w:val="Caption"/>
      </w:pPr>
      <w:r w:rsidRPr="00C41EDE">
        <w:fldChar w:fldCharType="begin"/>
      </w:r>
      <w:r w:rsidRPr="00C41EDE">
        <w:instrText xml:space="preserve"> IF 1 = 1 "</w:instrText>
      </w:r>
      <w:r w:rsidRPr="00C41EDE">
        <w:fldChar w:fldCharType="begin"/>
      </w:r>
      <w:r w:rsidRPr="00C41EDE">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B</w:instrText>
      </w:r>
      <w:r w:rsidR="004550CB">
        <w:rPr>
          <w:noProof/>
        </w:rPr>
        <w:fldChar w:fldCharType="end"/>
      </w:r>
      <w:r w:rsidRPr="00C41EDE">
        <w:instrText xml:space="preserve"> = 0 "</w:instrText>
      </w:r>
      <w:r w:rsidRPr="00C41EDE">
        <w:fldChar w:fldCharType="begin"/>
      </w:r>
      <w:r w:rsidRPr="00C41EDE">
        <w:instrText xml:space="preserve"> IF </w:instrText>
      </w:r>
      <w:r w:rsidRPr="00C41EDE">
        <w:fldChar w:fldCharType="begin"/>
      </w:r>
      <w:r w:rsidRPr="00C41EDE">
        <w:instrText xml:space="preserve"> STYLEREF "Heading 1" \l \n </w:instrText>
      </w:r>
      <w:r w:rsidRPr="00C41EDE">
        <w:fldChar w:fldCharType="separate"/>
      </w:r>
      <w:r w:rsidRPr="00C41EDE">
        <w:rPr>
          <w:b/>
          <w:bCs/>
          <w:noProof/>
          <w:lang w:val="en-US"/>
        </w:rPr>
        <w:instrText>Error! No text of specified style in document.</w:instrText>
      </w:r>
      <w:r w:rsidRPr="00C41EDE">
        <w:rPr>
          <w:noProof/>
        </w:rPr>
        <w:fldChar w:fldCharType="end"/>
      </w:r>
      <w:r w:rsidRPr="00C41EDE">
        <w:instrText xml:space="preserve"> = 0 "" "</w:instrText>
      </w:r>
      <w:r w:rsidRPr="00C41EDE">
        <w:fldChar w:fldCharType="begin"/>
      </w:r>
      <w:r w:rsidRPr="00C41EDE">
        <w:instrText xml:space="preserve"> STYLEREF "Heading 1" \l \n </w:instrText>
      </w:r>
      <w:r w:rsidRPr="00C41EDE">
        <w:fldChar w:fldCharType="separate"/>
      </w:r>
      <w:r w:rsidRPr="00C41EDE">
        <w:rPr>
          <w:b/>
          <w:bCs/>
          <w:noProof/>
          <w:lang w:val="en-US"/>
        </w:rPr>
        <w:instrText>Error! No text of specified style in document.</w:instrText>
      </w:r>
      <w:r w:rsidRPr="00C41EDE">
        <w:rPr>
          <w:noProof/>
        </w:rPr>
        <w:fldChar w:fldCharType="end"/>
      </w:r>
      <w:r w:rsidRPr="00C41EDE">
        <w:instrText xml:space="preserve">." </w:instrText>
      </w:r>
      <w:r w:rsidRPr="00C41EDE">
        <w:fldChar w:fldCharType="separate"/>
      </w:r>
      <w:r w:rsidRPr="00C41EDE">
        <w:rPr>
          <w:b/>
          <w:bCs/>
          <w:noProof/>
          <w:lang w:val="en-US"/>
        </w:rPr>
        <w:instrText>Error! No text of specified style in document.</w:instrText>
      </w:r>
      <w:r w:rsidRPr="00C41EDE">
        <w:rPr>
          <w:noProof/>
        </w:rPr>
        <w:instrText>.</w:instrText>
      </w:r>
      <w:r w:rsidRPr="00C41EDE">
        <w:fldChar w:fldCharType="end"/>
      </w:r>
      <w:r w:rsidRPr="00C41EDE">
        <w:instrText>"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B</w:instrText>
      </w:r>
      <w:r w:rsidR="004550CB">
        <w:rPr>
          <w:noProof/>
        </w:rPr>
        <w:fldChar w:fldCharType="end"/>
      </w:r>
      <w:r w:rsidRPr="00C41EDE">
        <w:instrText xml:space="preserve">." </w:instrText>
      </w:r>
      <w:r w:rsidRPr="00C41EDE">
        <w:fldChar w:fldCharType="separate"/>
      </w:r>
      <w:r w:rsidR="00AD3561">
        <w:rPr>
          <w:noProof/>
        </w:rPr>
        <w:instrText>B</w:instrText>
      </w:r>
      <w:r w:rsidR="00AD3561" w:rsidRPr="00C41EDE">
        <w:rPr>
          <w:noProof/>
        </w:rPr>
        <w:instrText>.</w:instrText>
      </w:r>
      <w:r w:rsidRPr="00C41EDE">
        <w:fldChar w:fldCharType="end"/>
      </w:r>
      <w:r w:rsidRPr="00C41EDE">
        <w:fldChar w:fldCharType="begin"/>
      </w:r>
      <w:r w:rsidRPr="00C41EDE">
        <w:instrText xml:space="preserve"> SEQ Item \* ARABIC \s </w:instrText>
      </w:r>
      <w:r w:rsidRPr="00C41EDE">
        <w:fldChar w:fldCharType="begin"/>
      </w:r>
      <w:r w:rsidRPr="00C41EDE">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B</w:instrText>
      </w:r>
      <w:r w:rsidR="004550CB">
        <w:rPr>
          <w:noProof/>
        </w:rPr>
        <w:fldChar w:fldCharType="end"/>
      </w:r>
      <w:r w:rsidRPr="00C41EDE">
        <w:instrText xml:space="preserve"> = 0 "</w:instrText>
      </w:r>
      <w:r w:rsidRPr="00C41EDE">
        <w:fldChar w:fldCharType="begin"/>
      </w:r>
      <w:r w:rsidRPr="00C41EDE">
        <w:instrText xml:space="preserve"> IF </w:instrText>
      </w:r>
      <w:r w:rsidRPr="00C41EDE">
        <w:fldChar w:fldCharType="begin"/>
      </w:r>
      <w:r w:rsidRPr="00C41EDE">
        <w:instrText xml:space="preserve"> STYLEREF "Heading 1" \l \n </w:instrText>
      </w:r>
      <w:r w:rsidRPr="00C41EDE">
        <w:fldChar w:fldCharType="separate"/>
      </w:r>
      <w:r w:rsidRPr="00C41EDE">
        <w:rPr>
          <w:b/>
          <w:bCs/>
          <w:noProof/>
          <w:lang w:val="en-US"/>
        </w:rPr>
        <w:instrText>Error! No text of specified style in document.</w:instrText>
      </w:r>
      <w:r w:rsidRPr="00C41EDE">
        <w:rPr>
          <w:noProof/>
        </w:rPr>
        <w:fldChar w:fldCharType="end"/>
      </w:r>
      <w:r w:rsidRPr="00C41EDE">
        <w:instrText xml:space="preserve"> = 0 "" "1" </w:instrText>
      </w:r>
      <w:r w:rsidRPr="00C41EDE">
        <w:fldChar w:fldCharType="separate"/>
      </w:r>
      <w:r w:rsidRPr="00C41EDE">
        <w:rPr>
          <w:noProof/>
        </w:rPr>
        <w:instrText>1</w:instrText>
      </w:r>
      <w:r w:rsidRPr="00C41EDE">
        <w:fldChar w:fldCharType="end"/>
      </w:r>
      <w:r w:rsidRPr="00C41EDE">
        <w:instrText xml:space="preserve">" "6" </w:instrText>
      </w:r>
      <w:r w:rsidRPr="00C41EDE">
        <w:fldChar w:fldCharType="separate"/>
      </w:r>
      <w:r w:rsidR="00AD3561" w:rsidRPr="00C41EDE">
        <w:rPr>
          <w:noProof/>
        </w:rPr>
        <w:instrText>6</w:instrText>
      </w:r>
      <w:r w:rsidRPr="00C41EDE">
        <w:fldChar w:fldCharType="end"/>
      </w:r>
      <w:r w:rsidRPr="00C41EDE">
        <w:instrText xml:space="preserve"> </w:instrText>
      </w:r>
      <w:r w:rsidRPr="00C41EDE">
        <w:fldChar w:fldCharType="separate"/>
      </w:r>
      <w:r w:rsidR="00AD3561">
        <w:rPr>
          <w:noProof/>
        </w:rPr>
        <w:instrText>12</w:instrText>
      </w:r>
      <w:r w:rsidRPr="00C41EDE">
        <w:fldChar w:fldCharType="end"/>
      </w:r>
      <w:r w:rsidRPr="00C41EDE">
        <w:instrText xml:space="preserve">" "" </w:instrText>
      </w:r>
      <w:r w:rsidRPr="00C41EDE">
        <w:fldChar w:fldCharType="separate"/>
      </w:r>
      <w:bookmarkStart w:id="7754" w:name="_Caption7061"/>
      <w:bookmarkStart w:id="7755" w:name="_Caption5971"/>
      <w:bookmarkStart w:id="7756" w:name="_Caption9128"/>
      <w:bookmarkStart w:id="7757" w:name="_Caption5818"/>
      <w:bookmarkStart w:id="7758" w:name="_Caption3796"/>
      <w:bookmarkStart w:id="7759" w:name="_Caption1813"/>
      <w:bookmarkStart w:id="7760" w:name="_Caption1121"/>
      <w:bookmarkStart w:id="7761" w:name="_Caption2302"/>
      <w:bookmarkStart w:id="7762" w:name="_Caption1482"/>
      <w:bookmarkStart w:id="7763" w:name="_Caption5061"/>
      <w:bookmarkStart w:id="7764" w:name="_Caption3823"/>
      <w:bookmarkStart w:id="7765" w:name="_Caption6692"/>
      <w:bookmarkStart w:id="7766" w:name="_Caption4376"/>
      <w:bookmarkStart w:id="7767" w:name="_Caption1224"/>
      <w:bookmarkStart w:id="7768" w:name="_Caption8575"/>
      <w:bookmarkStart w:id="7769" w:name="_Caption2694"/>
      <w:bookmarkStart w:id="7770" w:name="_Caption9651"/>
      <w:bookmarkStart w:id="7771" w:name="_Caption2859"/>
      <w:bookmarkStart w:id="7772" w:name="_Caption0818"/>
      <w:bookmarkStart w:id="7773" w:name="_Caption6002"/>
      <w:bookmarkStart w:id="7774" w:name="_Caption2307"/>
      <w:bookmarkStart w:id="7775" w:name="_Caption7330"/>
      <w:bookmarkStart w:id="7776" w:name="_Caption7213"/>
      <w:bookmarkStart w:id="7777" w:name="_Caption0663"/>
      <w:bookmarkStart w:id="7778" w:name="_Caption9009"/>
      <w:bookmarkStart w:id="7779" w:name="_Caption0376"/>
      <w:bookmarkStart w:id="7780" w:name="_Caption2725"/>
      <w:bookmarkStart w:id="7781" w:name="_Caption5431"/>
      <w:bookmarkStart w:id="7782" w:name="_Caption4959"/>
      <w:bookmarkStart w:id="7783" w:name="_Caption2697"/>
      <w:bookmarkStart w:id="7784" w:name="_Caption5618"/>
      <w:bookmarkStart w:id="7785" w:name="_Caption6234"/>
      <w:bookmarkStart w:id="7786" w:name="_Caption0576"/>
      <w:bookmarkStart w:id="7787" w:name="_Caption0711"/>
      <w:bookmarkStart w:id="7788" w:name="_Caption1401"/>
      <w:bookmarkStart w:id="7789" w:name="_Caption8751"/>
      <w:bookmarkStart w:id="7790" w:name="_Caption5391"/>
      <w:bookmarkStart w:id="7791" w:name="_Caption6709"/>
      <w:bookmarkStart w:id="7792" w:name="_Caption9699"/>
      <w:bookmarkStart w:id="7793" w:name="_Caption4710"/>
      <w:bookmarkStart w:id="7794" w:name="_Caption7493"/>
      <w:bookmarkStart w:id="7795" w:name="_Toc19275670"/>
      <w:bookmarkStart w:id="7796" w:name="_Toc19276280"/>
      <w:bookmarkStart w:id="7797" w:name="_Toc19280279"/>
      <w:r w:rsidR="00C353B5">
        <w:rPr>
          <w:noProof/>
        </w:rPr>
        <w:t>B</w:t>
      </w:r>
      <w:r w:rsidR="00C353B5" w:rsidRPr="00C41EDE">
        <w:rPr>
          <w:noProof/>
        </w:rPr>
        <w:t>.</w:t>
      </w:r>
      <w:r w:rsidR="00C353B5">
        <w:rPr>
          <w:noProof/>
        </w:rPr>
        <w:t>12</w:t>
      </w:r>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r w:rsidRPr="00C41EDE">
        <w:fldChar w:fldCharType="end"/>
      </w:r>
      <w:r w:rsidRPr="00C41EDE">
        <w:tab/>
        <w:t>Social cost of carbon estimates</w:t>
      </w:r>
      <w:bookmarkEnd w:id="7795"/>
      <w:bookmarkEnd w:id="7796"/>
      <w:bookmarkEnd w:id="7797"/>
    </w:p>
    <w:p w14:paraId="21DAB99A" w14:textId="77777777" w:rsidR="00ED0E85" w:rsidRDefault="00ED0E85" w:rsidP="00ED0E85">
      <w:pPr>
        <w:pStyle w:val="Source"/>
      </w:pPr>
      <w:r w:rsidRPr="00CB0B25">
        <w:rPr>
          <w:noProof/>
          <w:lang w:eastAsia="en-AU"/>
        </w:rPr>
        <w:drawing>
          <wp:inline distT="0" distB="0" distL="0" distR="0" wp14:anchorId="57A77E22" wp14:editId="4F9ECA19">
            <wp:extent cx="5019675" cy="2486025"/>
            <wp:effectExtent l="0" t="0" r="9525" b="9525"/>
            <wp:docPr id="201" name="Picture 201" descr="This chart shows social cost of carbon estimates for four scenarios up to 2067." title="Social cost of carbon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0">
                      <a:extLst>
                        <a:ext uri="{28A0092B-C50C-407E-A947-70E740481C1C}">
                          <a14:useLocalDpi xmlns:a14="http://schemas.microsoft.com/office/drawing/2010/main" val="0"/>
                        </a:ext>
                      </a:extLst>
                    </a:blip>
                    <a:srcRect l="-1701" r="2104" b="-2006"/>
                    <a:stretch/>
                  </pic:blipFill>
                  <pic:spPr bwMode="auto">
                    <a:xfrm>
                      <a:off x="0" y="0"/>
                      <a:ext cx="5019675" cy="2486025"/>
                    </a:xfrm>
                    <a:prstGeom prst="rect">
                      <a:avLst/>
                    </a:prstGeom>
                    <a:solidFill>
                      <a:schemeClr val="bg2"/>
                    </a:solidFill>
                    <a:ln>
                      <a:noFill/>
                    </a:ln>
                    <a:extLst>
                      <a:ext uri="{53640926-AAD7-44D8-BBD7-CCE9431645EC}">
                        <a14:shadowObscured xmlns:a14="http://schemas.microsoft.com/office/drawing/2010/main"/>
                      </a:ext>
                    </a:extLst>
                  </pic:spPr>
                </pic:pic>
              </a:graphicData>
            </a:graphic>
          </wp:inline>
        </w:drawing>
      </w:r>
      <w:r>
        <w:rPr>
          <w:i/>
        </w:rPr>
        <w:t>Data source</w:t>
      </w:r>
      <w:r w:rsidRPr="00A67576">
        <w:rPr>
          <w:i/>
        </w:rPr>
        <w:t>:</w:t>
      </w:r>
      <w:r>
        <w:t xml:space="preserve"> US EPA 2017, </w:t>
      </w:r>
      <w:r>
        <w:rPr>
          <w:i/>
        </w:rPr>
        <w:t>The Social Cost of Carbon: Estimating the Benefit of Reducing Greenhouse Gas Emissions</w:t>
      </w:r>
      <w:r>
        <w:t xml:space="preserve">, </w:t>
      </w:r>
      <w:r w:rsidRPr="0034294C">
        <w:t>https://19january2017snapshot.epa.gov/climatechange/social-cost-carbon_.html</w:t>
      </w:r>
      <w:r>
        <w:t>.</w:t>
      </w:r>
      <w:r w:rsidRPr="005D335E">
        <w:rPr>
          <w:noProof/>
          <w:lang w:eastAsia="en-AU"/>
        </w:rPr>
        <w:t xml:space="preserve"> </w:t>
      </w:r>
    </w:p>
    <w:p w14:paraId="5F0F087C" w14:textId="77777777" w:rsidR="00ED0E85" w:rsidRDefault="00ED0E85" w:rsidP="00ED0E85">
      <w:pPr>
        <w:pStyle w:val="Heading7"/>
        <w:numPr>
          <w:ilvl w:val="6"/>
          <w:numId w:val="5"/>
        </w:numPr>
        <w:rPr>
          <w:lang w:bidi="fa-IR"/>
        </w:rPr>
      </w:pPr>
      <w:r>
        <w:rPr>
          <w:lang w:bidi="fa-IR"/>
        </w:rPr>
        <w:t>Health costs of air pollution</w:t>
      </w:r>
    </w:p>
    <w:p w14:paraId="5EC55815" w14:textId="77777777" w:rsidR="00ED0E85" w:rsidRDefault="00ED0E85" w:rsidP="00ED0E85">
      <w:pPr>
        <w:pStyle w:val="BodyText"/>
      </w:pPr>
      <w:r>
        <w:t>Air pollution can cause detrimental effects on human health and the environment. The dominant impact from air pollution is the negative effect on human health, most notably from emissions of fine particulates (PM</w:t>
      </w:r>
      <w:r>
        <w:rPr>
          <w:vertAlign w:val="subscript"/>
        </w:rPr>
        <w:t>2.5</w:t>
      </w:r>
      <w:r>
        <w:t>). Short and long term human exposure to air pollution can cause premature mortality, cardiovascular and respiratory disease, chronic and acute bronchitis, asthma attacks, restricted activity days, reduced lung function and reduced birth weights.</w:t>
      </w:r>
    </w:p>
    <w:p w14:paraId="53D11211" w14:textId="77777777" w:rsidR="00ED0E85" w:rsidRDefault="00ED0E85" w:rsidP="00ED0E85">
      <w:pPr>
        <w:pStyle w:val="BodyText"/>
      </w:pPr>
      <w:r>
        <w:t>The health impacts of fine particulates (PM</w:t>
      </w:r>
      <w:r>
        <w:rPr>
          <w:vertAlign w:val="subscript"/>
        </w:rPr>
        <w:t>2.5</w:t>
      </w:r>
      <w:r>
        <w:t>) are of notable health concern as they can reach the air sacs deep in the lungs causing greater damage. Segments of the community that are most susceptible are infants and children, elderly people, and people with existing respiratory conditions, heart disease or diabetes.</w:t>
      </w:r>
    </w:p>
    <w:p w14:paraId="16AEFA5C" w14:textId="77777777" w:rsidR="00ED0E85" w:rsidRDefault="00ED0E85" w:rsidP="00ED0E85">
      <w:pPr>
        <w:pStyle w:val="BodyText"/>
      </w:pPr>
      <w:r>
        <w:t>Reducing electricity use can lead to improved air pollution outcomes for those within the region.</w:t>
      </w:r>
    </w:p>
    <w:p w14:paraId="51C74947" w14:textId="77777777" w:rsidR="00ED0E85" w:rsidRDefault="00ED0E85" w:rsidP="00ED0E85">
      <w:pPr>
        <w:pStyle w:val="Heading8"/>
        <w:numPr>
          <w:ilvl w:val="7"/>
          <w:numId w:val="5"/>
        </w:numPr>
        <w:rPr>
          <w:lang w:bidi="fa-IR"/>
        </w:rPr>
      </w:pPr>
      <w:r>
        <w:rPr>
          <w:lang w:bidi="fa-IR"/>
        </w:rPr>
        <w:t>Electricity generation facilities using coal</w:t>
      </w:r>
    </w:p>
    <w:p w14:paraId="655308ED" w14:textId="77777777" w:rsidR="00ED0E85" w:rsidRDefault="00ED0E85" w:rsidP="00ED0E85">
      <w:pPr>
        <w:pStyle w:val="BodyText"/>
        <w:rPr>
          <w:lang w:bidi="fa-IR"/>
        </w:rPr>
      </w:pPr>
      <w:r>
        <w:rPr>
          <w:lang w:bidi="fa-IR"/>
        </w:rPr>
        <w:t>There are 425 facilities across Australia producing electricity using a variety of non</w:t>
      </w:r>
      <w:r>
        <w:rPr>
          <w:lang w:bidi="fa-IR"/>
        </w:rPr>
        <w:noBreakHyphen/>
        <w:t>renewable and renewable fuel sources. This includes 19 electricity generation facilities which use either brown or black coal as the primary fuel. These 19 facilities:</w:t>
      </w:r>
    </w:p>
    <w:p w14:paraId="3D8A47A9" w14:textId="77777777" w:rsidR="00ED0E85" w:rsidRDefault="00ED0E85" w:rsidP="00ED0E85">
      <w:pPr>
        <w:pStyle w:val="ListBullet"/>
        <w:rPr>
          <w:lang w:bidi="fa-IR"/>
        </w:rPr>
      </w:pPr>
      <w:r>
        <w:rPr>
          <w:lang w:bidi="fa-IR"/>
        </w:rPr>
        <w:t>generate almost 70 per cent of the total electricity across Australia,</w:t>
      </w:r>
      <w:r>
        <w:rPr>
          <w:rStyle w:val="FootnoteReference"/>
          <w:lang w:bidi="fa-IR"/>
        </w:rPr>
        <w:footnoteReference w:id="112"/>
      </w:r>
      <w:r>
        <w:rPr>
          <w:lang w:bidi="fa-IR"/>
        </w:rPr>
        <w:t xml:space="preserve"> and</w:t>
      </w:r>
    </w:p>
    <w:p w14:paraId="7CEBF6E2" w14:textId="2B718C79" w:rsidR="00ED0E85" w:rsidRDefault="00ED0E85" w:rsidP="00ED0E85">
      <w:pPr>
        <w:pStyle w:val="ListBullet"/>
        <w:rPr>
          <w:lang w:bidi="fa-IR"/>
        </w:rPr>
      </w:pPr>
      <w:r>
        <w:rPr>
          <w:lang w:bidi="fa-IR"/>
        </w:rPr>
        <w:t>emit over 80 per cent of PM</w:t>
      </w:r>
      <w:r w:rsidRPr="003A3F07">
        <w:rPr>
          <w:vertAlign w:val="subscript"/>
          <w:lang w:bidi="fa-IR"/>
        </w:rPr>
        <w:t>2.5</w:t>
      </w:r>
      <w:r>
        <w:rPr>
          <w:lang w:bidi="fa-IR"/>
        </w:rPr>
        <w:t xml:space="preserve"> emissions (table </w:t>
      </w:r>
      <w:r>
        <w:rPr>
          <w:lang w:bidi="fa-IR"/>
        </w:rPr>
        <w:fldChar w:fldCharType="begin"/>
      </w:r>
      <w:r>
        <w:rPr>
          <w:lang w:bidi="fa-IR"/>
        </w:rPr>
        <w:instrText xml:space="preserve"> REF _Caption6094 </w:instrText>
      </w:r>
      <w:r>
        <w:rPr>
          <w:lang w:bidi="fa-IR"/>
        </w:rPr>
        <w:fldChar w:fldCharType="separate"/>
      </w:r>
      <w:r w:rsidR="00AD3561">
        <w:rPr>
          <w:noProof/>
        </w:rPr>
        <w:t>4.7</w:t>
      </w:r>
      <w:r>
        <w:rPr>
          <w:lang w:bidi="fa-IR"/>
        </w:rPr>
        <w:fldChar w:fldCharType="end"/>
      </w:r>
      <w:r>
        <w:rPr>
          <w:lang w:bidi="fa-IR"/>
        </w:rPr>
        <w:t>).</w:t>
      </w:r>
    </w:p>
    <w:p w14:paraId="036B29CD" w14:textId="62C9C50A"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B</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1</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1</w:instrText>
      </w:r>
      <w:r w:rsidR="004550CB">
        <w:rPr>
          <w:noProof/>
        </w:rPr>
        <w:fldChar w:fldCharType="end"/>
      </w:r>
      <w:r w:rsidRPr="00695C93">
        <w:instrText xml:space="preserve">." </w:instrText>
      </w:r>
      <w:r w:rsidRPr="00695C93">
        <w:fldChar w:fldCharType="separate"/>
      </w:r>
      <w:r>
        <w:rPr>
          <w:noProof/>
        </w:rPr>
        <w:instrText>1</w:instrText>
      </w:r>
      <w:r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B</w:instrText>
      </w:r>
      <w:r w:rsidR="004550CB">
        <w:rPr>
          <w:noProof/>
        </w:rPr>
        <w:fldChar w:fldCharType="end"/>
      </w:r>
      <w:r w:rsidRPr="00695C93">
        <w:instrText xml:space="preserve">." </w:instrText>
      </w:r>
      <w:r w:rsidRPr="00695C93">
        <w:fldChar w:fldCharType="separate"/>
      </w:r>
      <w:r w:rsidR="00AD3561">
        <w:rPr>
          <w:noProof/>
        </w:rPr>
        <w:instrText>B</w:instrText>
      </w:r>
      <w:r w:rsidR="00AD356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B</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1</w:instrText>
      </w:r>
      <w:r w:rsidR="004550CB">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AD3561" w:rsidRPr="00695C93">
        <w:rPr>
          <w:noProof/>
        </w:rPr>
        <w:instrText>6</w:instrText>
      </w:r>
      <w:r w:rsidRPr="00695C93">
        <w:fldChar w:fldCharType="end"/>
      </w:r>
      <w:r w:rsidRPr="00695C93">
        <w:instrText xml:space="preserve"> </w:instrText>
      </w:r>
      <w:r w:rsidRPr="00695C93">
        <w:fldChar w:fldCharType="separate"/>
      </w:r>
      <w:r w:rsidR="00AD3561">
        <w:rPr>
          <w:noProof/>
        </w:rPr>
        <w:instrText>13</w:instrText>
      </w:r>
      <w:r w:rsidRPr="00695C93">
        <w:fldChar w:fldCharType="end"/>
      </w:r>
      <w:r w:rsidRPr="00695C93">
        <w:instrText xml:space="preserve">" "" </w:instrText>
      </w:r>
      <w:r w:rsidRPr="00695C93">
        <w:fldChar w:fldCharType="separate"/>
      </w:r>
      <w:bookmarkStart w:id="7798" w:name="_Caption0118"/>
      <w:bookmarkStart w:id="7799" w:name="_Caption6376"/>
      <w:bookmarkStart w:id="7800" w:name="_Caption3357"/>
      <w:bookmarkStart w:id="7801" w:name="_Caption4389"/>
      <w:bookmarkStart w:id="7802" w:name="_Caption1888"/>
      <w:bookmarkStart w:id="7803" w:name="_Caption8918"/>
      <w:bookmarkStart w:id="7804" w:name="_Caption4086"/>
      <w:bookmarkStart w:id="7805" w:name="_Caption5879"/>
      <w:bookmarkStart w:id="7806" w:name="_Caption4152"/>
      <w:bookmarkStart w:id="7807" w:name="_Caption7131"/>
      <w:bookmarkStart w:id="7808" w:name="_Caption8843"/>
      <w:bookmarkStart w:id="7809" w:name="_Caption4795"/>
      <w:bookmarkStart w:id="7810" w:name="_Caption1599"/>
      <w:bookmarkStart w:id="7811" w:name="_Caption3894"/>
      <w:bookmarkStart w:id="7812" w:name="_Caption8000"/>
      <w:bookmarkStart w:id="7813" w:name="_Caption2097"/>
      <w:bookmarkStart w:id="7814" w:name="_Caption5566"/>
      <w:bookmarkStart w:id="7815" w:name="_Caption3220"/>
      <w:bookmarkStart w:id="7816" w:name="_Caption0070"/>
      <w:bookmarkStart w:id="7817" w:name="_Caption7129"/>
      <w:bookmarkStart w:id="7818" w:name="_Caption9022"/>
      <w:bookmarkStart w:id="7819" w:name="_Caption0173"/>
      <w:bookmarkStart w:id="7820" w:name="_Caption3474"/>
      <w:bookmarkStart w:id="7821" w:name="_Caption5622"/>
      <w:bookmarkStart w:id="7822" w:name="_Caption2492"/>
      <w:bookmarkStart w:id="7823" w:name="_Caption1544"/>
      <w:bookmarkStart w:id="7824" w:name="_Caption6541"/>
      <w:bookmarkStart w:id="7825" w:name="_Caption4777"/>
      <w:bookmarkStart w:id="7826" w:name="_Caption9717"/>
      <w:bookmarkStart w:id="7827" w:name="_Caption3901"/>
      <w:bookmarkStart w:id="7828" w:name="_Caption7116"/>
      <w:bookmarkStart w:id="7829" w:name="_Caption5884"/>
      <w:bookmarkStart w:id="7830" w:name="_Caption6914"/>
      <w:bookmarkStart w:id="7831" w:name="_Caption1201"/>
      <w:bookmarkStart w:id="7832" w:name="_Caption7968"/>
      <w:bookmarkStart w:id="7833" w:name="_Caption1148"/>
      <w:bookmarkStart w:id="7834" w:name="_Caption9000"/>
      <w:bookmarkStart w:id="7835" w:name="_Caption4836"/>
      <w:bookmarkStart w:id="7836" w:name="_Caption0720"/>
      <w:bookmarkStart w:id="7837" w:name="_Caption3598"/>
      <w:bookmarkStart w:id="7838" w:name="_Caption4669"/>
      <w:bookmarkStart w:id="7839" w:name="_Caption2584"/>
      <w:bookmarkStart w:id="7840" w:name="_Caption4186"/>
      <w:bookmarkStart w:id="7841" w:name="_Caption2040"/>
      <w:bookmarkStart w:id="7842" w:name="_Caption0709"/>
      <w:bookmarkStart w:id="7843" w:name="_Toc19275671"/>
      <w:bookmarkStart w:id="7844" w:name="_Toc19276281"/>
      <w:bookmarkStart w:id="7845" w:name="_Toc19280280"/>
      <w:r w:rsidR="00C353B5">
        <w:rPr>
          <w:noProof/>
        </w:rPr>
        <w:t>B</w:t>
      </w:r>
      <w:r w:rsidR="00C353B5" w:rsidRPr="00695C93">
        <w:rPr>
          <w:noProof/>
        </w:rPr>
        <w:t>.</w:t>
      </w:r>
      <w:r w:rsidR="00C353B5">
        <w:rPr>
          <w:noProof/>
        </w:rPr>
        <w:t>13</w:t>
      </w:r>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r w:rsidRPr="00695C93">
        <w:fldChar w:fldCharType="end"/>
      </w:r>
      <w:r w:rsidRPr="00695C93">
        <w:tab/>
      </w:r>
      <w:r>
        <w:t>Production and PM</w:t>
      </w:r>
      <w:r w:rsidRPr="009253DC">
        <w:rPr>
          <w:vertAlign w:val="subscript"/>
        </w:rPr>
        <w:t>2.5</w:t>
      </w:r>
      <w:r>
        <w:t xml:space="preserve"> emissions for electricity generating facilities using coal</w:t>
      </w:r>
      <w:bookmarkEnd w:id="7843"/>
      <w:bookmarkEnd w:id="7844"/>
      <w:bookmarkEnd w:id="7845"/>
    </w:p>
    <w:tbl>
      <w:tblPr>
        <w:tblW w:w="7937" w:type="dxa"/>
        <w:tblLayout w:type="fixed"/>
        <w:tblLook w:val="04A0" w:firstRow="1" w:lastRow="0" w:firstColumn="1" w:lastColumn="0" w:noHBand="0" w:noVBand="1"/>
      </w:tblPr>
      <w:tblGrid>
        <w:gridCol w:w="2977"/>
        <w:gridCol w:w="425"/>
        <w:gridCol w:w="284"/>
        <w:gridCol w:w="1559"/>
        <w:gridCol w:w="1346"/>
        <w:gridCol w:w="1346"/>
      </w:tblGrid>
      <w:tr w:rsidR="00ED0E85" w:rsidRPr="00091768" w14:paraId="5DCBE5B6" w14:textId="77777777" w:rsidTr="00ED0E85">
        <w:trPr>
          <w:trHeight w:val="250"/>
        </w:trPr>
        <w:tc>
          <w:tcPr>
            <w:tcW w:w="2977" w:type="dxa"/>
            <w:tcBorders>
              <w:bottom w:val="single" w:sz="8" w:space="0" w:color="FFFFFF" w:themeColor="background1"/>
            </w:tcBorders>
            <w:shd w:val="clear" w:color="auto" w:fill="6F6652"/>
            <w:noWrap/>
            <w:tcMar>
              <w:left w:w="57" w:type="dxa"/>
              <w:right w:w="57" w:type="dxa"/>
            </w:tcMar>
            <w:hideMark/>
          </w:tcPr>
          <w:p w14:paraId="412F4DF4" w14:textId="77777777" w:rsidR="00ED0E85" w:rsidRPr="00091768" w:rsidRDefault="00ED0E85" w:rsidP="00ED0E85">
            <w:pPr>
              <w:pStyle w:val="TableDataColumnHeading"/>
              <w:jc w:val="left"/>
            </w:pPr>
            <w:r w:rsidRPr="00091768">
              <w:t>Facility Name</w:t>
            </w:r>
          </w:p>
        </w:tc>
        <w:tc>
          <w:tcPr>
            <w:tcW w:w="709" w:type="dxa"/>
            <w:gridSpan w:val="2"/>
            <w:tcBorders>
              <w:bottom w:val="single" w:sz="8" w:space="0" w:color="FFFFFF" w:themeColor="background1"/>
            </w:tcBorders>
            <w:shd w:val="clear" w:color="auto" w:fill="6F6652"/>
            <w:noWrap/>
            <w:tcMar>
              <w:left w:w="57" w:type="dxa"/>
              <w:right w:w="57" w:type="dxa"/>
            </w:tcMar>
            <w:hideMark/>
          </w:tcPr>
          <w:p w14:paraId="4ECE511F" w14:textId="77777777" w:rsidR="00ED0E85" w:rsidRPr="00091768" w:rsidRDefault="00ED0E85" w:rsidP="00ED0E85">
            <w:pPr>
              <w:pStyle w:val="TableDataColumnHeading"/>
            </w:pPr>
            <w:r w:rsidRPr="00091768">
              <w:t>State</w:t>
            </w:r>
          </w:p>
        </w:tc>
        <w:tc>
          <w:tcPr>
            <w:tcW w:w="1559" w:type="dxa"/>
            <w:tcBorders>
              <w:bottom w:val="single" w:sz="8" w:space="0" w:color="FFFFFF" w:themeColor="background1"/>
            </w:tcBorders>
            <w:shd w:val="clear" w:color="auto" w:fill="6F6652"/>
          </w:tcPr>
          <w:p w14:paraId="5C0AF70A" w14:textId="77777777" w:rsidR="00ED0E85" w:rsidRPr="00091768" w:rsidRDefault="00ED0E85" w:rsidP="00ED0E85">
            <w:pPr>
              <w:pStyle w:val="TableDataColumnHeading"/>
            </w:pPr>
            <w:r>
              <w:t>Primary fuel source</w:t>
            </w:r>
          </w:p>
        </w:tc>
        <w:tc>
          <w:tcPr>
            <w:tcW w:w="1346" w:type="dxa"/>
            <w:tcBorders>
              <w:bottom w:val="single" w:sz="8" w:space="0" w:color="FFFFFF" w:themeColor="background1"/>
            </w:tcBorders>
            <w:shd w:val="clear" w:color="auto" w:fill="6F6652"/>
            <w:noWrap/>
            <w:tcMar>
              <w:left w:w="57" w:type="dxa"/>
              <w:right w:w="57" w:type="dxa"/>
            </w:tcMar>
            <w:hideMark/>
          </w:tcPr>
          <w:p w14:paraId="2BB4203D" w14:textId="77777777" w:rsidR="00ED0E85" w:rsidRPr="00091768" w:rsidRDefault="00ED0E85" w:rsidP="00ED0E85">
            <w:pPr>
              <w:pStyle w:val="TableDataColumnHeading"/>
            </w:pPr>
            <w:r w:rsidRPr="00091768">
              <w:t>Electricity Production</w:t>
            </w:r>
          </w:p>
        </w:tc>
        <w:tc>
          <w:tcPr>
            <w:tcW w:w="1346" w:type="dxa"/>
            <w:tcBorders>
              <w:bottom w:val="single" w:sz="8" w:space="0" w:color="FFFFFF" w:themeColor="background1"/>
            </w:tcBorders>
            <w:shd w:val="clear" w:color="auto" w:fill="6F6652"/>
            <w:noWrap/>
            <w:tcMar>
              <w:left w:w="57" w:type="dxa"/>
              <w:right w:w="57" w:type="dxa"/>
            </w:tcMar>
            <w:hideMark/>
          </w:tcPr>
          <w:p w14:paraId="38458353" w14:textId="77777777" w:rsidR="00ED0E85" w:rsidRPr="00091768" w:rsidRDefault="00ED0E85" w:rsidP="00ED0E85">
            <w:pPr>
              <w:pStyle w:val="TableDataColumnHeading"/>
            </w:pPr>
            <w:r w:rsidRPr="00091768">
              <w:t>PM</w:t>
            </w:r>
            <w:r w:rsidRPr="009253DC">
              <w:rPr>
                <w:vertAlign w:val="subscript"/>
              </w:rPr>
              <w:t>2.5</w:t>
            </w:r>
            <w:r w:rsidRPr="00091768">
              <w:t xml:space="preserve"> emissions</w:t>
            </w:r>
          </w:p>
        </w:tc>
      </w:tr>
      <w:tr w:rsidR="00ED0E85" w:rsidRPr="00091768" w14:paraId="7FE214AB"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auto"/>
            <w:noWrap/>
            <w:tcMar>
              <w:left w:w="57" w:type="dxa"/>
              <w:right w:w="57" w:type="dxa"/>
            </w:tcMar>
          </w:tcPr>
          <w:p w14:paraId="723859CC" w14:textId="77777777" w:rsidR="00ED0E85" w:rsidRPr="00091768" w:rsidRDefault="00ED0E85" w:rsidP="00ED0E85">
            <w:pPr>
              <w:pStyle w:val="TableUnit"/>
            </w:pPr>
          </w:p>
        </w:tc>
        <w:tc>
          <w:tcPr>
            <w:tcW w:w="709" w:type="dxa"/>
            <w:gridSpan w:val="2"/>
            <w:tcBorders>
              <w:top w:val="single" w:sz="8" w:space="0" w:color="FFFFFF" w:themeColor="background1"/>
              <w:bottom w:val="single" w:sz="8" w:space="0" w:color="FFFFFF" w:themeColor="background1"/>
            </w:tcBorders>
            <w:shd w:val="clear" w:color="auto" w:fill="auto"/>
            <w:noWrap/>
            <w:tcMar>
              <w:left w:w="57" w:type="dxa"/>
              <w:right w:w="57" w:type="dxa"/>
            </w:tcMar>
          </w:tcPr>
          <w:p w14:paraId="76D9C96A" w14:textId="77777777" w:rsidR="00ED0E85" w:rsidRPr="00091768" w:rsidRDefault="00ED0E85" w:rsidP="00ED0E85">
            <w:pPr>
              <w:pStyle w:val="TableUnit"/>
            </w:pPr>
          </w:p>
        </w:tc>
        <w:tc>
          <w:tcPr>
            <w:tcW w:w="1559" w:type="dxa"/>
            <w:tcBorders>
              <w:top w:val="single" w:sz="8" w:space="0" w:color="FFFFFF" w:themeColor="background1"/>
              <w:bottom w:val="single" w:sz="8" w:space="0" w:color="FFFFFF" w:themeColor="background1"/>
            </w:tcBorders>
            <w:shd w:val="clear" w:color="auto" w:fill="auto"/>
          </w:tcPr>
          <w:p w14:paraId="1C10CD56" w14:textId="77777777" w:rsidR="00ED0E85" w:rsidRDefault="00ED0E85" w:rsidP="00ED0E85">
            <w:pPr>
              <w:pStyle w:val="TableUnit"/>
            </w:pPr>
          </w:p>
        </w:tc>
        <w:tc>
          <w:tcPr>
            <w:tcW w:w="1346" w:type="dxa"/>
            <w:tcBorders>
              <w:top w:val="single" w:sz="8" w:space="0" w:color="FFFFFF" w:themeColor="background1"/>
              <w:bottom w:val="single" w:sz="8" w:space="0" w:color="FFFFFF" w:themeColor="background1"/>
            </w:tcBorders>
            <w:shd w:val="clear" w:color="auto" w:fill="auto"/>
            <w:noWrap/>
            <w:tcMar>
              <w:left w:w="57" w:type="dxa"/>
              <w:right w:w="57" w:type="dxa"/>
            </w:tcMar>
          </w:tcPr>
          <w:p w14:paraId="4BA23063" w14:textId="77777777" w:rsidR="00ED0E85" w:rsidRPr="00091768" w:rsidRDefault="00ED0E85" w:rsidP="00ED0E85">
            <w:pPr>
              <w:pStyle w:val="TableUnit"/>
            </w:pPr>
            <w:r>
              <w:t>MWh</w:t>
            </w:r>
          </w:p>
        </w:tc>
        <w:tc>
          <w:tcPr>
            <w:tcW w:w="1346" w:type="dxa"/>
            <w:tcBorders>
              <w:top w:val="single" w:sz="8" w:space="0" w:color="FFFFFF" w:themeColor="background1"/>
              <w:bottom w:val="single" w:sz="8" w:space="0" w:color="FFFFFF" w:themeColor="background1"/>
            </w:tcBorders>
            <w:shd w:val="clear" w:color="auto" w:fill="auto"/>
            <w:noWrap/>
            <w:tcMar>
              <w:left w:w="57" w:type="dxa"/>
              <w:right w:w="57" w:type="dxa"/>
            </w:tcMar>
          </w:tcPr>
          <w:p w14:paraId="28271F22" w14:textId="77777777" w:rsidR="00ED0E85" w:rsidRPr="00091768" w:rsidRDefault="00ED0E85" w:rsidP="00ED0E85">
            <w:pPr>
              <w:pStyle w:val="TableUnit"/>
            </w:pPr>
            <w:r>
              <w:t>kg</w:t>
            </w:r>
          </w:p>
        </w:tc>
      </w:tr>
      <w:tr w:rsidR="00ED0E85" w:rsidRPr="00091768" w14:paraId="55F61AC7"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3FE29A" w14:textId="77777777" w:rsidR="00ED0E85" w:rsidRPr="00091768" w:rsidRDefault="00ED0E85" w:rsidP="00ED0E85">
            <w:pPr>
              <w:pStyle w:val="TableDataEntries"/>
              <w:jc w:val="left"/>
            </w:pPr>
            <w:r w:rsidRPr="00091768">
              <w:t>Eraring Power Station</w:t>
            </w:r>
          </w:p>
        </w:tc>
        <w:tc>
          <w:tcPr>
            <w:tcW w:w="709"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E4F8CC" w14:textId="77777777" w:rsidR="00ED0E85" w:rsidRPr="00091768" w:rsidRDefault="00ED0E85" w:rsidP="00ED0E85">
            <w:pPr>
              <w:pStyle w:val="TableDataEntries"/>
            </w:pPr>
            <w:r w:rsidRPr="00091768">
              <w:t>NSW</w:t>
            </w:r>
          </w:p>
        </w:tc>
        <w:tc>
          <w:tcPr>
            <w:tcW w:w="1559" w:type="dxa"/>
            <w:tcBorders>
              <w:top w:val="single" w:sz="8" w:space="0" w:color="FFFFFF" w:themeColor="background1"/>
              <w:bottom w:val="single" w:sz="8" w:space="0" w:color="FFFFFF" w:themeColor="background1"/>
            </w:tcBorders>
            <w:shd w:val="clear" w:color="auto" w:fill="E9E8E5" w:themeFill="background2"/>
            <w:vAlign w:val="bottom"/>
          </w:tcPr>
          <w:p w14:paraId="1B29958F" w14:textId="77777777" w:rsidR="00ED0E85" w:rsidRDefault="00ED0E85" w:rsidP="00ED0E85">
            <w:pPr>
              <w:pStyle w:val="TableDataEntries"/>
            </w:pPr>
            <w:r>
              <w:t>Black Coal</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55B54B6" w14:textId="77777777" w:rsidR="00ED0E85" w:rsidRDefault="00ED0E85" w:rsidP="00ED0E85">
            <w:pPr>
              <w:pStyle w:val="TableDataEntries"/>
            </w:pPr>
            <w:r>
              <w:t>17 186 000</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BCD81B7" w14:textId="77777777" w:rsidR="00ED0E85" w:rsidRDefault="00ED0E85" w:rsidP="00ED0E85">
            <w:pPr>
              <w:pStyle w:val="TableDataEntries"/>
            </w:pPr>
            <w:r>
              <w:t xml:space="preserve"> 132 000</w:t>
            </w:r>
          </w:p>
        </w:tc>
      </w:tr>
      <w:tr w:rsidR="00ED0E85" w:rsidRPr="00091768" w14:paraId="6FEB89A5"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6E2134" w14:textId="77777777" w:rsidR="00ED0E85" w:rsidRPr="00091768" w:rsidRDefault="00ED0E85" w:rsidP="00ED0E85">
            <w:pPr>
              <w:pStyle w:val="TableDataEntries"/>
              <w:jc w:val="left"/>
            </w:pPr>
            <w:r w:rsidRPr="00091768">
              <w:t>Bayswater Power Station</w:t>
            </w:r>
          </w:p>
        </w:tc>
        <w:tc>
          <w:tcPr>
            <w:tcW w:w="709"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FCAAB8" w14:textId="77777777" w:rsidR="00ED0E85" w:rsidRPr="00091768" w:rsidRDefault="00ED0E85" w:rsidP="00ED0E85">
            <w:pPr>
              <w:pStyle w:val="TableDataEntries"/>
            </w:pPr>
            <w:r w:rsidRPr="00091768">
              <w:t>NSW</w:t>
            </w:r>
          </w:p>
        </w:tc>
        <w:tc>
          <w:tcPr>
            <w:tcW w:w="1559" w:type="dxa"/>
            <w:tcBorders>
              <w:top w:val="single" w:sz="8" w:space="0" w:color="FFFFFF" w:themeColor="background1"/>
              <w:bottom w:val="single" w:sz="8" w:space="0" w:color="FFFFFF" w:themeColor="background1"/>
            </w:tcBorders>
            <w:shd w:val="clear" w:color="auto" w:fill="E9E8E5" w:themeFill="background2"/>
            <w:vAlign w:val="bottom"/>
          </w:tcPr>
          <w:p w14:paraId="4C2E4516" w14:textId="77777777" w:rsidR="00ED0E85" w:rsidRDefault="00ED0E85" w:rsidP="00ED0E85">
            <w:pPr>
              <w:pStyle w:val="TableDataEntries"/>
            </w:pPr>
            <w:r>
              <w:t>Black Coal</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61D3A94" w14:textId="77777777" w:rsidR="00ED0E85" w:rsidRDefault="00ED0E85" w:rsidP="00ED0E85">
            <w:pPr>
              <w:pStyle w:val="TableDataEntries"/>
            </w:pPr>
            <w:r>
              <w:t>15 546 000</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A5D1496" w14:textId="77777777" w:rsidR="00ED0E85" w:rsidRDefault="00ED0E85" w:rsidP="00ED0E85">
            <w:pPr>
              <w:pStyle w:val="TableDataEntries"/>
            </w:pPr>
            <w:r>
              <w:t xml:space="preserve"> 359 000</w:t>
            </w:r>
          </w:p>
        </w:tc>
      </w:tr>
      <w:tr w:rsidR="00ED0E85" w:rsidRPr="00091768" w14:paraId="37218903"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0C5FE6" w14:textId="77777777" w:rsidR="00ED0E85" w:rsidRPr="00091768" w:rsidRDefault="00ED0E85" w:rsidP="00ED0E85">
            <w:pPr>
              <w:pStyle w:val="TableDataEntries"/>
              <w:jc w:val="left"/>
            </w:pPr>
            <w:r w:rsidRPr="00091768">
              <w:t>Liddell Power Station</w:t>
            </w:r>
          </w:p>
        </w:tc>
        <w:tc>
          <w:tcPr>
            <w:tcW w:w="709"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C7D632" w14:textId="77777777" w:rsidR="00ED0E85" w:rsidRPr="00091768" w:rsidRDefault="00ED0E85" w:rsidP="00ED0E85">
            <w:pPr>
              <w:pStyle w:val="TableDataEntries"/>
            </w:pPr>
            <w:r w:rsidRPr="00091768">
              <w:t>NSW</w:t>
            </w:r>
          </w:p>
        </w:tc>
        <w:tc>
          <w:tcPr>
            <w:tcW w:w="1559" w:type="dxa"/>
            <w:tcBorders>
              <w:top w:val="single" w:sz="8" w:space="0" w:color="FFFFFF" w:themeColor="background1"/>
              <w:bottom w:val="single" w:sz="8" w:space="0" w:color="FFFFFF" w:themeColor="background1"/>
            </w:tcBorders>
            <w:shd w:val="clear" w:color="auto" w:fill="E9E8E5" w:themeFill="background2"/>
            <w:vAlign w:val="bottom"/>
          </w:tcPr>
          <w:p w14:paraId="1870F543" w14:textId="77777777" w:rsidR="00ED0E85" w:rsidRDefault="00ED0E85" w:rsidP="00ED0E85">
            <w:pPr>
              <w:pStyle w:val="TableDataEntries"/>
            </w:pPr>
            <w:r>
              <w:t>Black Coal</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07DCE8D" w14:textId="77777777" w:rsidR="00ED0E85" w:rsidRDefault="00ED0E85" w:rsidP="00ED0E85">
            <w:pPr>
              <w:pStyle w:val="TableDataEntries"/>
            </w:pPr>
            <w:r>
              <w:t>8 519 000</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569CE71" w14:textId="77777777" w:rsidR="00ED0E85" w:rsidRDefault="00ED0E85" w:rsidP="00ED0E85">
            <w:pPr>
              <w:pStyle w:val="TableDataEntries"/>
            </w:pPr>
            <w:r>
              <w:t xml:space="preserve"> 218 000</w:t>
            </w:r>
          </w:p>
        </w:tc>
      </w:tr>
      <w:tr w:rsidR="00ED0E85" w:rsidRPr="00091768" w14:paraId="37FD9F69"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920844" w14:textId="77777777" w:rsidR="00ED0E85" w:rsidRPr="00091768" w:rsidRDefault="00ED0E85" w:rsidP="00ED0E85">
            <w:pPr>
              <w:pStyle w:val="TableDataEntries"/>
              <w:jc w:val="left"/>
            </w:pPr>
            <w:r w:rsidRPr="00091768">
              <w:t>Vales Point Power Station</w:t>
            </w:r>
          </w:p>
        </w:tc>
        <w:tc>
          <w:tcPr>
            <w:tcW w:w="709"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53D9D1" w14:textId="77777777" w:rsidR="00ED0E85" w:rsidRPr="00091768" w:rsidRDefault="00ED0E85" w:rsidP="00ED0E85">
            <w:pPr>
              <w:pStyle w:val="TableDataEntries"/>
            </w:pPr>
            <w:r w:rsidRPr="00091768">
              <w:t>NSW</w:t>
            </w:r>
          </w:p>
        </w:tc>
        <w:tc>
          <w:tcPr>
            <w:tcW w:w="1559" w:type="dxa"/>
            <w:tcBorders>
              <w:top w:val="single" w:sz="8" w:space="0" w:color="FFFFFF" w:themeColor="background1"/>
              <w:bottom w:val="single" w:sz="8" w:space="0" w:color="FFFFFF" w:themeColor="background1"/>
            </w:tcBorders>
            <w:shd w:val="clear" w:color="auto" w:fill="E9E8E5" w:themeFill="background2"/>
            <w:vAlign w:val="bottom"/>
          </w:tcPr>
          <w:p w14:paraId="10D7FAD9" w14:textId="77777777" w:rsidR="00ED0E85" w:rsidRDefault="00ED0E85" w:rsidP="00ED0E85">
            <w:pPr>
              <w:pStyle w:val="TableDataEntries"/>
            </w:pPr>
            <w:r>
              <w:t>Black Coal</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8BF1B17" w14:textId="77777777" w:rsidR="00ED0E85" w:rsidRDefault="00ED0E85" w:rsidP="00ED0E85">
            <w:pPr>
              <w:pStyle w:val="TableDataEntries"/>
            </w:pPr>
            <w:r>
              <w:t>8 063 000</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67F2D66" w14:textId="77777777" w:rsidR="00ED0E85" w:rsidRDefault="00ED0E85" w:rsidP="00ED0E85">
            <w:pPr>
              <w:pStyle w:val="TableDataEntries"/>
            </w:pPr>
            <w:r>
              <w:t xml:space="preserve"> 47 000</w:t>
            </w:r>
          </w:p>
        </w:tc>
      </w:tr>
      <w:tr w:rsidR="00ED0E85" w:rsidRPr="00091768" w14:paraId="56A5DAB1"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D95491" w14:textId="77777777" w:rsidR="00ED0E85" w:rsidRPr="00091768" w:rsidRDefault="00ED0E85" w:rsidP="00ED0E85">
            <w:pPr>
              <w:pStyle w:val="TableDataEntries"/>
              <w:jc w:val="left"/>
            </w:pPr>
            <w:r w:rsidRPr="00091768">
              <w:t>Mt Piper Power Station</w:t>
            </w:r>
          </w:p>
        </w:tc>
        <w:tc>
          <w:tcPr>
            <w:tcW w:w="709"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8DF4DA" w14:textId="77777777" w:rsidR="00ED0E85" w:rsidRPr="00091768" w:rsidRDefault="00ED0E85" w:rsidP="00ED0E85">
            <w:pPr>
              <w:pStyle w:val="TableDataEntries"/>
            </w:pPr>
            <w:r w:rsidRPr="00091768">
              <w:t>NSW</w:t>
            </w:r>
          </w:p>
        </w:tc>
        <w:tc>
          <w:tcPr>
            <w:tcW w:w="1559" w:type="dxa"/>
            <w:tcBorders>
              <w:top w:val="single" w:sz="8" w:space="0" w:color="FFFFFF" w:themeColor="background1"/>
              <w:bottom w:val="single" w:sz="8" w:space="0" w:color="FFFFFF" w:themeColor="background1"/>
            </w:tcBorders>
            <w:shd w:val="clear" w:color="auto" w:fill="E9E8E5" w:themeFill="background2"/>
            <w:vAlign w:val="bottom"/>
          </w:tcPr>
          <w:p w14:paraId="6BF70F2F" w14:textId="77777777" w:rsidR="00ED0E85" w:rsidRDefault="00ED0E85" w:rsidP="00ED0E85">
            <w:pPr>
              <w:pStyle w:val="TableDataEntries"/>
            </w:pPr>
            <w:r>
              <w:t>Black Coal</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00E5C90" w14:textId="77777777" w:rsidR="00ED0E85" w:rsidRDefault="00ED0E85" w:rsidP="00ED0E85">
            <w:pPr>
              <w:pStyle w:val="TableDataEntries"/>
            </w:pPr>
            <w:r>
              <w:t>7 864 000</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201B5BD" w14:textId="77777777" w:rsidR="00ED0E85" w:rsidRDefault="00ED0E85" w:rsidP="00ED0E85">
            <w:pPr>
              <w:pStyle w:val="TableDataEntries"/>
            </w:pPr>
            <w:r>
              <w:t xml:space="preserve"> 55 000</w:t>
            </w:r>
          </w:p>
        </w:tc>
      </w:tr>
      <w:tr w:rsidR="00ED0E85" w:rsidRPr="00091768" w14:paraId="1020CDD8"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C3A745" w14:textId="77777777" w:rsidR="00ED0E85" w:rsidRPr="00091768" w:rsidRDefault="00ED0E85" w:rsidP="00ED0E85">
            <w:pPr>
              <w:pStyle w:val="TableDataEntries"/>
              <w:jc w:val="left"/>
            </w:pPr>
            <w:r w:rsidRPr="00091768">
              <w:t>Tarong Power Stations</w:t>
            </w:r>
          </w:p>
        </w:tc>
        <w:tc>
          <w:tcPr>
            <w:tcW w:w="709"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F4DC47" w14:textId="77777777" w:rsidR="00ED0E85" w:rsidRPr="00091768" w:rsidRDefault="00ED0E85" w:rsidP="00ED0E85">
            <w:pPr>
              <w:pStyle w:val="TableDataEntries"/>
            </w:pPr>
            <w:r w:rsidRPr="00091768">
              <w:t>QLD</w:t>
            </w:r>
          </w:p>
        </w:tc>
        <w:tc>
          <w:tcPr>
            <w:tcW w:w="1559" w:type="dxa"/>
            <w:tcBorders>
              <w:top w:val="single" w:sz="8" w:space="0" w:color="FFFFFF" w:themeColor="background1"/>
              <w:bottom w:val="single" w:sz="8" w:space="0" w:color="FFFFFF" w:themeColor="background1"/>
            </w:tcBorders>
            <w:shd w:val="clear" w:color="auto" w:fill="E9E8E5" w:themeFill="background2"/>
            <w:vAlign w:val="bottom"/>
          </w:tcPr>
          <w:p w14:paraId="13B3844F" w14:textId="77777777" w:rsidR="00ED0E85" w:rsidRDefault="00ED0E85" w:rsidP="00ED0E85">
            <w:pPr>
              <w:pStyle w:val="TableDataEntries"/>
            </w:pPr>
            <w:r>
              <w:t>Black Coal</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8E78F8E" w14:textId="77777777" w:rsidR="00ED0E85" w:rsidRDefault="00ED0E85" w:rsidP="00ED0E85">
            <w:pPr>
              <w:pStyle w:val="TableDataEntries"/>
            </w:pPr>
            <w:r>
              <w:t>12 099 000</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67B3805" w14:textId="77777777" w:rsidR="00ED0E85" w:rsidRDefault="00ED0E85" w:rsidP="00ED0E85">
            <w:pPr>
              <w:pStyle w:val="TableDataEntries"/>
            </w:pPr>
            <w:r>
              <w:t>2 051 000</w:t>
            </w:r>
          </w:p>
        </w:tc>
      </w:tr>
      <w:tr w:rsidR="00ED0E85" w:rsidRPr="00091768" w14:paraId="7B792BC0"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858985" w14:textId="77777777" w:rsidR="00ED0E85" w:rsidRPr="00091768" w:rsidRDefault="00ED0E85" w:rsidP="00ED0E85">
            <w:pPr>
              <w:pStyle w:val="TableDataEntries"/>
              <w:jc w:val="left"/>
            </w:pPr>
            <w:r w:rsidRPr="00091768">
              <w:t>Gladstone Power Station</w:t>
            </w:r>
          </w:p>
        </w:tc>
        <w:tc>
          <w:tcPr>
            <w:tcW w:w="709"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F99A0A" w14:textId="77777777" w:rsidR="00ED0E85" w:rsidRPr="00091768" w:rsidRDefault="00ED0E85" w:rsidP="00ED0E85">
            <w:pPr>
              <w:pStyle w:val="TableDataEntries"/>
            </w:pPr>
            <w:r w:rsidRPr="00091768">
              <w:t>QLD</w:t>
            </w:r>
          </w:p>
        </w:tc>
        <w:tc>
          <w:tcPr>
            <w:tcW w:w="1559" w:type="dxa"/>
            <w:tcBorders>
              <w:top w:val="single" w:sz="8" w:space="0" w:color="FFFFFF" w:themeColor="background1"/>
              <w:bottom w:val="single" w:sz="8" w:space="0" w:color="FFFFFF" w:themeColor="background1"/>
            </w:tcBorders>
            <w:shd w:val="clear" w:color="auto" w:fill="E9E8E5" w:themeFill="background2"/>
            <w:vAlign w:val="bottom"/>
          </w:tcPr>
          <w:p w14:paraId="489772F5" w14:textId="77777777" w:rsidR="00ED0E85" w:rsidRDefault="00ED0E85" w:rsidP="00ED0E85">
            <w:pPr>
              <w:pStyle w:val="TableDataEntries"/>
            </w:pPr>
            <w:r>
              <w:t>Black Coal</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5220E9F" w14:textId="77777777" w:rsidR="00ED0E85" w:rsidRDefault="00ED0E85" w:rsidP="00ED0E85">
            <w:pPr>
              <w:pStyle w:val="TableDataEntries"/>
            </w:pPr>
            <w:r>
              <w:t>8 975 000</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697E000" w14:textId="77777777" w:rsidR="00ED0E85" w:rsidRDefault="00ED0E85" w:rsidP="00ED0E85">
            <w:pPr>
              <w:pStyle w:val="TableDataEntries"/>
            </w:pPr>
            <w:r>
              <w:t xml:space="preserve"> 57 000</w:t>
            </w:r>
          </w:p>
        </w:tc>
      </w:tr>
      <w:tr w:rsidR="00ED0E85" w:rsidRPr="00091768" w14:paraId="47AC4025"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905716" w14:textId="77777777" w:rsidR="00ED0E85" w:rsidRPr="00091768" w:rsidRDefault="00ED0E85" w:rsidP="00ED0E85">
            <w:pPr>
              <w:pStyle w:val="TableDataEntries"/>
              <w:jc w:val="left"/>
            </w:pPr>
            <w:r w:rsidRPr="00091768">
              <w:t>Stanwell Power Station</w:t>
            </w:r>
          </w:p>
        </w:tc>
        <w:tc>
          <w:tcPr>
            <w:tcW w:w="709"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669EE64" w14:textId="77777777" w:rsidR="00ED0E85" w:rsidRPr="00091768" w:rsidRDefault="00ED0E85" w:rsidP="00ED0E85">
            <w:pPr>
              <w:pStyle w:val="TableDataEntries"/>
            </w:pPr>
            <w:r w:rsidRPr="00091768">
              <w:t>QLD</w:t>
            </w:r>
          </w:p>
        </w:tc>
        <w:tc>
          <w:tcPr>
            <w:tcW w:w="1559" w:type="dxa"/>
            <w:tcBorders>
              <w:top w:val="single" w:sz="8" w:space="0" w:color="FFFFFF" w:themeColor="background1"/>
              <w:bottom w:val="single" w:sz="8" w:space="0" w:color="FFFFFF" w:themeColor="background1"/>
            </w:tcBorders>
            <w:shd w:val="clear" w:color="auto" w:fill="E9E8E5" w:themeFill="background2"/>
            <w:vAlign w:val="bottom"/>
          </w:tcPr>
          <w:p w14:paraId="48EB2E7F" w14:textId="77777777" w:rsidR="00ED0E85" w:rsidRDefault="00ED0E85" w:rsidP="00ED0E85">
            <w:pPr>
              <w:pStyle w:val="TableDataEntries"/>
            </w:pPr>
            <w:r>
              <w:t>Black Coal</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1639283" w14:textId="77777777" w:rsidR="00ED0E85" w:rsidRDefault="00ED0E85" w:rsidP="00ED0E85">
            <w:pPr>
              <w:pStyle w:val="TableDataEntries"/>
            </w:pPr>
            <w:r>
              <w:t>8 804 000</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3F84CEE" w14:textId="77777777" w:rsidR="00ED0E85" w:rsidRDefault="00ED0E85" w:rsidP="00ED0E85">
            <w:pPr>
              <w:pStyle w:val="TableDataEntries"/>
            </w:pPr>
            <w:r>
              <w:t xml:space="preserve"> 248 000</w:t>
            </w:r>
          </w:p>
        </w:tc>
      </w:tr>
      <w:tr w:rsidR="00ED0E85" w:rsidRPr="00091768" w14:paraId="4472BE18"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25B025" w14:textId="77777777" w:rsidR="00ED0E85" w:rsidRPr="00091768" w:rsidRDefault="00ED0E85" w:rsidP="00ED0E85">
            <w:pPr>
              <w:pStyle w:val="TableDataEntries"/>
              <w:jc w:val="left"/>
            </w:pPr>
            <w:r w:rsidRPr="00091768">
              <w:t>Millmerran Power Station (facility)</w:t>
            </w:r>
          </w:p>
        </w:tc>
        <w:tc>
          <w:tcPr>
            <w:tcW w:w="709"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E35A13" w14:textId="77777777" w:rsidR="00ED0E85" w:rsidRPr="00091768" w:rsidRDefault="00ED0E85" w:rsidP="00ED0E85">
            <w:pPr>
              <w:pStyle w:val="TableDataEntries"/>
            </w:pPr>
            <w:r w:rsidRPr="00091768">
              <w:t>QLD</w:t>
            </w:r>
          </w:p>
        </w:tc>
        <w:tc>
          <w:tcPr>
            <w:tcW w:w="1559" w:type="dxa"/>
            <w:tcBorders>
              <w:top w:val="single" w:sz="8" w:space="0" w:color="FFFFFF" w:themeColor="background1"/>
              <w:bottom w:val="single" w:sz="8" w:space="0" w:color="FFFFFF" w:themeColor="background1"/>
            </w:tcBorders>
            <w:shd w:val="clear" w:color="auto" w:fill="E9E8E5" w:themeFill="background2"/>
            <w:vAlign w:val="bottom"/>
          </w:tcPr>
          <w:p w14:paraId="5303748D" w14:textId="77777777" w:rsidR="00ED0E85" w:rsidRDefault="00ED0E85" w:rsidP="00ED0E85">
            <w:pPr>
              <w:pStyle w:val="TableDataEntries"/>
            </w:pPr>
            <w:r>
              <w:t>Black Coal</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69B2368" w14:textId="77777777" w:rsidR="00ED0E85" w:rsidRDefault="00ED0E85" w:rsidP="00ED0E85">
            <w:pPr>
              <w:pStyle w:val="TableDataEntries"/>
            </w:pPr>
            <w:r>
              <w:t>7 061 000</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8AA32FC" w14:textId="77777777" w:rsidR="00ED0E85" w:rsidRDefault="00ED0E85" w:rsidP="00ED0E85">
            <w:pPr>
              <w:pStyle w:val="TableDataEntries"/>
            </w:pPr>
            <w:r>
              <w:t xml:space="preserve"> 21 000</w:t>
            </w:r>
          </w:p>
        </w:tc>
      </w:tr>
      <w:tr w:rsidR="00ED0E85" w:rsidRPr="00091768" w14:paraId="18A4CBEA"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F382AD" w14:textId="77777777" w:rsidR="00ED0E85" w:rsidRPr="00091768" w:rsidRDefault="00ED0E85" w:rsidP="00ED0E85">
            <w:pPr>
              <w:pStyle w:val="TableDataEntries"/>
              <w:jc w:val="left"/>
            </w:pPr>
            <w:r w:rsidRPr="00091768">
              <w:t>Callide C Power Station</w:t>
            </w:r>
          </w:p>
        </w:tc>
        <w:tc>
          <w:tcPr>
            <w:tcW w:w="709"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E8E62A" w14:textId="77777777" w:rsidR="00ED0E85" w:rsidRPr="00091768" w:rsidRDefault="00ED0E85" w:rsidP="00ED0E85">
            <w:pPr>
              <w:pStyle w:val="TableDataEntries"/>
            </w:pPr>
            <w:r w:rsidRPr="00091768">
              <w:t>QLD</w:t>
            </w:r>
          </w:p>
        </w:tc>
        <w:tc>
          <w:tcPr>
            <w:tcW w:w="1559" w:type="dxa"/>
            <w:tcBorders>
              <w:top w:val="single" w:sz="8" w:space="0" w:color="FFFFFF" w:themeColor="background1"/>
              <w:bottom w:val="single" w:sz="8" w:space="0" w:color="FFFFFF" w:themeColor="background1"/>
            </w:tcBorders>
            <w:shd w:val="clear" w:color="auto" w:fill="E9E8E5" w:themeFill="background2"/>
            <w:vAlign w:val="bottom"/>
          </w:tcPr>
          <w:p w14:paraId="39D29F64" w14:textId="77777777" w:rsidR="00ED0E85" w:rsidRDefault="00ED0E85" w:rsidP="00ED0E85">
            <w:pPr>
              <w:pStyle w:val="TableDataEntries"/>
            </w:pPr>
            <w:r>
              <w:t>Black Coal</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039A544" w14:textId="77777777" w:rsidR="00ED0E85" w:rsidRDefault="00ED0E85" w:rsidP="00ED0E85">
            <w:pPr>
              <w:pStyle w:val="TableDataEntries"/>
            </w:pPr>
            <w:r>
              <w:t>5 840 000</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E861372" w14:textId="77777777" w:rsidR="00ED0E85" w:rsidRDefault="00ED0E85" w:rsidP="00ED0E85">
            <w:pPr>
              <w:pStyle w:val="TableDataEntries"/>
            </w:pPr>
            <w:r>
              <w:t xml:space="preserve"> 290 000</w:t>
            </w:r>
          </w:p>
        </w:tc>
      </w:tr>
      <w:tr w:rsidR="00ED0E85" w:rsidRPr="00091768" w14:paraId="44990F39"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2F9F23" w14:textId="77777777" w:rsidR="00ED0E85" w:rsidRPr="00091768" w:rsidRDefault="00ED0E85" w:rsidP="00ED0E85">
            <w:pPr>
              <w:pStyle w:val="TableDataEntries"/>
              <w:jc w:val="left"/>
            </w:pPr>
            <w:r w:rsidRPr="00091768">
              <w:t>Callide B Power Station</w:t>
            </w:r>
          </w:p>
        </w:tc>
        <w:tc>
          <w:tcPr>
            <w:tcW w:w="709"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F8AE00" w14:textId="77777777" w:rsidR="00ED0E85" w:rsidRPr="00091768" w:rsidRDefault="00ED0E85" w:rsidP="00ED0E85">
            <w:pPr>
              <w:pStyle w:val="TableDataEntries"/>
            </w:pPr>
            <w:r w:rsidRPr="00091768">
              <w:t>QLD</w:t>
            </w:r>
          </w:p>
        </w:tc>
        <w:tc>
          <w:tcPr>
            <w:tcW w:w="1559" w:type="dxa"/>
            <w:tcBorders>
              <w:top w:val="single" w:sz="8" w:space="0" w:color="FFFFFF" w:themeColor="background1"/>
              <w:bottom w:val="single" w:sz="8" w:space="0" w:color="FFFFFF" w:themeColor="background1"/>
            </w:tcBorders>
            <w:shd w:val="clear" w:color="auto" w:fill="E9E8E5" w:themeFill="background2"/>
            <w:vAlign w:val="bottom"/>
          </w:tcPr>
          <w:p w14:paraId="7537F6E3" w14:textId="77777777" w:rsidR="00ED0E85" w:rsidRDefault="00ED0E85" w:rsidP="00ED0E85">
            <w:pPr>
              <w:pStyle w:val="TableDataEntries"/>
            </w:pPr>
            <w:r>
              <w:t>Black Coal</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F0747D7" w14:textId="77777777" w:rsidR="00ED0E85" w:rsidRDefault="00ED0E85" w:rsidP="00ED0E85">
            <w:pPr>
              <w:pStyle w:val="TableDataEntries"/>
            </w:pPr>
            <w:r>
              <w:t>5 505 000</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55BFA2A" w14:textId="77777777" w:rsidR="00ED0E85" w:rsidRDefault="00ED0E85" w:rsidP="00ED0E85">
            <w:pPr>
              <w:pStyle w:val="TableDataEntries"/>
            </w:pPr>
            <w:r>
              <w:t xml:space="preserve"> 374 000</w:t>
            </w:r>
          </w:p>
        </w:tc>
      </w:tr>
      <w:tr w:rsidR="00ED0E85" w:rsidRPr="00091768" w14:paraId="439E2B6C"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E9E21D" w14:textId="77777777" w:rsidR="00ED0E85" w:rsidRPr="00091768" w:rsidRDefault="00ED0E85" w:rsidP="00ED0E85">
            <w:pPr>
              <w:pStyle w:val="TableDataEntries"/>
              <w:jc w:val="left"/>
            </w:pPr>
            <w:r w:rsidRPr="00091768">
              <w:t>Kogan Creek Power Station</w:t>
            </w:r>
          </w:p>
        </w:tc>
        <w:tc>
          <w:tcPr>
            <w:tcW w:w="709"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94354C" w14:textId="77777777" w:rsidR="00ED0E85" w:rsidRPr="00091768" w:rsidRDefault="00ED0E85" w:rsidP="00ED0E85">
            <w:pPr>
              <w:pStyle w:val="TableDataEntries"/>
            </w:pPr>
            <w:r w:rsidRPr="00091768">
              <w:t>QLD</w:t>
            </w:r>
          </w:p>
        </w:tc>
        <w:tc>
          <w:tcPr>
            <w:tcW w:w="1559" w:type="dxa"/>
            <w:tcBorders>
              <w:top w:val="single" w:sz="8" w:space="0" w:color="FFFFFF" w:themeColor="background1"/>
              <w:bottom w:val="single" w:sz="8" w:space="0" w:color="FFFFFF" w:themeColor="background1"/>
            </w:tcBorders>
            <w:shd w:val="clear" w:color="auto" w:fill="E9E8E5" w:themeFill="background2"/>
            <w:vAlign w:val="bottom"/>
          </w:tcPr>
          <w:p w14:paraId="29CD7862" w14:textId="77777777" w:rsidR="00ED0E85" w:rsidRDefault="00ED0E85" w:rsidP="00ED0E85">
            <w:pPr>
              <w:pStyle w:val="TableDataEntries"/>
            </w:pPr>
            <w:r>
              <w:t>Black Coal</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A8FFDED" w14:textId="77777777" w:rsidR="00ED0E85" w:rsidRDefault="00ED0E85" w:rsidP="00ED0E85">
            <w:pPr>
              <w:pStyle w:val="TableDataEntries"/>
            </w:pPr>
            <w:r>
              <w:t>5 255 000</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10D3B07" w14:textId="77777777" w:rsidR="00ED0E85" w:rsidRDefault="00ED0E85" w:rsidP="00ED0E85">
            <w:pPr>
              <w:pStyle w:val="TableDataEntries"/>
            </w:pPr>
            <w:r>
              <w:t xml:space="preserve"> 33 000</w:t>
            </w:r>
          </w:p>
        </w:tc>
      </w:tr>
      <w:tr w:rsidR="00ED0E85" w:rsidRPr="00091768" w14:paraId="222EA852"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F4AAB3" w14:textId="77777777" w:rsidR="00ED0E85" w:rsidRPr="00091768" w:rsidRDefault="00ED0E85" w:rsidP="00ED0E85">
            <w:pPr>
              <w:pStyle w:val="TableDataEntries"/>
              <w:jc w:val="left"/>
            </w:pPr>
            <w:r w:rsidRPr="00091768">
              <w:t>Loy Yang Power Station and Mine</w:t>
            </w:r>
          </w:p>
        </w:tc>
        <w:tc>
          <w:tcPr>
            <w:tcW w:w="709"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454E0C" w14:textId="77777777" w:rsidR="00ED0E85" w:rsidRPr="00091768" w:rsidRDefault="00ED0E85" w:rsidP="00ED0E85">
            <w:pPr>
              <w:pStyle w:val="TableDataEntries"/>
            </w:pPr>
            <w:r w:rsidRPr="00091768">
              <w:t>VIC</w:t>
            </w:r>
          </w:p>
        </w:tc>
        <w:tc>
          <w:tcPr>
            <w:tcW w:w="1559" w:type="dxa"/>
            <w:tcBorders>
              <w:top w:val="single" w:sz="8" w:space="0" w:color="FFFFFF" w:themeColor="background1"/>
              <w:bottom w:val="single" w:sz="8" w:space="0" w:color="FFFFFF" w:themeColor="background1"/>
            </w:tcBorders>
            <w:shd w:val="clear" w:color="auto" w:fill="E9E8E5" w:themeFill="background2"/>
            <w:vAlign w:val="bottom"/>
          </w:tcPr>
          <w:p w14:paraId="1BD004F8" w14:textId="77777777" w:rsidR="00ED0E85" w:rsidRDefault="00ED0E85" w:rsidP="00ED0E85">
            <w:pPr>
              <w:pStyle w:val="TableDataEntries"/>
            </w:pPr>
            <w:r>
              <w:t>Brown Coal</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65B5312" w14:textId="77777777" w:rsidR="00ED0E85" w:rsidRDefault="00ED0E85" w:rsidP="00ED0E85">
            <w:pPr>
              <w:pStyle w:val="TableDataEntries"/>
            </w:pPr>
            <w:r>
              <w:t>16 952 000</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88E9D20" w14:textId="77777777" w:rsidR="00ED0E85" w:rsidRDefault="00ED0E85" w:rsidP="00ED0E85">
            <w:pPr>
              <w:pStyle w:val="TableDataEntries"/>
            </w:pPr>
            <w:r>
              <w:t xml:space="preserve"> 766 000</w:t>
            </w:r>
          </w:p>
        </w:tc>
      </w:tr>
      <w:tr w:rsidR="00ED0E85" w:rsidRPr="00091768" w14:paraId="7E9C8567"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FC2781" w14:textId="77777777" w:rsidR="00ED0E85" w:rsidRPr="00091768" w:rsidRDefault="00ED0E85" w:rsidP="00ED0E85">
            <w:pPr>
              <w:pStyle w:val="TableDataEntries"/>
              <w:jc w:val="left"/>
            </w:pPr>
            <w:r w:rsidRPr="00091768">
              <w:t>Yallourn Power Station</w:t>
            </w:r>
          </w:p>
        </w:tc>
        <w:tc>
          <w:tcPr>
            <w:tcW w:w="709"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847846" w14:textId="77777777" w:rsidR="00ED0E85" w:rsidRPr="00091768" w:rsidRDefault="00ED0E85" w:rsidP="00ED0E85">
            <w:pPr>
              <w:pStyle w:val="TableDataEntries"/>
            </w:pPr>
            <w:r w:rsidRPr="00091768">
              <w:t>VIC</w:t>
            </w:r>
          </w:p>
        </w:tc>
        <w:tc>
          <w:tcPr>
            <w:tcW w:w="1559" w:type="dxa"/>
            <w:tcBorders>
              <w:top w:val="single" w:sz="8" w:space="0" w:color="FFFFFF" w:themeColor="background1"/>
              <w:bottom w:val="single" w:sz="8" w:space="0" w:color="FFFFFF" w:themeColor="background1"/>
            </w:tcBorders>
            <w:shd w:val="clear" w:color="auto" w:fill="E9E8E5" w:themeFill="background2"/>
            <w:vAlign w:val="bottom"/>
          </w:tcPr>
          <w:p w14:paraId="4B06EB5F" w14:textId="77777777" w:rsidR="00ED0E85" w:rsidRDefault="00ED0E85" w:rsidP="00ED0E85">
            <w:pPr>
              <w:pStyle w:val="TableDataEntries"/>
            </w:pPr>
            <w:r>
              <w:t>Brown Coal</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3808276" w14:textId="77777777" w:rsidR="00ED0E85" w:rsidRDefault="00ED0E85" w:rsidP="00ED0E85">
            <w:pPr>
              <w:pStyle w:val="TableDataEntries"/>
            </w:pPr>
            <w:r>
              <w:t>10 239 000</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419D8BC" w14:textId="77777777" w:rsidR="00ED0E85" w:rsidRDefault="00ED0E85" w:rsidP="00ED0E85">
            <w:pPr>
              <w:pStyle w:val="TableDataEntries"/>
            </w:pPr>
            <w:r>
              <w:t xml:space="preserve"> 755 000</w:t>
            </w:r>
          </w:p>
        </w:tc>
      </w:tr>
      <w:tr w:rsidR="00ED0E85" w:rsidRPr="00091768" w14:paraId="45474FE3"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B6A9D7" w14:textId="77777777" w:rsidR="00ED0E85" w:rsidRPr="00091768" w:rsidRDefault="00ED0E85" w:rsidP="00ED0E85">
            <w:pPr>
              <w:pStyle w:val="TableDataEntries"/>
              <w:jc w:val="left"/>
            </w:pPr>
            <w:r w:rsidRPr="00091768">
              <w:t>Loy Yang B Power Station</w:t>
            </w:r>
          </w:p>
        </w:tc>
        <w:tc>
          <w:tcPr>
            <w:tcW w:w="709"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9E8CD2" w14:textId="77777777" w:rsidR="00ED0E85" w:rsidRPr="00091768" w:rsidRDefault="00ED0E85" w:rsidP="00ED0E85">
            <w:pPr>
              <w:pStyle w:val="TableDataEntries"/>
            </w:pPr>
            <w:r w:rsidRPr="00091768">
              <w:t>VIC</w:t>
            </w:r>
          </w:p>
        </w:tc>
        <w:tc>
          <w:tcPr>
            <w:tcW w:w="1559" w:type="dxa"/>
            <w:tcBorders>
              <w:top w:val="single" w:sz="8" w:space="0" w:color="FFFFFF" w:themeColor="background1"/>
              <w:bottom w:val="single" w:sz="8" w:space="0" w:color="FFFFFF" w:themeColor="background1"/>
            </w:tcBorders>
            <w:shd w:val="clear" w:color="auto" w:fill="E9E8E5" w:themeFill="background2"/>
            <w:vAlign w:val="bottom"/>
          </w:tcPr>
          <w:p w14:paraId="6C8D4DD2" w14:textId="77777777" w:rsidR="00ED0E85" w:rsidRDefault="00ED0E85" w:rsidP="00ED0E85">
            <w:pPr>
              <w:pStyle w:val="TableDataEntries"/>
            </w:pPr>
            <w:r>
              <w:t>Brown Coal</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3EF62F6" w14:textId="77777777" w:rsidR="00ED0E85" w:rsidRDefault="00ED0E85" w:rsidP="00ED0E85">
            <w:pPr>
              <w:pStyle w:val="TableDataEntries"/>
            </w:pPr>
            <w:r>
              <w:t>8 870 000</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1B4199D" w14:textId="77777777" w:rsidR="00ED0E85" w:rsidRDefault="00ED0E85" w:rsidP="00ED0E85">
            <w:pPr>
              <w:pStyle w:val="TableDataEntries"/>
            </w:pPr>
            <w:r>
              <w:t xml:space="preserve"> 343 000</w:t>
            </w:r>
          </w:p>
        </w:tc>
      </w:tr>
      <w:tr w:rsidR="00ED0E85" w:rsidRPr="00091768" w14:paraId="7ADAFCE2"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D0859D" w14:textId="77777777" w:rsidR="00ED0E85" w:rsidRPr="00091768" w:rsidRDefault="00ED0E85" w:rsidP="00ED0E85">
            <w:pPr>
              <w:pStyle w:val="TableDataEntries"/>
              <w:jc w:val="left"/>
            </w:pPr>
            <w:r w:rsidRPr="00091768">
              <w:t>Muja Power Station</w:t>
            </w:r>
          </w:p>
        </w:tc>
        <w:tc>
          <w:tcPr>
            <w:tcW w:w="709"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9A2C32E" w14:textId="77777777" w:rsidR="00ED0E85" w:rsidRPr="00091768" w:rsidRDefault="00ED0E85" w:rsidP="00ED0E85">
            <w:pPr>
              <w:pStyle w:val="TableDataEntries"/>
            </w:pPr>
            <w:r w:rsidRPr="00091768">
              <w:t>WA</w:t>
            </w:r>
          </w:p>
        </w:tc>
        <w:tc>
          <w:tcPr>
            <w:tcW w:w="1559" w:type="dxa"/>
            <w:tcBorders>
              <w:top w:val="single" w:sz="8" w:space="0" w:color="FFFFFF" w:themeColor="background1"/>
              <w:bottom w:val="single" w:sz="8" w:space="0" w:color="FFFFFF" w:themeColor="background1"/>
            </w:tcBorders>
            <w:shd w:val="clear" w:color="auto" w:fill="E9E8E5" w:themeFill="background2"/>
            <w:vAlign w:val="bottom"/>
          </w:tcPr>
          <w:p w14:paraId="2426B22D" w14:textId="77777777" w:rsidR="00ED0E85" w:rsidRDefault="00ED0E85" w:rsidP="00ED0E85">
            <w:pPr>
              <w:pStyle w:val="TableDataEntries"/>
            </w:pPr>
            <w:r>
              <w:t>Black Coal</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B8E227D" w14:textId="77777777" w:rsidR="00ED0E85" w:rsidRDefault="00ED0E85" w:rsidP="00ED0E85">
            <w:pPr>
              <w:pStyle w:val="TableDataEntries"/>
            </w:pPr>
            <w:r>
              <w:t>4 400 000</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6CE13D1" w14:textId="77777777" w:rsidR="00ED0E85" w:rsidRDefault="00ED0E85" w:rsidP="00ED0E85">
            <w:pPr>
              <w:pStyle w:val="TableDataEntries"/>
            </w:pPr>
            <w:r>
              <w:t xml:space="preserve"> 241 000</w:t>
            </w:r>
          </w:p>
        </w:tc>
      </w:tr>
      <w:tr w:rsidR="00ED0E85" w:rsidRPr="00091768" w14:paraId="43E19F06"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2460A3" w14:textId="77777777" w:rsidR="00ED0E85" w:rsidRPr="00091768" w:rsidRDefault="00ED0E85" w:rsidP="00ED0E85">
            <w:pPr>
              <w:pStyle w:val="TableDataEntries"/>
              <w:jc w:val="left"/>
            </w:pPr>
            <w:r w:rsidRPr="00091768">
              <w:t xml:space="preserve">Collie Power Station </w:t>
            </w:r>
          </w:p>
        </w:tc>
        <w:tc>
          <w:tcPr>
            <w:tcW w:w="709"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9C34D8" w14:textId="77777777" w:rsidR="00ED0E85" w:rsidRPr="00091768" w:rsidRDefault="00ED0E85" w:rsidP="00ED0E85">
            <w:pPr>
              <w:pStyle w:val="TableDataEntries"/>
            </w:pPr>
            <w:r w:rsidRPr="00091768">
              <w:t>WA</w:t>
            </w:r>
          </w:p>
        </w:tc>
        <w:tc>
          <w:tcPr>
            <w:tcW w:w="1559" w:type="dxa"/>
            <w:tcBorders>
              <w:top w:val="single" w:sz="8" w:space="0" w:color="FFFFFF" w:themeColor="background1"/>
              <w:bottom w:val="single" w:sz="8" w:space="0" w:color="FFFFFF" w:themeColor="background1"/>
            </w:tcBorders>
            <w:shd w:val="clear" w:color="auto" w:fill="E9E8E5" w:themeFill="background2"/>
            <w:vAlign w:val="bottom"/>
          </w:tcPr>
          <w:p w14:paraId="47A3FDF6" w14:textId="77777777" w:rsidR="00ED0E85" w:rsidRDefault="00ED0E85" w:rsidP="00ED0E85">
            <w:pPr>
              <w:pStyle w:val="TableDataEntries"/>
            </w:pPr>
            <w:r>
              <w:t>Black Coal</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952A8BF" w14:textId="77777777" w:rsidR="00ED0E85" w:rsidRDefault="00ED0E85" w:rsidP="00ED0E85">
            <w:pPr>
              <w:pStyle w:val="TableDataEntries"/>
            </w:pPr>
            <w:r>
              <w:t>2 032 000</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320942E" w14:textId="77777777" w:rsidR="00ED0E85" w:rsidRDefault="00ED0E85" w:rsidP="00ED0E85">
            <w:pPr>
              <w:pStyle w:val="TableDataEntries"/>
            </w:pPr>
            <w:r>
              <w:t xml:space="preserve"> 202 000</w:t>
            </w:r>
          </w:p>
        </w:tc>
      </w:tr>
      <w:tr w:rsidR="00ED0E85" w:rsidRPr="00091768" w14:paraId="1FA63F82"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19E7BD3" w14:textId="77777777" w:rsidR="00ED0E85" w:rsidRPr="00091768" w:rsidRDefault="00ED0E85" w:rsidP="00ED0E85">
            <w:pPr>
              <w:pStyle w:val="TableDataEntries"/>
              <w:jc w:val="left"/>
            </w:pPr>
            <w:r w:rsidRPr="00091768">
              <w:t>Bluewaters Power Station No 1&amp;2</w:t>
            </w:r>
            <w:r w:rsidRPr="00340BA9">
              <w:rPr>
                <w:rStyle w:val="NoteLabel"/>
              </w:rPr>
              <w:t>a</w:t>
            </w:r>
          </w:p>
        </w:tc>
        <w:tc>
          <w:tcPr>
            <w:tcW w:w="709" w:type="dxa"/>
            <w:gridSpan w:val="2"/>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80134E7" w14:textId="77777777" w:rsidR="00ED0E85" w:rsidRPr="00091768" w:rsidRDefault="00ED0E85" w:rsidP="00ED0E85">
            <w:pPr>
              <w:pStyle w:val="TableDataEntries"/>
            </w:pPr>
            <w:r w:rsidRPr="00091768">
              <w:t>WA</w:t>
            </w:r>
          </w:p>
        </w:tc>
        <w:tc>
          <w:tcPr>
            <w:tcW w:w="1559" w:type="dxa"/>
            <w:tcBorders>
              <w:top w:val="single" w:sz="8" w:space="0" w:color="FFFFFF" w:themeColor="background1"/>
              <w:bottom w:val="single" w:sz="8" w:space="0" w:color="FFFFFF" w:themeColor="background1"/>
            </w:tcBorders>
            <w:shd w:val="clear" w:color="auto" w:fill="E9E8E5" w:themeFill="background2"/>
            <w:vAlign w:val="bottom"/>
          </w:tcPr>
          <w:p w14:paraId="6157674B" w14:textId="77777777" w:rsidR="00ED0E85" w:rsidRDefault="00ED0E85" w:rsidP="00ED0E85">
            <w:pPr>
              <w:pStyle w:val="TableDataEntries"/>
            </w:pPr>
            <w:r>
              <w:t>Black Coal</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1229F4E" w14:textId="77777777" w:rsidR="00ED0E85" w:rsidRDefault="00ED0E85" w:rsidP="00ED0E85">
            <w:pPr>
              <w:pStyle w:val="TableDataEntries"/>
            </w:pPr>
            <w:r>
              <w:t>3 342 000</w:t>
            </w:r>
          </w:p>
        </w:tc>
        <w:tc>
          <w:tcPr>
            <w:tcW w:w="1346"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846653A" w14:textId="77777777" w:rsidR="00ED0E85" w:rsidRDefault="00ED0E85" w:rsidP="00ED0E85">
            <w:pPr>
              <w:pStyle w:val="TableDataEntries"/>
            </w:pPr>
            <w:r>
              <w:t xml:space="preserve"> 25 000</w:t>
            </w:r>
          </w:p>
        </w:tc>
      </w:tr>
      <w:tr w:rsidR="00ED0E85" w:rsidRPr="004A2854" w14:paraId="60EE58A1" w14:textId="77777777" w:rsidTr="00ED0E85">
        <w:trPr>
          <w:trHeight w:val="250"/>
        </w:trPr>
        <w:tc>
          <w:tcPr>
            <w:tcW w:w="5245" w:type="dxa"/>
            <w:gridSpan w:val="4"/>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hideMark/>
          </w:tcPr>
          <w:p w14:paraId="47DF251C" w14:textId="77777777" w:rsidR="00ED0E85" w:rsidRPr="004A2854" w:rsidRDefault="00ED0E85" w:rsidP="00ED0E85">
            <w:pPr>
              <w:pStyle w:val="TableDataEntries"/>
              <w:jc w:val="left"/>
              <w:rPr>
                <w:rFonts w:ascii="Franklin Gothic Demi" w:hAnsi="Franklin Gothic Demi"/>
              </w:rPr>
            </w:pPr>
            <w:r w:rsidRPr="004A2854">
              <w:rPr>
                <w:rFonts w:ascii="Franklin Gothic Demi" w:hAnsi="Franklin Gothic Demi"/>
              </w:rPr>
              <w:t>Australia total (all facilities generating electricity)</w:t>
            </w:r>
          </w:p>
        </w:tc>
        <w:tc>
          <w:tcPr>
            <w:tcW w:w="1346"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569F7691" w14:textId="77777777" w:rsidR="00ED0E85" w:rsidRPr="004A2854" w:rsidRDefault="00ED0E85" w:rsidP="00ED0E85">
            <w:pPr>
              <w:pStyle w:val="TableDataEntries"/>
              <w:rPr>
                <w:rFonts w:ascii="Franklin Gothic Demi" w:hAnsi="Franklin Gothic Demi"/>
              </w:rPr>
            </w:pPr>
            <w:r w:rsidRPr="004A2854">
              <w:rPr>
                <w:rFonts w:ascii="Franklin Gothic Demi" w:hAnsi="Franklin Gothic Demi"/>
              </w:rPr>
              <w:t>227 462 000</w:t>
            </w:r>
          </w:p>
        </w:tc>
        <w:tc>
          <w:tcPr>
            <w:tcW w:w="1346"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3E9478E2" w14:textId="77777777" w:rsidR="00ED0E85" w:rsidRPr="004A2854" w:rsidRDefault="00ED0E85" w:rsidP="00ED0E85">
            <w:pPr>
              <w:pStyle w:val="TableDataEntries"/>
              <w:rPr>
                <w:rFonts w:ascii="Franklin Gothic Demi" w:hAnsi="Franklin Gothic Demi"/>
              </w:rPr>
            </w:pPr>
            <w:r w:rsidRPr="004A2854">
              <w:rPr>
                <w:rFonts w:ascii="Franklin Gothic Demi" w:hAnsi="Franklin Gothic Demi"/>
              </w:rPr>
              <w:t>7 550 000</w:t>
            </w:r>
          </w:p>
        </w:tc>
      </w:tr>
      <w:tr w:rsidR="00ED0E85" w:rsidRPr="004A2854" w14:paraId="1DA8B8B3" w14:textId="77777777" w:rsidTr="00ED0E85">
        <w:trPr>
          <w:trHeight w:val="250"/>
        </w:trPr>
        <w:tc>
          <w:tcPr>
            <w:tcW w:w="3402" w:type="dxa"/>
            <w:gridSpan w:val="2"/>
            <w:tcBorders>
              <w:top w:val="single" w:sz="8" w:space="0" w:color="FFFFFF" w:themeColor="background1"/>
              <w:bottom w:val="single" w:sz="6" w:space="0" w:color="6F6652"/>
            </w:tcBorders>
            <w:shd w:val="clear" w:color="auto" w:fill="C2DADB" w:themeFill="accent6" w:themeFillTint="99"/>
            <w:noWrap/>
            <w:tcMar>
              <w:left w:w="57" w:type="dxa"/>
              <w:right w:w="57" w:type="dxa"/>
            </w:tcMar>
          </w:tcPr>
          <w:p w14:paraId="32CB1339" w14:textId="77777777" w:rsidR="00ED0E85" w:rsidRPr="004A2854" w:rsidRDefault="00ED0E85" w:rsidP="00ED0E85">
            <w:pPr>
              <w:pStyle w:val="TableDataEntries"/>
              <w:jc w:val="left"/>
              <w:rPr>
                <w:rFonts w:ascii="Franklin Gothic Demi" w:hAnsi="Franklin Gothic Demi"/>
              </w:rPr>
            </w:pPr>
            <w:r w:rsidRPr="004A2854">
              <w:rPr>
                <w:rFonts w:ascii="Franklin Gothic Demi" w:hAnsi="Franklin Gothic Demi"/>
              </w:rPr>
              <w:t>Proportion of total for Australia (per cent)</w:t>
            </w:r>
          </w:p>
        </w:tc>
        <w:tc>
          <w:tcPr>
            <w:tcW w:w="284" w:type="dxa"/>
            <w:tcBorders>
              <w:top w:val="single" w:sz="8" w:space="0" w:color="FFFFFF" w:themeColor="background1"/>
              <w:bottom w:val="single" w:sz="6" w:space="0" w:color="6F6652"/>
            </w:tcBorders>
            <w:shd w:val="clear" w:color="auto" w:fill="C2DADB" w:themeFill="accent6" w:themeFillTint="99"/>
            <w:noWrap/>
            <w:tcMar>
              <w:left w:w="57" w:type="dxa"/>
              <w:right w:w="57" w:type="dxa"/>
            </w:tcMar>
          </w:tcPr>
          <w:p w14:paraId="33AD396A" w14:textId="77777777" w:rsidR="00ED0E85" w:rsidRPr="004A2854" w:rsidRDefault="00ED0E85" w:rsidP="00ED0E85">
            <w:pPr>
              <w:pStyle w:val="TableDataEntries"/>
              <w:rPr>
                <w:rFonts w:ascii="Franklin Gothic Demi" w:hAnsi="Franklin Gothic Demi"/>
              </w:rPr>
            </w:pPr>
          </w:p>
        </w:tc>
        <w:tc>
          <w:tcPr>
            <w:tcW w:w="1559" w:type="dxa"/>
            <w:tcBorders>
              <w:top w:val="single" w:sz="8" w:space="0" w:color="FFFFFF" w:themeColor="background1"/>
              <w:bottom w:val="single" w:sz="6" w:space="0" w:color="6F6652"/>
            </w:tcBorders>
            <w:shd w:val="clear" w:color="auto" w:fill="C2DADB" w:themeFill="accent6" w:themeFillTint="99"/>
          </w:tcPr>
          <w:p w14:paraId="17806AD5" w14:textId="77777777" w:rsidR="00ED0E85" w:rsidRPr="004A2854" w:rsidRDefault="00ED0E85" w:rsidP="00ED0E85">
            <w:pPr>
              <w:pStyle w:val="TableDataEntries"/>
              <w:rPr>
                <w:rFonts w:ascii="Franklin Gothic Demi" w:hAnsi="Franklin Gothic Demi"/>
              </w:rPr>
            </w:pPr>
          </w:p>
        </w:tc>
        <w:tc>
          <w:tcPr>
            <w:tcW w:w="1346"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tcPr>
          <w:p w14:paraId="348F2042" w14:textId="77777777" w:rsidR="00ED0E85" w:rsidRPr="004A2854" w:rsidRDefault="00ED0E85" w:rsidP="00ED0E85">
            <w:pPr>
              <w:pStyle w:val="TableDataEntries"/>
              <w:rPr>
                <w:rFonts w:ascii="Franklin Gothic Demi" w:hAnsi="Franklin Gothic Demi"/>
              </w:rPr>
            </w:pPr>
            <w:r w:rsidRPr="004A2854">
              <w:rPr>
                <w:rFonts w:ascii="Franklin Gothic Demi" w:hAnsi="Franklin Gothic Demi"/>
              </w:rPr>
              <w:t>69</w:t>
            </w:r>
          </w:p>
        </w:tc>
        <w:tc>
          <w:tcPr>
            <w:tcW w:w="1346"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tcPr>
          <w:p w14:paraId="71D54443" w14:textId="77777777" w:rsidR="00ED0E85" w:rsidRPr="004A2854" w:rsidRDefault="00ED0E85" w:rsidP="00ED0E85">
            <w:pPr>
              <w:pStyle w:val="TableDataEntries"/>
              <w:rPr>
                <w:rFonts w:ascii="Franklin Gothic Demi" w:hAnsi="Franklin Gothic Demi"/>
              </w:rPr>
            </w:pPr>
            <w:r w:rsidRPr="004A2854">
              <w:rPr>
                <w:rFonts w:ascii="Franklin Gothic Demi" w:hAnsi="Franklin Gothic Demi"/>
              </w:rPr>
              <w:t>82</w:t>
            </w:r>
          </w:p>
        </w:tc>
      </w:tr>
    </w:tbl>
    <w:p w14:paraId="6CC27654" w14:textId="77777777" w:rsidR="00ED0E85" w:rsidRPr="00340BA9" w:rsidRDefault="00ED0E85" w:rsidP="00ED0E85">
      <w:pPr>
        <w:pStyle w:val="NoteNumber"/>
        <w:rPr>
          <w:rFonts w:eastAsiaTheme="minorEastAsia"/>
          <w:lang w:eastAsia="en-AU"/>
        </w:rPr>
      </w:pPr>
      <w:r>
        <w:rPr>
          <w:rFonts w:eastAsiaTheme="minorEastAsia"/>
          <w:lang w:eastAsia="en-AU"/>
        </w:rPr>
        <w:t>Total for the two Bluewaters Power Station facilities – number 1 and number 2.</w:t>
      </w:r>
    </w:p>
    <w:p w14:paraId="7B426368" w14:textId="77777777" w:rsidR="00ED0E85" w:rsidRDefault="00ED0E85" w:rsidP="00ED0E85">
      <w:pPr>
        <w:pStyle w:val="NoteNumber"/>
        <w:numPr>
          <w:ilvl w:val="0"/>
          <w:numId w:val="0"/>
        </w:numPr>
        <w:rPr>
          <w:rFonts w:ascii="Calisto MT" w:eastAsiaTheme="minorEastAsia" w:hAnsi="Calisto MT"/>
          <w:sz w:val="21"/>
          <w:szCs w:val="21"/>
          <w:lang w:eastAsia="en-AU"/>
        </w:rPr>
      </w:pPr>
      <w:r w:rsidRPr="00091768">
        <w:rPr>
          <w:i/>
          <w:lang w:bidi="fa-IR"/>
        </w:rPr>
        <w:t>S</w:t>
      </w:r>
      <w:r w:rsidRPr="00091768">
        <w:rPr>
          <w:i/>
        </w:rPr>
        <w:t xml:space="preserve">ource: Clean Energy Regulator, 2019, </w:t>
      </w:r>
      <w:r>
        <w:rPr>
          <w:i/>
        </w:rPr>
        <w:t xml:space="preserve">Electricity sector emissions and generation data 2017-18, </w:t>
      </w:r>
      <w:hyperlink r:id="rId131" w:history="1">
        <w:r w:rsidRPr="00091768">
          <w:rPr>
            <w:i/>
          </w:rPr>
          <w:t>http://www.cleanenergyregulator.gov.au/NGER/Pages/Published%20information/Electricity%20sector%20emissions%20and%20generation%20data/Electricity-sector-emissions-and-generation-data-2017%E2%80%9318-.aspx</w:t>
        </w:r>
      </w:hyperlink>
      <w:r>
        <w:rPr>
          <w:i/>
        </w:rPr>
        <w:t xml:space="preserve"> </w:t>
      </w:r>
    </w:p>
    <w:p w14:paraId="3CEC8664" w14:textId="77777777" w:rsidR="00ED0E85" w:rsidRPr="00091768" w:rsidRDefault="00ED0E85" w:rsidP="00ED0E85">
      <w:pPr>
        <w:pStyle w:val="Source"/>
        <w:rPr>
          <w:i/>
          <w:lang w:bidi="fa-IR"/>
        </w:rPr>
      </w:pPr>
      <w:r>
        <w:rPr>
          <w:i/>
        </w:rPr>
        <w:t xml:space="preserve"> </w:t>
      </w:r>
      <w:r>
        <w:t xml:space="preserve">Australian Department of the Environment and Energy, </w:t>
      </w:r>
      <w:r>
        <w:rPr>
          <w:i/>
        </w:rPr>
        <w:t xml:space="preserve">Latest NPI emissions for 2017-2018, </w:t>
      </w:r>
      <w:hyperlink r:id="rId132" w:history="1">
        <w:r w:rsidRPr="00091768">
          <w:rPr>
            <w:i/>
          </w:rPr>
          <w:t>http://www.npi.gov.au/npi-data/latest-data</w:t>
        </w:r>
      </w:hyperlink>
      <w:r w:rsidR="001540E1">
        <w:rPr>
          <w:i/>
        </w:rPr>
        <w:t>.</w:t>
      </w:r>
      <w:r>
        <w:rPr>
          <w:i/>
        </w:rPr>
        <w:t xml:space="preserve">  </w:t>
      </w:r>
      <w:r>
        <w:rPr>
          <w:rFonts w:ascii="Calisto MT" w:eastAsiaTheme="minorEastAsia" w:hAnsi="Calisto MT"/>
          <w:sz w:val="21"/>
          <w:szCs w:val="21"/>
          <w:lang w:eastAsia="en-AU"/>
        </w:rPr>
        <w:t xml:space="preserve"> </w:t>
      </w:r>
    </w:p>
    <w:p w14:paraId="58EC7CAC" w14:textId="77777777" w:rsidR="00ED0E85" w:rsidRDefault="00ED0E85" w:rsidP="00ED0E85">
      <w:pPr>
        <w:pStyle w:val="Heading8"/>
        <w:numPr>
          <w:ilvl w:val="7"/>
          <w:numId w:val="5"/>
        </w:numPr>
        <w:rPr>
          <w:lang w:bidi="fa-IR"/>
        </w:rPr>
      </w:pPr>
      <w:r>
        <w:rPr>
          <w:lang w:bidi="fa-IR"/>
        </w:rPr>
        <w:t>Damage costs by tonne of PM</w:t>
      </w:r>
      <w:r w:rsidRPr="009253DC">
        <w:rPr>
          <w:vertAlign w:val="subscript"/>
          <w:lang w:bidi="fa-IR"/>
        </w:rPr>
        <w:t>2.5</w:t>
      </w:r>
    </w:p>
    <w:p w14:paraId="0377C43B" w14:textId="77777777" w:rsidR="00ED0E85" w:rsidRDefault="00ED0E85" w:rsidP="00ED0E85">
      <w:pPr>
        <w:pStyle w:val="BodyText"/>
      </w:pPr>
      <w:r>
        <w:t>PAEHolmes undertook a study for NSW EPA in 2013 outlining a methodology for valuing the health impacts of changes in particle emissions. In the study, PAEHolmes recommended appraisal of air quality impacts from projects be based on the change in pollutant emissions. Although impacts to human health and the environment are more closely linked to changes in ambient air quality, PAEHolmes recommend an emissions</w:t>
      </w:r>
      <w:r>
        <w:noBreakHyphen/>
        <w:t>based approach for appraisal of projects due to lack of sufficient and readily available PM emission modelling information to undertake a full impact pathway process.</w:t>
      </w:r>
      <w:r>
        <w:rPr>
          <w:rStyle w:val="FootnoteReference"/>
        </w:rPr>
        <w:footnoteReference w:id="113"/>
      </w:r>
    </w:p>
    <w:p w14:paraId="24AFB492" w14:textId="77777777" w:rsidR="00ED0E85" w:rsidRDefault="00ED0E85" w:rsidP="00ED0E85">
      <w:pPr>
        <w:pStyle w:val="BodyText"/>
      </w:pPr>
      <w:r>
        <w:t>PAEHolmes estimated unit damage costs by transferring existing estimates from a UK study based on transport emissions</w:t>
      </w:r>
      <w:r>
        <w:rPr>
          <w:rStyle w:val="FootnoteReference"/>
        </w:rPr>
        <w:footnoteReference w:id="114"/>
      </w:r>
      <w:r>
        <w:t xml:space="preserve">and adjusted for population density to estimate unit damage costs weighted for population exposure for each Significant Urban Area (SUA). The local population density is a critical variable. Emission reduction in a densely populated area will have a greater relative health benefit than an equivalent reduction in a less densely populated area. </w:t>
      </w:r>
    </w:p>
    <w:p w14:paraId="03AF142B" w14:textId="6A5BA485" w:rsidR="00ED0E85" w:rsidRPr="003614DD" w:rsidRDefault="00ED0E85" w:rsidP="00ED0E85">
      <w:pPr>
        <w:pStyle w:val="BodyText"/>
      </w:pPr>
      <w:r>
        <w:t xml:space="preserve">Table </w:t>
      </w:r>
      <w:r w:rsidR="004550CB">
        <w:rPr>
          <w:noProof/>
        </w:rPr>
        <w:fldChar w:fldCharType="begin"/>
      </w:r>
      <w:r w:rsidR="004550CB">
        <w:rPr>
          <w:noProof/>
        </w:rPr>
        <w:instrText xml:space="preserve"> REF _Caption6450 </w:instrText>
      </w:r>
      <w:r w:rsidR="004550CB">
        <w:rPr>
          <w:noProof/>
        </w:rPr>
        <w:fldChar w:fldCharType="separate"/>
      </w:r>
      <w:r w:rsidR="00AD3561">
        <w:rPr>
          <w:noProof/>
        </w:rPr>
        <w:t>B</w:t>
      </w:r>
      <w:r w:rsidR="00AD3561" w:rsidRPr="00695C93">
        <w:rPr>
          <w:noProof/>
        </w:rPr>
        <w:t>.</w:t>
      </w:r>
      <w:r w:rsidR="00AD3561">
        <w:rPr>
          <w:noProof/>
        </w:rPr>
        <w:t>14</w:t>
      </w:r>
      <w:r w:rsidR="004550CB">
        <w:rPr>
          <w:noProof/>
        </w:rPr>
        <w:fldChar w:fldCharType="end"/>
      </w:r>
      <w:r>
        <w:t xml:space="preserve"> lists the PM</w:t>
      </w:r>
      <w:r w:rsidRPr="00E3330F">
        <w:rPr>
          <w:vertAlign w:val="subscript"/>
        </w:rPr>
        <w:t>2.5</w:t>
      </w:r>
      <w:r>
        <w:t xml:space="preserve"> damage cost for the SUAs where the 20 electricity generating facilities using coal are located.</w:t>
      </w:r>
      <w:r>
        <w:rPr>
          <w:rStyle w:val="FootnoteReference"/>
        </w:rPr>
        <w:footnoteReference w:id="115"/>
      </w:r>
      <w:r>
        <w:t xml:space="preserve"> Of these SUAs, the damage cost ranges from $15 900 per tonne in Muswellbrook to $183 000 per tonne in Central Coast, excluding areas that are not in any significant urban area (NIASUA). The damage cost estimates account for variation in population density across areas.</w:t>
      </w:r>
    </w:p>
    <w:p w14:paraId="6EA561E7" w14:textId="3B5AF452"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B</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1</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1</w:instrText>
      </w:r>
      <w:r w:rsidR="004550CB">
        <w:rPr>
          <w:noProof/>
        </w:rPr>
        <w:fldChar w:fldCharType="end"/>
      </w:r>
      <w:r w:rsidRPr="00695C93">
        <w:instrText xml:space="preserve">." </w:instrText>
      </w:r>
      <w:r w:rsidRPr="00695C93">
        <w:fldChar w:fldCharType="separate"/>
      </w:r>
      <w:r>
        <w:rPr>
          <w:noProof/>
        </w:rPr>
        <w:instrText>1</w:instrText>
      </w:r>
      <w:r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B</w:instrText>
      </w:r>
      <w:r w:rsidR="004550CB">
        <w:rPr>
          <w:noProof/>
        </w:rPr>
        <w:fldChar w:fldCharType="end"/>
      </w:r>
      <w:r w:rsidRPr="00695C93">
        <w:instrText xml:space="preserve">." </w:instrText>
      </w:r>
      <w:r w:rsidRPr="00695C93">
        <w:fldChar w:fldCharType="separate"/>
      </w:r>
      <w:r w:rsidR="00AD3561">
        <w:rPr>
          <w:noProof/>
        </w:rPr>
        <w:instrText>B</w:instrText>
      </w:r>
      <w:r w:rsidR="00AD356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B</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1</w:instrText>
      </w:r>
      <w:r w:rsidR="004550CB">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AD3561" w:rsidRPr="00695C93">
        <w:rPr>
          <w:noProof/>
        </w:rPr>
        <w:instrText>6</w:instrText>
      </w:r>
      <w:r w:rsidRPr="00695C93">
        <w:fldChar w:fldCharType="end"/>
      </w:r>
      <w:r w:rsidRPr="00695C93">
        <w:instrText xml:space="preserve"> </w:instrText>
      </w:r>
      <w:r w:rsidRPr="00695C93">
        <w:fldChar w:fldCharType="separate"/>
      </w:r>
      <w:r w:rsidR="00AD3561">
        <w:rPr>
          <w:noProof/>
        </w:rPr>
        <w:instrText>14</w:instrText>
      </w:r>
      <w:r w:rsidRPr="00695C93">
        <w:fldChar w:fldCharType="end"/>
      </w:r>
      <w:r w:rsidRPr="00695C93">
        <w:instrText xml:space="preserve">" "" </w:instrText>
      </w:r>
      <w:r w:rsidRPr="00695C93">
        <w:fldChar w:fldCharType="separate"/>
      </w:r>
      <w:bookmarkStart w:id="7846" w:name="_Caption1219"/>
      <w:bookmarkStart w:id="7847" w:name="_Caption8080"/>
      <w:bookmarkStart w:id="7848" w:name="_Caption1579"/>
      <w:bookmarkStart w:id="7849" w:name="_Caption1955"/>
      <w:bookmarkStart w:id="7850" w:name="_Caption8381"/>
      <w:bookmarkStart w:id="7851" w:name="_Caption7390"/>
      <w:bookmarkStart w:id="7852" w:name="_Caption6444"/>
      <w:bookmarkStart w:id="7853" w:name="_Caption4294"/>
      <w:bookmarkStart w:id="7854" w:name="_Caption8797"/>
      <w:bookmarkStart w:id="7855" w:name="_Caption2954"/>
      <w:bookmarkStart w:id="7856" w:name="_Caption9793"/>
      <w:bookmarkStart w:id="7857" w:name="_Caption8692"/>
      <w:bookmarkStart w:id="7858" w:name="_Caption3065"/>
      <w:bookmarkStart w:id="7859" w:name="_Caption9028"/>
      <w:bookmarkStart w:id="7860" w:name="_Caption3003"/>
      <w:bookmarkStart w:id="7861" w:name="_Caption6797"/>
      <w:bookmarkStart w:id="7862" w:name="_Caption7034"/>
      <w:bookmarkStart w:id="7863" w:name="_Caption0645"/>
      <w:bookmarkStart w:id="7864" w:name="_Caption7625"/>
      <w:bookmarkStart w:id="7865" w:name="_Caption2157"/>
      <w:bookmarkStart w:id="7866" w:name="_Caption3806"/>
      <w:bookmarkStart w:id="7867" w:name="_Caption7668"/>
      <w:bookmarkStart w:id="7868" w:name="_Caption4067"/>
      <w:bookmarkStart w:id="7869" w:name="_Caption9668"/>
      <w:bookmarkStart w:id="7870" w:name="_Caption6028"/>
      <w:bookmarkStart w:id="7871" w:name="_Caption6450"/>
      <w:bookmarkStart w:id="7872" w:name="_Caption1603"/>
      <w:bookmarkStart w:id="7873" w:name="_Caption7342"/>
      <w:bookmarkStart w:id="7874" w:name="_Caption1189"/>
      <w:bookmarkStart w:id="7875" w:name="_Caption8025"/>
      <w:bookmarkStart w:id="7876" w:name="_Caption8964"/>
      <w:bookmarkStart w:id="7877" w:name="_Caption2540"/>
      <w:bookmarkStart w:id="7878" w:name="_Caption6558"/>
      <w:bookmarkStart w:id="7879" w:name="_Caption8317"/>
      <w:bookmarkStart w:id="7880" w:name="_Caption5176"/>
      <w:bookmarkStart w:id="7881" w:name="_Caption2396"/>
      <w:bookmarkStart w:id="7882" w:name="_Caption9525"/>
      <w:bookmarkStart w:id="7883" w:name="_Caption2838"/>
      <w:bookmarkStart w:id="7884" w:name="_Caption8424"/>
      <w:bookmarkStart w:id="7885" w:name="_Caption6536"/>
      <w:bookmarkStart w:id="7886" w:name="_Caption3753"/>
      <w:bookmarkStart w:id="7887" w:name="_Caption5826"/>
      <w:bookmarkStart w:id="7888" w:name="_Caption6980"/>
      <w:bookmarkStart w:id="7889" w:name="_Caption0688"/>
      <w:bookmarkStart w:id="7890" w:name="_Caption6869"/>
      <w:bookmarkStart w:id="7891" w:name="_Caption8166"/>
      <w:bookmarkStart w:id="7892" w:name="_Toc19275672"/>
      <w:bookmarkStart w:id="7893" w:name="_Toc19276282"/>
      <w:bookmarkStart w:id="7894" w:name="_Toc19280281"/>
      <w:r w:rsidR="00C353B5">
        <w:rPr>
          <w:noProof/>
        </w:rPr>
        <w:t>B</w:t>
      </w:r>
      <w:r w:rsidR="00C353B5" w:rsidRPr="00695C93">
        <w:rPr>
          <w:noProof/>
        </w:rPr>
        <w:t>.</w:t>
      </w:r>
      <w:r w:rsidR="00C353B5">
        <w:rPr>
          <w:noProof/>
        </w:rPr>
        <w:t>14</w:t>
      </w:r>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r w:rsidRPr="00695C93">
        <w:fldChar w:fldCharType="end"/>
      </w:r>
      <w:r w:rsidRPr="00695C93">
        <w:tab/>
      </w:r>
      <w:r>
        <w:t>Damage cost estimates for PM</w:t>
      </w:r>
      <w:r w:rsidRPr="009253DC">
        <w:rPr>
          <w:vertAlign w:val="subscript"/>
        </w:rPr>
        <w:t>2.5</w:t>
      </w:r>
      <w:r>
        <w:t xml:space="preserve"> — selected significant urban area</w:t>
      </w:r>
      <w:bookmarkEnd w:id="7892"/>
      <w:bookmarkEnd w:id="7893"/>
      <w:bookmarkEnd w:id="7894"/>
    </w:p>
    <w:tbl>
      <w:tblPr>
        <w:tblW w:w="7938" w:type="dxa"/>
        <w:tblLook w:val="04A0" w:firstRow="1" w:lastRow="0" w:firstColumn="1" w:lastColumn="0" w:noHBand="0" w:noVBand="1"/>
      </w:tblPr>
      <w:tblGrid>
        <w:gridCol w:w="651"/>
        <w:gridCol w:w="3122"/>
        <w:gridCol w:w="952"/>
        <w:gridCol w:w="1083"/>
        <w:gridCol w:w="1083"/>
        <w:gridCol w:w="1047"/>
      </w:tblGrid>
      <w:tr w:rsidR="00ED0E85" w:rsidRPr="00091768" w14:paraId="715C30B9" w14:textId="77777777" w:rsidTr="003B131D">
        <w:trPr>
          <w:trHeight w:val="489"/>
          <w:tblHeader/>
        </w:trPr>
        <w:tc>
          <w:tcPr>
            <w:tcW w:w="651" w:type="dxa"/>
            <w:shd w:val="clear" w:color="auto" w:fill="6F6652"/>
            <w:tcMar>
              <w:left w:w="57" w:type="dxa"/>
              <w:right w:w="57" w:type="dxa"/>
            </w:tcMar>
            <w:hideMark/>
          </w:tcPr>
          <w:p w14:paraId="59A9C22B" w14:textId="77777777" w:rsidR="00ED0E85" w:rsidRPr="00091768" w:rsidRDefault="00ED0E85" w:rsidP="00ED0E85">
            <w:pPr>
              <w:pStyle w:val="TableDataColumnHeading"/>
              <w:jc w:val="left"/>
            </w:pPr>
            <w:r w:rsidRPr="00091768">
              <w:t>State</w:t>
            </w:r>
          </w:p>
        </w:tc>
        <w:tc>
          <w:tcPr>
            <w:tcW w:w="3122" w:type="dxa"/>
            <w:shd w:val="clear" w:color="auto" w:fill="6F6652"/>
            <w:tcMar>
              <w:left w:w="57" w:type="dxa"/>
              <w:right w:w="57" w:type="dxa"/>
            </w:tcMar>
            <w:hideMark/>
          </w:tcPr>
          <w:p w14:paraId="608AD126" w14:textId="77777777" w:rsidR="00ED0E85" w:rsidRPr="00091768" w:rsidRDefault="00ED0E85" w:rsidP="00ED0E85">
            <w:pPr>
              <w:pStyle w:val="TableDataColumnHeading"/>
              <w:jc w:val="left"/>
            </w:pPr>
            <w:r w:rsidRPr="00091768">
              <w:t>SUA name</w:t>
            </w:r>
          </w:p>
        </w:tc>
        <w:tc>
          <w:tcPr>
            <w:tcW w:w="952" w:type="dxa"/>
            <w:shd w:val="clear" w:color="auto" w:fill="6F6652"/>
            <w:tcMar>
              <w:left w:w="57" w:type="dxa"/>
              <w:right w:w="57" w:type="dxa"/>
            </w:tcMar>
            <w:hideMark/>
          </w:tcPr>
          <w:p w14:paraId="48867D5D" w14:textId="77777777" w:rsidR="00ED0E85" w:rsidRPr="00091768" w:rsidRDefault="00ED0E85" w:rsidP="00ED0E85">
            <w:pPr>
              <w:pStyle w:val="TableDataColumnHeading"/>
            </w:pPr>
            <w:r w:rsidRPr="00091768">
              <w:t>Area</w:t>
            </w:r>
          </w:p>
        </w:tc>
        <w:tc>
          <w:tcPr>
            <w:tcW w:w="1083" w:type="dxa"/>
            <w:shd w:val="clear" w:color="auto" w:fill="6F6652"/>
            <w:tcMar>
              <w:left w:w="57" w:type="dxa"/>
              <w:right w:w="57" w:type="dxa"/>
            </w:tcMar>
            <w:hideMark/>
          </w:tcPr>
          <w:p w14:paraId="6A843B77" w14:textId="77777777" w:rsidR="00ED0E85" w:rsidRPr="00091768" w:rsidRDefault="00ED0E85" w:rsidP="00ED0E85">
            <w:pPr>
              <w:pStyle w:val="TableDataColumnHeading"/>
            </w:pPr>
            <w:r w:rsidRPr="00091768">
              <w:t>Population</w:t>
            </w:r>
          </w:p>
        </w:tc>
        <w:tc>
          <w:tcPr>
            <w:tcW w:w="1083" w:type="dxa"/>
            <w:shd w:val="clear" w:color="auto" w:fill="6F6652"/>
            <w:tcMar>
              <w:left w:w="57" w:type="dxa"/>
              <w:right w:w="57" w:type="dxa"/>
            </w:tcMar>
            <w:hideMark/>
          </w:tcPr>
          <w:p w14:paraId="6DEA2689" w14:textId="77777777" w:rsidR="00ED0E85" w:rsidRPr="00091768" w:rsidRDefault="00ED0E85" w:rsidP="00ED0E85">
            <w:pPr>
              <w:pStyle w:val="TableDataColumnHeading"/>
            </w:pPr>
            <w:r w:rsidRPr="00091768">
              <w:t>Population density</w:t>
            </w:r>
          </w:p>
        </w:tc>
        <w:tc>
          <w:tcPr>
            <w:tcW w:w="1047" w:type="dxa"/>
            <w:shd w:val="clear" w:color="auto" w:fill="6F6652"/>
            <w:tcMar>
              <w:left w:w="57" w:type="dxa"/>
              <w:right w:w="57" w:type="dxa"/>
            </w:tcMar>
            <w:hideMark/>
          </w:tcPr>
          <w:p w14:paraId="4AD53B99" w14:textId="77777777" w:rsidR="00ED0E85" w:rsidRPr="00091768" w:rsidRDefault="00ED0E85" w:rsidP="00ED0E85">
            <w:pPr>
              <w:pStyle w:val="TableDataColumnHeading"/>
            </w:pPr>
            <w:r w:rsidRPr="00091768">
              <w:t>Damage cost per tonne of PM</w:t>
            </w:r>
            <w:r w:rsidRPr="009253DC">
              <w:rPr>
                <w:vertAlign w:val="subscript"/>
              </w:rPr>
              <w:t>2.5</w:t>
            </w:r>
          </w:p>
        </w:tc>
      </w:tr>
      <w:tr w:rsidR="00ED0E85" w:rsidRPr="00091768" w14:paraId="6C11FF4A" w14:textId="77777777" w:rsidTr="00ED0E85">
        <w:trPr>
          <w:trHeight w:val="250"/>
          <w:tblHeader/>
        </w:trPr>
        <w:tc>
          <w:tcPr>
            <w:tcW w:w="651" w:type="dxa"/>
            <w:tcBorders>
              <w:bottom w:val="single" w:sz="8" w:space="0" w:color="FFFFFF" w:themeColor="background1"/>
            </w:tcBorders>
            <w:shd w:val="clear" w:color="auto" w:fill="auto"/>
            <w:noWrap/>
            <w:tcMar>
              <w:left w:w="57" w:type="dxa"/>
              <w:right w:w="57" w:type="dxa"/>
            </w:tcMar>
            <w:hideMark/>
          </w:tcPr>
          <w:p w14:paraId="78C628BB" w14:textId="77777777" w:rsidR="00ED0E85" w:rsidRPr="00091768" w:rsidRDefault="00ED0E85" w:rsidP="00ED0E85">
            <w:pPr>
              <w:pStyle w:val="TableUnit"/>
              <w:jc w:val="left"/>
            </w:pPr>
          </w:p>
        </w:tc>
        <w:tc>
          <w:tcPr>
            <w:tcW w:w="3122" w:type="dxa"/>
            <w:tcBorders>
              <w:bottom w:val="single" w:sz="8" w:space="0" w:color="FFFFFF" w:themeColor="background1"/>
            </w:tcBorders>
            <w:shd w:val="clear" w:color="auto" w:fill="auto"/>
            <w:noWrap/>
            <w:tcMar>
              <w:left w:w="57" w:type="dxa"/>
              <w:right w:w="57" w:type="dxa"/>
            </w:tcMar>
            <w:hideMark/>
          </w:tcPr>
          <w:p w14:paraId="65159421" w14:textId="77777777" w:rsidR="00ED0E85" w:rsidRPr="00091768" w:rsidRDefault="00ED0E85" w:rsidP="00ED0E85">
            <w:pPr>
              <w:pStyle w:val="TableUnit"/>
              <w:jc w:val="left"/>
              <w:rPr>
                <w:rFonts w:ascii="Times New Roman" w:hAnsi="Times New Roman"/>
                <w:sz w:val="20"/>
                <w:szCs w:val="20"/>
              </w:rPr>
            </w:pPr>
          </w:p>
        </w:tc>
        <w:tc>
          <w:tcPr>
            <w:tcW w:w="952" w:type="dxa"/>
            <w:tcBorders>
              <w:bottom w:val="single" w:sz="8" w:space="0" w:color="FFFFFF" w:themeColor="background1"/>
            </w:tcBorders>
            <w:shd w:val="clear" w:color="auto" w:fill="auto"/>
            <w:noWrap/>
            <w:tcMar>
              <w:left w:w="57" w:type="dxa"/>
              <w:right w:w="57" w:type="dxa"/>
            </w:tcMar>
            <w:hideMark/>
          </w:tcPr>
          <w:p w14:paraId="07E09C1F" w14:textId="77777777" w:rsidR="00ED0E85" w:rsidRPr="00091768" w:rsidRDefault="00ED0E85" w:rsidP="00ED0E85">
            <w:pPr>
              <w:pStyle w:val="TableUnit"/>
            </w:pPr>
            <w:r>
              <w:t>K</w:t>
            </w:r>
            <w:r w:rsidRPr="00091768">
              <w:t>m</w:t>
            </w:r>
            <w:r w:rsidRPr="009253DC">
              <w:rPr>
                <w:vertAlign w:val="superscript"/>
              </w:rPr>
              <w:t>2</w:t>
            </w:r>
          </w:p>
        </w:tc>
        <w:tc>
          <w:tcPr>
            <w:tcW w:w="1083" w:type="dxa"/>
            <w:tcBorders>
              <w:bottom w:val="single" w:sz="8" w:space="0" w:color="FFFFFF" w:themeColor="background1"/>
            </w:tcBorders>
            <w:shd w:val="clear" w:color="auto" w:fill="auto"/>
            <w:noWrap/>
            <w:tcMar>
              <w:left w:w="57" w:type="dxa"/>
              <w:right w:w="57" w:type="dxa"/>
            </w:tcMar>
            <w:hideMark/>
          </w:tcPr>
          <w:p w14:paraId="4ED1F47A" w14:textId="77777777" w:rsidR="00ED0E85" w:rsidRPr="00091768" w:rsidRDefault="00ED0E85" w:rsidP="00ED0E85">
            <w:pPr>
              <w:pStyle w:val="TableUnit"/>
            </w:pPr>
            <w:r w:rsidRPr="00091768">
              <w:t xml:space="preserve">no. </w:t>
            </w:r>
          </w:p>
        </w:tc>
        <w:tc>
          <w:tcPr>
            <w:tcW w:w="1083" w:type="dxa"/>
            <w:tcBorders>
              <w:bottom w:val="single" w:sz="8" w:space="0" w:color="FFFFFF" w:themeColor="background1"/>
            </w:tcBorders>
            <w:shd w:val="clear" w:color="auto" w:fill="auto"/>
            <w:noWrap/>
            <w:tcMar>
              <w:left w:w="57" w:type="dxa"/>
              <w:right w:w="57" w:type="dxa"/>
            </w:tcMar>
            <w:hideMark/>
          </w:tcPr>
          <w:p w14:paraId="679CD465" w14:textId="77777777" w:rsidR="00ED0E85" w:rsidRPr="00091768" w:rsidRDefault="00ED0E85" w:rsidP="00ED0E85">
            <w:pPr>
              <w:pStyle w:val="TableUnit"/>
            </w:pPr>
            <w:r w:rsidRPr="00091768">
              <w:t>no./</w:t>
            </w:r>
            <w:r>
              <w:t>K</w:t>
            </w:r>
            <w:r w:rsidRPr="00091768">
              <w:t>m</w:t>
            </w:r>
            <w:r w:rsidRPr="009253DC">
              <w:rPr>
                <w:vertAlign w:val="superscript"/>
              </w:rPr>
              <w:t>2</w:t>
            </w:r>
          </w:p>
        </w:tc>
        <w:tc>
          <w:tcPr>
            <w:tcW w:w="1047" w:type="dxa"/>
            <w:tcBorders>
              <w:bottom w:val="single" w:sz="8" w:space="0" w:color="FFFFFF" w:themeColor="background1"/>
            </w:tcBorders>
            <w:shd w:val="clear" w:color="auto" w:fill="auto"/>
            <w:noWrap/>
            <w:tcMar>
              <w:left w:w="57" w:type="dxa"/>
              <w:right w:w="57" w:type="dxa"/>
            </w:tcMar>
            <w:hideMark/>
          </w:tcPr>
          <w:p w14:paraId="068D0C00" w14:textId="77777777" w:rsidR="00ED0E85" w:rsidRPr="00091768" w:rsidRDefault="00ED0E85" w:rsidP="00ED0E85">
            <w:pPr>
              <w:pStyle w:val="TableUnit"/>
            </w:pPr>
            <w:r w:rsidRPr="00091768">
              <w:t>A$2019</w:t>
            </w:r>
          </w:p>
        </w:tc>
      </w:tr>
      <w:tr w:rsidR="00ED0E85" w:rsidRPr="00091768" w14:paraId="4CC4C539" w14:textId="77777777" w:rsidTr="00ED0E85">
        <w:trPr>
          <w:trHeight w:val="250"/>
        </w:trPr>
        <w:tc>
          <w:tcPr>
            <w:tcW w:w="6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7BA8EE" w14:textId="77777777" w:rsidR="00ED0E85" w:rsidRPr="00091768" w:rsidRDefault="00ED0E85" w:rsidP="00ED0E85">
            <w:pPr>
              <w:pStyle w:val="TableDataEntries"/>
              <w:jc w:val="left"/>
            </w:pPr>
            <w:r w:rsidRPr="00091768">
              <w:t>NSW</w:t>
            </w:r>
          </w:p>
        </w:tc>
        <w:tc>
          <w:tcPr>
            <w:tcW w:w="3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0C6D6D" w14:textId="77777777" w:rsidR="00ED0E85" w:rsidRPr="00091768" w:rsidRDefault="00ED0E85" w:rsidP="00ED0E85">
            <w:pPr>
              <w:pStyle w:val="TableDataEntries"/>
              <w:jc w:val="left"/>
            </w:pPr>
            <w:r w:rsidRPr="00091768">
              <w:t>Morisset - Cooranbong</w:t>
            </w:r>
          </w:p>
        </w:tc>
        <w:tc>
          <w:tcPr>
            <w:tcW w:w="95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CEECED" w14:textId="77777777" w:rsidR="00ED0E85" w:rsidRPr="00091768" w:rsidRDefault="00ED0E85" w:rsidP="00ED0E85">
            <w:pPr>
              <w:pStyle w:val="TableDataEntries"/>
            </w:pPr>
            <w:r w:rsidRPr="00091768">
              <w:t>341</w:t>
            </w:r>
          </w:p>
        </w:tc>
        <w:tc>
          <w:tcPr>
            <w:tcW w:w="10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642362" w14:textId="77777777" w:rsidR="00ED0E85" w:rsidRPr="00091768" w:rsidRDefault="00ED0E85" w:rsidP="00ED0E85">
            <w:pPr>
              <w:pStyle w:val="TableDataEntries"/>
            </w:pPr>
            <w:r w:rsidRPr="00091768">
              <w:t xml:space="preserve"> 21 775</w:t>
            </w:r>
          </w:p>
        </w:tc>
        <w:tc>
          <w:tcPr>
            <w:tcW w:w="10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AE0D91" w14:textId="77777777" w:rsidR="00ED0E85" w:rsidRPr="00091768" w:rsidRDefault="00ED0E85" w:rsidP="00ED0E85">
            <w:pPr>
              <w:pStyle w:val="TableDataEntries"/>
            </w:pPr>
            <w:r w:rsidRPr="00091768">
              <w:t>64</w:t>
            </w:r>
          </w:p>
        </w:tc>
        <w:tc>
          <w:tcPr>
            <w:tcW w:w="10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4B3889" w14:textId="77777777" w:rsidR="00ED0E85" w:rsidRPr="00091768" w:rsidRDefault="00ED0E85" w:rsidP="00ED0E85">
            <w:pPr>
              <w:pStyle w:val="TableDataEntries"/>
            </w:pPr>
            <w:r w:rsidRPr="00091768">
              <w:t xml:space="preserve"> 21 931</w:t>
            </w:r>
          </w:p>
        </w:tc>
      </w:tr>
      <w:tr w:rsidR="00ED0E85" w:rsidRPr="00091768" w14:paraId="17D83E4A" w14:textId="77777777" w:rsidTr="00ED0E85">
        <w:trPr>
          <w:trHeight w:val="250"/>
        </w:trPr>
        <w:tc>
          <w:tcPr>
            <w:tcW w:w="6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CEF34D" w14:textId="77777777" w:rsidR="00ED0E85" w:rsidRPr="00091768" w:rsidRDefault="00ED0E85" w:rsidP="00ED0E85">
            <w:pPr>
              <w:pStyle w:val="TableDataEntries"/>
              <w:jc w:val="left"/>
            </w:pPr>
            <w:r w:rsidRPr="00091768">
              <w:t>NSW</w:t>
            </w:r>
          </w:p>
        </w:tc>
        <w:tc>
          <w:tcPr>
            <w:tcW w:w="3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58916A" w14:textId="77777777" w:rsidR="00ED0E85" w:rsidRPr="00091768" w:rsidRDefault="00ED0E85" w:rsidP="00ED0E85">
            <w:pPr>
              <w:pStyle w:val="TableDataEntries"/>
              <w:jc w:val="left"/>
            </w:pPr>
            <w:r w:rsidRPr="00091768">
              <w:t>Muswellbrook</w:t>
            </w:r>
          </w:p>
        </w:tc>
        <w:tc>
          <w:tcPr>
            <w:tcW w:w="95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CF4B13" w14:textId="77777777" w:rsidR="00ED0E85" w:rsidRPr="00091768" w:rsidRDefault="00ED0E85" w:rsidP="00ED0E85">
            <w:pPr>
              <w:pStyle w:val="TableDataEntries"/>
            </w:pPr>
            <w:r w:rsidRPr="00091768">
              <w:t>262</w:t>
            </w:r>
          </w:p>
        </w:tc>
        <w:tc>
          <w:tcPr>
            <w:tcW w:w="10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800141" w14:textId="77777777" w:rsidR="00ED0E85" w:rsidRPr="00091768" w:rsidRDefault="00ED0E85" w:rsidP="00ED0E85">
            <w:pPr>
              <w:pStyle w:val="TableDataEntries"/>
            </w:pPr>
            <w:r w:rsidRPr="00091768">
              <w:t xml:space="preserve"> 11 791</w:t>
            </w:r>
          </w:p>
        </w:tc>
        <w:tc>
          <w:tcPr>
            <w:tcW w:w="10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BCDCEE" w14:textId="77777777" w:rsidR="00ED0E85" w:rsidRPr="00091768" w:rsidRDefault="00ED0E85" w:rsidP="00ED0E85">
            <w:pPr>
              <w:pStyle w:val="TableDataEntries"/>
            </w:pPr>
            <w:r w:rsidRPr="00091768">
              <w:t>45</w:t>
            </w:r>
          </w:p>
        </w:tc>
        <w:tc>
          <w:tcPr>
            <w:tcW w:w="10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574406C" w14:textId="77777777" w:rsidR="00ED0E85" w:rsidRPr="00091768" w:rsidRDefault="00ED0E85" w:rsidP="00ED0E85">
            <w:pPr>
              <w:pStyle w:val="TableDataEntries"/>
            </w:pPr>
            <w:r w:rsidRPr="00091768">
              <w:t xml:space="preserve"> 15 839</w:t>
            </w:r>
          </w:p>
        </w:tc>
      </w:tr>
      <w:tr w:rsidR="00ED0E85" w:rsidRPr="00091768" w14:paraId="02CC3376" w14:textId="77777777" w:rsidTr="00ED0E85">
        <w:trPr>
          <w:trHeight w:val="250"/>
        </w:trPr>
        <w:tc>
          <w:tcPr>
            <w:tcW w:w="6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DA5933" w14:textId="77777777" w:rsidR="00ED0E85" w:rsidRPr="00091768" w:rsidRDefault="00ED0E85" w:rsidP="00ED0E85">
            <w:pPr>
              <w:pStyle w:val="TableDataEntries"/>
              <w:jc w:val="left"/>
            </w:pPr>
            <w:r w:rsidRPr="00091768">
              <w:t>NSW</w:t>
            </w:r>
          </w:p>
        </w:tc>
        <w:tc>
          <w:tcPr>
            <w:tcW w:w="3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9CDBD6" w14:textId="77777777" w:rsidR="00ED0E85" w:rsidRPr="00091768" w:rsidRDefault="00ED0E85" w:rsidP="00ED0E85">
            <w:pPr>
              <w:pStyle w:val="TableDataEntries"/>
              <w:jc w:val="left"/>
            </w:pPr>
            <w:r w:rsidRPr="00091768">
              <w:t>Central Coast</w:t>
            </w:r>
          </w:p>
        </w:tc>
        <w:tc>
          <w:tcPr>
            <w:tcW w:w="95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AA6035" w14:textId="77777777" w:rsidR="00ED0E85" w:rsidRPr="00091768" w:rsidRDefault="00ED0E85" w:rsidP="00ED0E85">
            <w:pPr>
              <w:pStyle w:val="TableDataEntries"/>
            </w:pPr>
            <w:r w:rsidRPr="00091768">
              <w:t>566</w:t>
            </w:r>
          </w:p>
        </w:tc>
        <w:tc>
          <w:tcPr>
            <w:tcW w:w="10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39A553" w14:textId="77777777" w:rsidR="00ED0E85" w:rsidRPr="00091768" w:rsidRDefault="00ED0E85" w:rsidP="00ED0E85">
            <w:pPr>
              <w:pStyle w:val="TableDataEntries"/>
            </w:pPr>
            <w:r w:rsidRPr="00091768">
              <w:t xml:space="preserve"> 304 755</w:t>
            </w:r>
          </w:p>
        </w:tc>
        <w:tc>
          <w:tcPr>
            <w:tcW w:w="10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883358" w14:textId="77777777" w:rsidR="00ED0E85" w:rsidRPr="00091768" w:rsidRDefault="00ED0E85" w:rsidP="00ED0E85">
            <w:pPr>
              <w:pStyle w:val="TableDataEntries"/>
            </w:pPr>
            <w:r w:rsidRPr="00091768">
              <w:t>538</w:t>
            </w:r>
          </w:p>
        </w:tc>
        <w:tc>
          <w:tcPr>
            <w:tcW w:w="10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26C122" w14:textId="77777777" w:rsidR="00ED0E85" w:rsidRPr="00091768" w:rsidRDefault="00ED0E85" w:rsidP="00ED0E85">
            <w:pPr>
              <w:pStyle w:val="TableDataEntries"/>
            </w:pPr>
            <w:r w:rsidRPr="00091768">
              <w:t xml:space="preserve"> 182 760</w:t>
            </w:r>
          </w:p>
        </w:tc>
      </w:tr>
      <w:tr w:rsidR="00ED0E85" w:rsidRPr="00091768" w14:paraId="6064A837" w14:textId="77777777" w:rsidTr="00ED0E85">
        <w:trPr>
          <w:trHeight w:val="250"/>
        </w:trPr>
        <w:tc>
          <w:tcPr>
            <w:tcW w:w="6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EDEDDF4" w14:textId="77777777" w:rsidR="00ED0E85" w:rsidRPr="00091768" w:rsidRDefault="00ED0E85" w:rsidP="00ED0E85">
            <w:pPr>
              <w:pStyle w:val="TableDataEntries"/>
              <w:jc w:val="left"/>
            </w:pPr>
            <w:r w:rsidRPr="00091768">
              <w:t>NSW</w:t>
            </w:r>
          </w:p>
        </w:tc>
        <w:tc>
          <w:tcPr>
            <w:tcW w:w="3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F5BA4C" w14:textId="77777777" w:rsidR="00ED0E85" w:rsidRPr="00091768" w:rsidRDefault="00ED0E85" w:rsidP="00ED0E85">
            <w:pPr>
              <w:pStyle w:val="TableDataEntries"/>
              <w:jc w:val="left"/>
            </w:pPr>
            <w:r w:rsidRPr="00091768">
              <w:t>Lithgow</w:t>
            </w:r>
          </w:p>
        </w:tc>
        <w:tc>
          <w:tcPr>
            <w:tcW w:w="95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F8F2AA" w14:textId="77777777" w:rsidR="00ED0E85" w:rsidRPr="00091768" w:rsidRDefault="00ED0E85" w:rsidP="00ED0E85">
            <w:pPr>
              <w:pStyle w:val="TableDataEntries"/>
            </w:pPr>
            <w:r w:rsidRPr="00091768">
              <w:t>120</w:t>
            </w:r>
          </w:p>
        </w:tc>
        <w:tc>
          <w:tcPr>
            <w:tcW w:w="10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8243BE" w14:textId="77777777" w:rsidR="00ED0E85" w:rsidRPr="00091768" w:rsidRDefault="00ED0E85" w:rsidP="00ED0E85">
            <w:pPr>
              <w:pStyle w:val="TableDataEntries"/>
            </w:pPr>
            <w:r w:rsidRPr="00091768">
              <w:t xml:space="preserve"> 12 251</w:t>
            </w:r>
          </w:p>
        </w:tc>
        <w:tc>
          <w:tcPr>
            <w:tcW w:w="10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6D9DA7" w14:textId="77777777" w:rsidR="00ED0E85" w:rsidRPr="00091768" w:rsidRDefault="00ED0E85" w:rsidP="00ED0E85">
            <w:pPr>
              <w:pStyle w:val="TableDataEntries"/>
            </w:pPr>
            <w:r w:rsidRPr="00091768">
              <w:t>102</w:t>
            </w:r>
          </w:p>
        </w:tc>
        <w:tc>
          <w:tcPr>
            <w:tcW w:w="10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45CA0A" w14:textId="77777777" w:rsidR="00ED0E85" w:rsidRPr="00091768" w:rsidRDefault="00ED0E85" w:rsidP="00ED0E85">
            <w:pPr>
              <w:pStyle w:val="TableDataEntries"/>
            </w:pPr>
            <w:r w:rsidRPr="00091768">
              <w:t xml:space="preserve"> 35 334</w:t>
            </w:r>
          </w:p>
        </w:tc>
      </w:tr>
      <w:tr w:rsidR="00ED0E85" w:rsidRPr="00091768" w14:paraId="1E1D9C4D" w14:textId="77777777" w:rsidTr="00ED0E85">
        <w:trPr>
          <w:trHeight w:val="250"/>
        </w:trPr>
        <w:tc>
          <w:tcPr>
            <w:tcW w:w="6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9623DE" w14:textId="77777777" w:rsidR="00ED0E85" w:rsidRPr="00091768" w:rsidRDefault="00ED0E85" w:rsidP="00ED0E85">
            <w:pPr>
              <w:pStyle w:val="TableDataEntries"/>
              <w:jc w:val="left"/>
            </w:pPr>
            <w:r w:rsidRPr="00091768">
              <w:t>QLD</w:t>
            </w:r>
          </w:p>
        </w:tc>
        <w:tc>
          <w:tcPr>
            <w:tcW w:w="3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EAC5FA" w14:textId="77777777" w:rsidR="00ED0E85" w:rsidRPr="00091768" w:rsidRDefault="00ED0E85" w:rsidP="00ED0E85">
            <w:pPr>
              <w:pStyle w:val="TableDataEntries"/>
              <w:jc w:val="left"/>
            </w:pPr>
            <w:r w:rsidRPr="00091768">
              <w:t>Not in any significant urban area (QLD)</w:t>
            </w:r>
            <w:r w:rsidRPr="00E3330F">
              <w:rPr>
                <w:rStyle w:val="NoteLabel"/>
              </w:rPr>
              <w:t>a</w:t>
            </w:r>
          </w:p>
        </w:tc>
        <w:tc>
          <w:tcPr>
            <w:tcW w:w="95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B9E8DA" w14:textId="77777777" w:rsidR="00ED0E85" w:rsidRPr="00091768" w:rsidRDefault="00ED0E85" w:rsidP="00ED0E85">
            <w:pPr>
              <w:pStyle w:val="TableDataEntries"/>
            </w:pPr>
            <w:r w:rsidRPr="00091768">
              <w:t>1 718 546</w:t>
            </w:r>
          </w:p>
        </w:tc>
        <w:tc>
          <w:tcPr>
            <w:tcW w:w="10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26D5BA" w14:textId="77777777" w:rsidR="00ED0E85" w:rsidRPr="00091768" w:rsidRDefault="00ED0E85" w:rsidP="00ED0E85">
            <w:pPr>
              <w:pStyle w:val="TableDataEntries"/>
            </w:pPr>
            <w:r w:rsidRPr="00091768">
              <w:t xml:space="preserve"> 755 687</w:t>
            </w:r>
          </w:p>
        </w:tc>
        <w:tc>
          <w:tcPr>
            <w:tcW w:w="10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E214F1" w14:textId="77777777" w:rsidR="00ED0E85" w:rsidRPr="00091768" w:rsidRDefault="00ED0E85" w:rsidP="00ED0E85">
            <w:pPr>
              <w:pStyle w:val="TableDataEntries"/>
            </w:pPr>
            <w:r w:rsidRPr="00091768">
              <w:t>0.4</w:t>
            </w:r>
          </w:p>
        </w:tc>
        <w:tc>
          <w:tcPr>
            <w:tcW w:w="10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4A2942" w14:textId="77777777" w:rsidR="00ED0E85" w:rsidRPr="00091768" w:rsidRDefault="00ED0E85" w:rsidP="00ED0E85">
            <w:pPr>
              <w:pStyle w:val="TableDataEntries"/>
            </w:pPr>
            <w:r w:rsidRPr="00091768">
              <w:t xml:space="preserve">  146</w:t>
            </w:r>
          </w:p>
        </w:tc>
      </w:tr>
      <w:tr w:rsidR="00ED0E85" w:rsidRPr="00091768" w14:paraId="559DAC38" w14:textId="77777777" w:rsidTr="00ED0E85">
        <w:trPr>
          <w:trHeight w:val="250"/>
        </w:trPr>
        <w:tc>
          <w:tcPr>
            <w:tcW w:w="6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01E8D9" w14:textId="77777777" w:rsidR="00ED0E85" w:rsidRPr="00091768" w:rsidRDefault="00ED0E85" w:rsidP="00ED0E85">
            <w:pPr>
              <w:pStyle w:val="TableDataEntries"/>
              <w:jc w:val="left"/>
            </w:pPr>
            <w:r w:rsidRPr="00091768">
              <w:t>QLD</w:t>
            </w:r>
          </w:p>
        </w:tc>
        <w:tc>
          <w:tcPr>
            <w:tcW w:w="3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4EB37B" w14:textId="77777777" w:rsidR="00ED0E85" w:rsidRPr="00091768" w:rsidRDefault="00ED0E85" w:rsidP="00ED0E85">
            <w:pPr>
              <w:pStyle w:val="TableDataEntries"/>
              <w:jc w:val="left"/>
            </w:pPr>
            <w:r w:rsidRPr="00091768">
              <w:t>Gladstone - Tannum Sands</w:t>
            </w:r>
          </w:p>
        </w:tc>
        <w:tc>
          <w:tcPr>
            <w:tcW w:w="95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487030" w14:textId="77777777" w:rsidR="00ED0E85" w:rsidRPr="00091768" w:rsidRDefault="00ED0E85" w:rsidP="00ED0E85">
            <w:pPr>
              <w:pStyle w:val="TableDataEntries"/>
            </w:pPr>
            <w:r w:rsidRPr="00091768">
              <w:t>240</w:t>
            </w:r>
          </w:p>
        </w:tc>
        <w:tc>
          <w:tcPr>
            <w:tcW w:w="10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04E10A" w14:textId="77777777" w:rsidR="00ED0E85" w:rsidRPr="00091768" w:rsidRDefault="00ED0E85" w:rsidP="00ED0E85">
            <w:pPr>
              <w:pStyle w:val="TableDataEntries"/>
            </w:pPr>
            <w:r w:rsidRPr="00091768">
              <w:t xml:space="preserve"> 41 966</w:t>
            </w:r>
          </w:p>
        </w:tc>
        <w:tc>
          <w:tcPr>
            <w:tcW w:w="10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3A235B" w14:textId="77777777" w:rsidR="00ED0E85" w:rsidRPr="00091768" w:rsidRDefault="00ED0E85" w:rsidP="00ED0E85">
            <w:pPr>
              <w:pStyle w:val="TableDataEntries"/>
            </w:pPr>
            <w:r w:rsidRPr="00091768">
              <w:t>175</w:t>
            </w:r>
          </w:p>
        </w:tc>
        <w:tc>
          <w:tcPr>
            <w:tcW w:w="10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6B5B62" w14:textId="77777777" w:rsidR="00ED0E85" w:rsidRPr="00091768" w:rsidRDefault="00ED0E85" w:rsidP="00ED0E85">
            <w:pPr>
              <w:pStyle w:val="TableDataEntries"/>
            </w:pPr>
            <w:r w:rsidRPr="00091768">
              <w:t xml:space="preserve"> 59 702</w:t>
            </w:r>
          </w:p>
        </w:tc>
      </w:tr>
      <w:tr w:rsidR="00ED0E85" w:rsidRPr="00091768" w14:paraId="36A7A188" w14:textId="77777777" w:rsidTr="00ED0E85">
        <w:trPr>
          <w:trHeight w:val="250"/>
        </w:trPr>
        <w:tc>
          <w:tcPr>
            <w:tcW w:w="6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E4D6A8" w14:textId="77777777" w:rsidR="00ED0E85" w:rsidRPr="00091768" w:rsidRDefault="00ED0E85" w:rsidP="00ED0E85">
            <w:pPr>
              <w:pStyle w:val="TableDataEntries"/>
              <w:jc w:val="left"/>
            </w:pPr>
            <w:r w:rsidRPr="00091768">
              <w:t>QLD</w:t>
            </w:r>
          </w:p>
        </w:tc>
        <w:tc>
          <w:tcPr>
            <w:tcW w:w="3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0BBD9B" w14:textId="77777777" w:rsidR="00ED0E85" w:rsidRPr="00091768" w:rsidRDefault="00ED0E85" w:rsidP="00ED0E85">
            <w:pPr>
              <w:pStyle w:val="TableDataEntries"/>
              <w:jc w:val="left"/>
            </w:pPr>
            <w:r w:rsidRPr="00091768">
              <w:t>Rockhampton</w:t>
            </w:r>
          </w:p>
        </w:tc>
        <w:tc>
          <w:tcPr>
            <w:tcW w:w="95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759D3A" w14:textId="77777777" w:rsidR="00ED0E85" w:rsidRPr="00091768" w:rsidRDefault="00ED0E85" w:rsidP="00ED0E85">
            <w:pPr>
              <w:pStyle w:val="TableDataEntries"/>
            </w:pPr>
            <w:r w:rsidRPr="00091768">
              <w:t>580</w:t>
            </w:r>
          </w:p>
        </w:tc>
        <w:tc>
          <w:tcPr>
            <w:tcW w:w="10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61DA392" w14:textId="77777777" w:rsidR="00ED0E85" w:rsidRPr="00091768" w:rsidRDefault="00ED0E85" w:rsidP="00ED0E85">
            <w:pPr>
              <w:pStyle w:val="TableDataEntries"/>
            </w:pPr>
            <w:r w:rsidRPr="00091768">
              <w:t xml:space="preserve"> 73 680</w:t>
            </w:r>
          </w:p>
        </w:tc>
        <w:tc>
          <w:tcPr>
            <w:tcW w:w="10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A18E849" w14:textId="77777777" w:rsidR="00ED0E85" w:rsidRPr="00091768" w:rsidRDefault="00ED0E85" w:rsidP="00ED0E85">
            <w:pPr>
              <w:pStyle w:val="TableDataEntries"/>
            </w:pPr>
            <w:r w:rsidRPr="00091768">
              <w:t>127</w:t>
            </w:r>
          </w:p>
        </w:tc>
        <w:tc>
          <w:tcPr>
            <w:tcW w:w="10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89426F8" w14:textId="77777777" w:rsidR="00ED0E85" w:rsidRPr="00091768" w:rsidRDefault="00ED0E85" w:rsidP="00ED0E85">
            <w:pPr>
              <w:pStyle w:val="TableDataEntries"/>
            </w:pPr>
            <w:r w:rsidRPr="00091768">
              <w:t xml:space="preserve"> 43 863</w:t>
            </w:r>
          </w:p>
        </w:tc>
      </w:tr>
      <w:tr w:rsidR="00ED0E85" w:rsidRPr="00091768" w14:paraId="62B53493" w14:textId="77777777" w:rsidTr="00ED0E85">
        <w:trPr>
          <w:trHeight w:val="250"/>
        </w:trPr>
        <w:tc>
          <w:tcPr>
            <w:tcW w:w="6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ECA30A" w14:textId="77777777" w:rsidR="00ED0E85" w:rsidRPr="00091768" w:rsidRDefault="00ED0E85" w:rsidP="00ED0E85">
            <w:pPr>
              <w:pStyle w:val="TableDataEntries"/>
              <w:jc w:val="left"/>
            </w:pPr>
            <w:r w:rsidRPr="00091768">
              <w:t>QLD</w:t>
            </w:r>
          </w:p>
        </w:tc>
        <w:tc>
          <w:tcPr>
            <w:tcW w:w="3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379F29" w14:textId="77777777" w:rsidR="00ED0E85" w:rsidRPr="00091768" w:rsidRDefault="00ED0E85" w:rsidP="00ED0E85">
            <w:pPr>
              <w:pStyle w:val="TableDataEntries"/>
              <w:jc w:val="left"/>
            </w:pPr>
            <w:r w:rsidRPr="00091768">
              <w:t>Toowoomba</w:t>
            </w:r>
          </w:p>
        </w:tc>
        <w:tc>
          <w:tcPr>
            <w:tcW w:w="95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E1AA47" w14:textId="77777777" w:rsidR="00ED0E85" w:rsidRPr="00091768" w:rsidRDefault="00ED0E85" w:rsidP="00ED0E85">
            <w:pPr>
              <w:pStyle w:val="TableDataEntries"/>
            </w:pPr>
            <w:r w:rsidRPr="00091768">
              <w:t>498</w:t>
            </w:r>
          </w:p>
        </w:tc>
        <w:tc>
          <w:tcPr>
            <w:tcW w:w="10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4E6373" w14:textId="77777777" w:rsidR="00ED0E85" w:rsidRPr="00091768" w:rsidRDefault="00ED0E85" w:rsidP="00ED0E85">
            <w:pPr>
              <w:pStyle w:val="TableDataEntries"/>
            </w:pPr>
            <w:r w:rsidRPr="00091768">
              <w:t xml:space="preserve"> 105 984</w:t>
            </w:r>
          </w:p>
        </w:tc>
        <w:tc>
          <w:tcPr>
            <w:tcW w:w="10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249FDC7" w14:textId="77777777" w:rsidR="00ED0E85" w:rsidRPr="00091768" w:rsidRDefault="00ED0E85" w:rsidP="00ED0E85">
            <w:pPr>
              <w:pStyle w:val="TableDataEntries"/>
            </w:pPr>
            <w:r w:rsidRPr="00091768">
              <w:t>213</w:t>
            </w:r>
          </w:p>
        </w:tc>
        <w:tc>
          <w:tcPr>
            <w:tcW w:w="10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99B4AD" w14:textId="77777777" w:rsidR="00ED0E85" w:rsidRPr="00091768" w:rsidRDefault="00ED0E85" w:rsidP="00ED0E85">
            <w:pPr>
              <w:pStyle w:val="TableDataEntries"/>
            </w:pPr>
            <w:r w:rsidRPr="00091768">
              <w:t xml:space="preserve"> 73 104</w:t>
            </w:r>
          </w:p>
        </w:tc>
      </w:tr>
      <w:tr w:rsidR="00ED0E85" w:rsidRPr="00091768" w14:paraId="05549196" w14:textId="77777777" w:rsidTr="00ED0E85">
        <w:trPr>
          <w:trHeight w:val="250"/>
        </w:trPr>
        <w:tc>
          <w:tcPr>
            <w:tcW w:w="6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CAEE289" w14:textId="77777777" w:rsidR="00ED0E85" w:rsidRPr="00091768" w:rsidRDefault="00ED0E85" w:rsidP="00ED0E85">
            <w:pPr>
              <w:pStyle w:val="TableDataEntries"/>
              <w:jc w:val="left"/>
            </w:pPr>
            <w:r w:rsidRPr="00091768">
              <w:t>VIC</w:t>
            </w:r>
          </w:p>
        </w:tc>
        <w:tc>
          <w:tcPr>
            <w:tcW w:w="312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359AA1" w14:textId="77777777" w:rsidR="00ED0E85" w:rsidRPr="00091768" w:rsidRDefault="00ED0E85" w:rsidP="00ED0E85">
            <w:pPr>
              <w:pStyle w:val="TableDataEntries"/>
              <w:jc w:val="left"/>
            </w:pPr>
            <w:r w:rsidRPr="00091768">
              <w:t>Traralgon - Morwell</w:t>
            </w:r>
          </w:p>
        </w:tc>
        <w:tc>
          <w:tcPr>
            <w:tcW w:w="95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79EBCD" w14:textId="77777777" w:rsidR="00ED0E85" w:rsidRPr="00091768" w:rsidRDefault="00ED0E85" w:rsidP="00ED0E85">
            <w:pPr>
              <w:pStyle w:val="TableDataEntries"/>
            </w:pPr>
            <w:r w:rsidRPr="00091768">
              <w:t>235</w:t>
            </w:r>
          </w:p>
        </w:tc>
        <w:tc>
          <w:tcPr>
            <w:tcW w:w="10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3580518" w14:textId="77777777" w:rsidR="00ED0E85" w:rsidRPr="00091768" w:rsidRDefault="00ED0E85" w:rsidP="00ED0E85">
            <w:pPr>
              <w:pStyle w:val="TableDataEntries"/>
            </w:pPr>
            <w:r w:rsidRPr="00091768">
              <w:t xml:space="preserve"> 39 706</w:t>
            </w:r>
          </w:p>
        </w:tc>
        <w:tc>
          <w:tcPr>
            <w:tcW w:w="1083"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C839AB" w14:textId="77777777" w:rsidR="00ED0E85" w:rsidRPr="00091768" w:rsidRDefault="00ED0E85" w:rsidP="00ED0E85">
            <w:pPr>
              <w:pStyle w:val="TableDataEntries"/>
            </w:pPr>
            <w:r w:rsidRPr="00091768">
              <w:t>169</w:t>
            </w:r>
          </w:p>
        </w:tc>
        <w:tc>
          <w:tcPr>
            <w:tcW w:w="104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5927B1" w14:textId="77777777" w:rsidR="00ED0E85" w:rsidRPr="00091768" w:rsidRDefault="00ED0E85" w:rsidP="00ED0E85">
            <w:pPr>
              <w:pStyle w:val="TableDataEntries"/>
            </w:pPr>
            <w:r w:rsidRPr="00091768">
              <w:t xml:space="preserve"> 57 265</w:t>
            </w:r>
          </w:p>
        </w:tc>
      </w:tr>
      <w:tr w:rsidR="00ED0E85" w:rsidRPr="00091768" w14:paraId="62F2D531" w14:textId="77777777" w:rsidTr="00ED0E85">
        <w:trPr>
          <w:trHeight w:val="250"/>
        </w:trPr>
        <w:tc>
          <w:tcPr>
            <w:tcW w:w="65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861EAA1" w14:textId="77777777" w:rsidR="00ED0E85" w:rsidRPr="00091768" w:rsidRDefault="00ED0E85" w:rsidP="00ED0E85">
            <w:pPr>
              <w:pStyle w:val="TableDataEntries"/>
              <w:jc w:val="left"/>
            </w:pPr>
            <w:r w:rsidRPr="00091768">
              <w:t>WA</w:t>
            </w:r>
          </w:p>
        </w:tc>
        <w:tc>
          <w:tcPr>
            <w:tcW w:w="3122"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F72F2BC" w14:textId="77777777" w:rsidR="00ED0E85" w:rsidRPr="00091768" w:rsidRDefault="00ED0E85" w:rsidP="00ED0E85">
            <w:pPr>
              <w:pStyle w:val="TableDataEntries"/>
              <w:jc w:val="left"/>
            </w:pPr>
            <w:r w:rsidRPr="00091768">
              <w:t>Not in any significant urban area (WA)</w:t>
            </w:r>
            <w:r w:rsidRPr="00E3330F">
              <w:rPr>
                <w:rStyle w:val="NoteLabel"/>
              </w:rPr>
              <w:t>a</w:t>
            </w:r>
          </w:p>
        </w:tc>
        <w:tc>
          <w:tcPr>
            <w:tcW w:w="952"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7D704BD" w14:textId="77777777" w:rsidR="00ED0E85" w:rsidRPr="00091768" w:rsidRDefault="00ED0E85" w:rsidP="00ED0E85">
            <w:pPr>
              <w:pStyle w:val="TableDataEntries"/>
            </w:pPr>
            <w:r w:rsidRPr="00091768">
              <w:t>2 520 513</w:t>
            </w:r>
          </w:p>
        </w:tc>
        <w:tc>
          <w:tcPr>
            <w:tcW w:w="108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0EDDBCFA" w14:textId="77777777" w:rsidR="00ED0E85" w:rsidRPr="00091768" w:rsidRDefault="00ED0E85" w:rsidP="00ED0E85">
            <w:pPr>
              <w:pStyle w:val="TableDataEntries"/>
            </w:pPr>
            <w:r w:rsidRPr="00091768">
              <w:t xml:space="preserve"> 30 654</w:t>
            </w:r>
          </w:p>
        </w:tc>
        <w:tc>
          <w:tcPr>
            <w:tcW w:w="1083"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BA76F1A" w14:textId="77777777" w:rsidR="00ED0E85" w:rsidRPr="00091768" w:rsidRDefault="00ED0E85" w:rsidP="00ED0E85">
            <w:pPr>
              <w:pStyle w:val="TableDataEntries"/>
            </w:pPr>
            <w:r w:rsidRPr="00091768">
              <w:t>0.01</w:t>
            </w:r>
          </w:p>
        </w:tc>
        <w:tc>
          <w:tcPr>
            <w:tcW w:w="1047"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115E1FB3" w14:textId="77777777" w:rsidR="00ED0E85" w:rsidRPr="00091768" w:rsidRDefault="00ED0E85" w:rsidP="00ED0E85">
            <w:pPr>
              <w:pStyle w:val="TableDataEntries"/>
            </w:pPr>
            <w:r w:rsidRPr="00091768">
              <w:t xml:space="preserve">                  4 </w:t>
            </w:r>
          </w:p>
        </w:tc>
      </w:tr>
    </w:tbl>
    <w:p w14:paraId="18E9975D" w14:textId="77777777" w:rsidR="00ED0E85" w:rsidRDefault="00ED0E85" w:rsidP="00ED0E85">
      <w:pPr>
        <w:pStyle w:val="NoteNumber"/>
        <w:numPr>
          <w:ilvl w:val="0"/>
          <w:numId w:val="0"/>
        </w:numPr>
        <w:ind w:left="170" w:hanging="170"/>
      </w:pPr>
      <w:r w:rsidRPr="00E4232C">
        <w:rPr>
          <w:rStyle w:val="NoteLabel"/>
        </w:rPr>
        <w:t>a</w:t>
      </w:r>
      <w:r>
        <w:t xml:space="preserve"> PAE Holmes note that the unit damage costs should not be applied to significant urban areas with less than 10 000 people.</w:t>
      </w:r>
    </w:p>
    <w:p w14:paraId="5460871A" w14:textId="77777777" w:rsidR="00ED0E85" w:rsidRDefault="00ED0E85" w:rsidP="00ED0E85">
      <w:pPr>
        <w:pStyle w:val="NoteNumber"/>
        <w:numPr>
          <w:ilvl w:val="0"/>
          <w:numId w:val="0"/>
        </w:numPr>
        <w:tabs>
          <w:tab w:val="left" w:pos="720"/>
        </w:tabs>
      </w:pPr>
      <w:r>
        <w:rPr>
          <w:i/>
        </w:rPr>
        <w:t xml:space="preserve">Note: </w:t>
      </w:r>
      <w:r>
        <w:t xml:space="preserve">Only Significant Urban Areas relevant to this analysis have been included in this table. </w:t>
      </w:r>
    </w:p>
    <w:p w14:paraId="162BD2C1" w14:textId="77777777" w:rsidR="00ED0E85" w:rsidRDefault="00ED0E85" w:rsidP="00ED0E85">
      <w:pPr>
        <w:pStyle w:val="Source"/>
      </w:pPr>
      <w:r>
        <w:rPr>
          <w:i/>
        </w:rPr>
        <w:t>Source:</w:t>
      </w:r>
      <w:r>
        <w:t xml:space="preserve"> PAEHolmes, 2013, Methodology for valuing the health impacts of changes in particle emissions - final report. For NSW Environment Protection Authority (EPA)</w:t>
      </w:r>
    </w:p>
    <w:p w14:paraId="2A40F594" w14:textId="0A1DCE4C" w:rsidR="00ED0E85" w:rsidRDefault="00ED0E85" w:rsidP="00ED0E85">
      <w:pPr>
        <w:pStyle w:val="BodyText"/>
        <w:rPr>
          <w:lang w:bidi="fa-IR"/>
        </w:rPr>
      </w:pPr>
      <w:r>
        <w:rPr>
          <w:lang w:bidi="fa-IR"/>
        </w:rPr>
        <w:t>The damage cost from emissions of PM</w:t>
      </w:r>
      <w:r>
        <w:rPr>
          <w:vertAlign w:val="subscript"/>
          <w:lang w:bidi="fa-IR"/>
        </w:rPr>
        <w:t>2.5</w:t>
      </w:r>
      <w:r>
        <w:rPr>
          <w:lang w:bidi="fa-IR"/>
        </w:rPr>
        <w:t xml:space="preserve"> per GWh for each facility is shown in table </w:t>
      </w:r>
      <w:r>
        <w:rPr>
          <w:lang w:bidi="fa-IR"/>
        </w:rPr>
        <w:fldChar w:fldCharType="begin"/>
      </w:r>
      <w:r>
        <w:rPr>
          <w:lang w:bidi="fa-IR"/>
        </w:rPr>
        <w:instrText xml:space="preserve"> REF _Caption2764 </w:instrText>
      </w:r>
      <w:r>
        <w:rPr>
          <w:lang w:bidi="fa-IR"/>
        </w:rPr>
        <w:fldChar w:fldCharType="separate"/>
      </w:r>
      <w:r w:rsidR="00AD3561">
        <w:rPr>
          <w:noProof/>
        </w:rPr>
        <w:t>B.3</w:t>
      </w:r>
      <w:r>
        <w:rPr>
          <w:lang w:bidi="fa-IR"/>
        </w:rPr>
        <w:fldChar w:fldCharType="end"/>
      </w:r>
      <w:r>
        <w:rPr>
          <w:lang w:bidi="fa-IR"/>
        </w:rPr>
        <w:t>. These estimates assume that only the damage cost at the nearest SUA applies and does not account for dispersion of pollutants to adjacent SUAs. The damage cost per GWh varies substantially from $0.03 per GWh to $4220 per GWh. The variation in damage cost is due to location (i.e. density of nearby population centres) and emissions intensity (PM</w:t>
      </w:r>
      <w:r w:rsidRPr="000E1B6A">
        <w:rPr>
          <w:vertAlign w:val="subscript"/>
          <w:lang w:bidi="fa-IR"/>
        </w:rPr>
        <w:t>2.5</w:t>
      </w:r>
      <w:r>
        <w:rPr>
          <w:lang w:bidi="fa-IR"/>
        </w:rPr>
        <w:t xml:space="preserve"> emissions per GWh).</w:t>
      </w:r>
    </w:p>
    <w:p w14:paraId="191A02D6" w14:textId="4C7ABE6C"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B</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1</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1</w:instrText>
      </w:r>
      <w:r w:rsidR="004550CB">
        <w:rPr>
          <w:noProof/>
        </w:rPr>
        <w:fldChar w:fldCharType="end"/>
      </w:r>
      <w:r w:rsidRPr="00695C93">
        <w:instrText xml:space="preserve">." </w:instrText>
      </w:r>
      <w:r w:rsidRPr="00695C93">
        <w:fldChar w:fldCharType="separate"/>
      </w:r>
      <w:r>
        <w:rPr>
          <w:noProof/>
        </w:rPr>
        <w:instrText>1</w:instrText>
      </w:r>
      <w:r w:rsidRPr="00695C93">
        <w:rPr>
          <w:noProof/>
        </w:rPr>
        <w:instrText>.</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B</w:instrText>
      </w:r>
      <w:r w:rsidR="004550CB">
        <w:rPr>
          <w:noProof/>
        </w:rPr>
        <w:fldChar w:fldCharType="end"/>
      </w:r>
      <w:r w:rsidRPr="00695C93">
        <w:instrText xml:space="preserve">." </w:instrText>
      </w:r>
      <w:r w:rsidRPr="00695C93">
        <w:fldChar w:fldCharType="separate"/>
      </w:r>
      <w:r w:rsidR="00AD3561">
        <w:rPr>
          <w:noProof/>
        </w:rPr>
        <w:instrText>B</w:instrText>
      </w:r>
      <w:r w:rsidR="00AD356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B</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1</w:instrText>
      </w:r>
      <w:r w:rsidR="004550CB">
        <w:rPr>
          <w:noProof/>
        </w:rPr>
        <w:fldChar w:fldCharType="end"/>
      </w:r>
      <w:r w:rsidRPr="00695C93">
        <w:instrText xml:space="preserve"> = 0 "" "1" </w:instrText>
      </w:r>
      <w:r w:rsidRPr="00695C93">
        <w:fldChar w:fldCharType="separate"/>
      </w:r>
      <w:r w:rsidRPr="00695C93">
        <w:rPr>
          <w:noProof/>
        </w:rPr>
        <w:instrText>1</w:instrText>
      </w:r>
      <w:r w:rsidRPr="00695C93">
        <w:fldChar w:fldCharType="end"/>
      </w:r>
      <w:r w:rsidRPr="00695C93">
        <w:instrText xml:space="preserve">" "6" </w:instrText>
      </w:r>
      <w:r w:rsidRPr="00695C93">
        <w:fldChar w:fldCharType="separate"/>
      </w:r>
      <w:r w:rsidR="00AD3561" w:rsidRPr="00695C93">
        <w:rPr>
          <w:noProof/>
        </w:rPr>
        <w:instrText>6</w:instrText>
      </w:r>
      <w:r w:rsidRPr="00695C93">
        <w:fldChar w:fldCharType="end"/>
      </w:r>
      <w:r w:rsidRPr="00695C93">
        <w:instrText xml:space="preserve"> </w:instrText>
      </w:r>
      <w:r w:rsidRPr="00695C93">
        <w:fldChar w:fldCharType="separate"/>
      </w:r>
      <w:r w:rsidR="00AD3561">
        <w:rPr>
          <w:noProof/>
        </w:rPr>
        <w:instrText>15</w:instrText>
      </w:r>
      <w:r w:rsidRPr="00695C93">
        <w:fldChar w:fldCharType="end"/>
      </w:r>
      <w:r w:rsidRPr="00695C93">
        <w:instrText xml:space="preserve">" "" </w:instrText>
      </w:r>
      <w:r w:rsidRPr="00695C93">
        <w:fldChar w:fldCharType="separate"/>
      </w:r>
      <w:bookmarkStart w:id="7895" w:name="_Caption4655"/>
      <w:bookmarkStart w:id="7896" w:name="_Caption2650"/>
      <w:bookmarkStart w:id="7897" w:name="_Caption6902"/>
      <w:bookmarkStart w:id="7898" w:name="_Caption8188"/>
      <w:bookmarkStart w:id="7899" w:name="_Caption8095"/>
      <w:bookmarkStart w:id="7900" w:name="_Caption7541"/>
      <w:bookmarkStart w:id="7901" w:name="_Caption2503"/>
      <w:bookmarkStart w:id="7902" w:name="_Caption3464"/>
      <w:bookmarkStart w:id="7903" w:name="_Caption5649"/>
      <w:bookmarkStart w:id="7904" w:name="_Caption9550"/>
      <w:bookmarkStart w:id="7905" w:name="_Caption7362"/>
      <w:bookmarkStart w:id="7906" w:name="_Caption9241"/>
      <w:bookmarkStart w:id="7907" w:name="_Caption1336"/>
      <w:bookmarkStart w:id="7908" w:name="_Caption3684"/>
      <w:bookmarkStart w:id="7909" w:name="_Caption5467"/>
      <w:bookmarkStart w:id="7910" w:name="_Caption2445"/>
      <w:bookmarkStart w:id="7911" w:name="_Caption2927"/>
      <w:bookmarkStart w:id="7912" w:name="_Caption1127"/>
      <w:bookmarkStart w:id="7913" w:name="_Caption2553"/>
      <w:bookmarkStart w:id="7914" w:name="_Caption0381"/>
      <w:bookmarkStart w:id="7915" w:name="_Caption0241"/>
      <w:bookmarkStart w:id="7916" w:name="_Caption4197"/>
      <w:bookmarkStart w:id="7917" w:name="_Caption7765"/>
      <w:bookmarkStart w:id="7918" w:name="_Caption9266"/>
      <w:bookmarkStart w:id="7919" w:name="_Caption8742"/>
      <w:bookmarkStart w:id="7920" w:name="_Caption1265"/>
      <w:bookmarkStart w:id="7921" w:name="_Caption0083"/>
      <w:bookmarkStart w:id="7922" w:name="_Caption0176"/>
      <w:bookmarkStart w:id="7923" w:name="_Caption1377"/>
      <w:bookmarkStart w:id="7924" w:name="_Caption8813"/>
      <w:bookmarkStart w:id="7925" w:name="_Caption0893"/>
      <w:bookmarkStart w:id="7926" w:name="_Caption7790"/>
      <w:bookmarkStart w:id="7927" w:name="_Caption3545"/>
      <w:bookmarkStart w:id="7928" w:name="_Caption3553"/>
      <w:bookmarkStart w:id="7929" w:name="_Caption4505"/>
      <w:bookmarkStart w:id="7930" w:name="_Caption3372"/>
      <w:bookmarkStart w:id="7931" w:name="_Caption0104"/>
      <w:bookmarkStart w:id="7932" w:name="_Caption2581"/>
      <w:bookmarkStart w:id="7933" w:name="_Caption3964"/>
      <w:bookmarkStart w:id="7934" w:name="_Caption0217"/>
      <w:bookmarkStart w:id="7935" w:name="_Caption4618"/>
      <w:bookmarkStart w:id="7936" w:name="_Caption8861"/>
      <w:bookmarkStart w:id="7937" w:name="_Caption7559"/>
      <w:bookmarkStart w:id="7938" w:name="_Caption2283"/>
      <w:bookmarkStart w:id="7939" w:name="_Toc19275673"/>
      <w:bookmarkStart w:id="7940" w:name="_Toc19276283"/>
      <w:bookmarkStart w:id="7941" w:name="_Toc19280282"/>
      <w:r w:rsidR="00C353B5">
        <w:rPr>
          <w:noProof/>
        </w:rPr>
        <w:t>B</w:t>
      </w:r>
      <w:r w:rsidR="00C353B5" w:rsidRPr="00695C93">
        <w:rPr>
          <w:noProof/>
        </w:rPr>
        <w:t>.</w:t>
      </w:r>
      <w:r w:rsidR="00C353B5">
        <w:rPr>
          <w:noProof/>
        </w:rPr>
        <w:t>15</w:t>
      </w:r>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r w:rsidRPr="00695C93">
        <w:fldChar w:fldCharType="end"/>
      </w:r>
      <w:r w:rsidRPr="00695C93">
        <w:tab/>
      </w:r>
      <w:r>
        <w:t>Damage cost by facility</w:t>
      </w:r>
      <w:bookmarkEnd w:id="7939"/>
      <w:bookmarkEnd w:id="7940"/>
      <w:bookmarkEnd w:id="7941"/>
    </w:p>
    <w:tbl>
      <w:tblPr>
        <w:tblW w:w="7938" w:type="dxa"/>
        <w:tblLayout w:type="fixed"/>
        <w:tblLook w:val="04A0" w:firstRow="1" w:lastRow="0" w:firstColumn="1" w:lastColumn="0" w:noHBand="0" w:noVBand="1"/>
      </w:tblPr>
      <w:tblGrid>
        <w:gridCol w:w="2977"/>
        <w:gridCol w:w="2126"/>
        <w:gridCol w:w="851"/>
        <w:gridCol w:w="992"/>
        <w:gridCol w:w="992"/>
      </w:tblGrid>
      <w:tr w:rsidR="00ED0E85" w:rsidRPr="0014439F" w14:paraId="265FA0B5" w14:textId="77777777" w:rsidTr="00ED0E85">
        <w:trPr>
          <w:trHeight w:val="250"/>
        </w:trPr>
        <w:tc>
          <w:tcPr>
            <w:tcW w:w="2977" w:type="dxa"/>
            <w:shd w:val="clear" w:color="auto" w:fill="6F6652"/>
            <w:noWrap/>
            <w:tcMar>
              <w:left w:w="57" w:type="dxa"/>
              <w:right w:w="57" w:type="dxa"/>
            </w:tcMar>
            <w:hideMark/>
          </w:tcPr>
          <w:p w14:paraId="15EB9DF1" w14:textId="77777777" w:rsidR="00ED0E85" w:rsidRPr="0014439F" w:rsidRDefault="00ED0E85" w:rsidP="00ED0E85">
            <w:pPr>
              <w:pStyle w:val="TableDataColumnHeading"/>
              <w:jc w:val="left"/>
            </w:pPr>
            <w:r w:rsidRPr="0014439F">
              <w:t>Facility Name</w:t>
            </w:r>
          </w:p>
        </w:tc>
        <w:tc>
          <w:tcPr>
            <w:tcW w:w="2126" w:type="dxa"/>
            <w:shd w:val="clear" w:color="auto" w:fill="6F6652"/>
          </w:tcPr>
          <w:p w14:paraId="0B16E3FF" w14:textId="77777777" w:rsidR="00ED0E85" w:rsidRDefault="00ED0E85" w:rsidP="00ED0E85">
            <w:pPr>
              <w:pStyle w:val="TableDataColumnHeading"/>
              <w:jc w:val="left"/>
            </w:pPr>
            <w:r>
              <w:t>SUA (nearest SUA)</w:t>
            </w:r>
          </w:p>
        </w:tc>
        <w:tc>
          <w:tcPr>
            <w:tcW w:w="851" w:type="dxa"/>
            <w:shd w:val="clear" w:color="auto" w:fill="6F6652"/>
            <w:noWrap/>
            <w:tcMar>
              <w:left w:w="57" w:type="dxa"/>
              <w:right w:w="57" w:type="dxa"/>
            </w:tcMar>
            <w:hideMark/>
          </w:tcPr>
          <w:p w14:paraId="08355F05" w14:textId="77777777" w:rsidR="00ED0E85" w:rsidRPr="0014439F" w:rsidRDefault="00ED0E85" w:rsidP="00ED0E85">
            <w:pPr>
              <w:pStyle w:val="TableDataColumnHeading"/>
            </w:pPr>
            <w:r>
              <w:t>E</w:t>
            </w:r>
            <w:r w:rsidRPr="0014439F">
              <w:t xml:space="preserve">missions intensity </w:t>
            </w:r>
          </w:p>
        </w:tc>
        <w:tc>
          <w:tcPr>
            <w:tcW w:w="1984" w:type="dxa"/>
            <w:gridSpan w:val="2"/>
            <w:shd w:val="clear" w:color="auto" w:fill="6F6652"/>
            <w:noWrap/>
            <w:tcMar>
              <w:left w:w="57" w:type="dxa"/>
              <w:right w:w="57" w:type="dxa"/>
            </w:tcMar>
            <w:hideMark/>
          </w:tcPr>
          <w:p w14:paraId="028AEAD5" w14:textId="77777777" w:rsidR="00ED0E85" w:rsidRPr="0014439F" w:rsidRDefault="00ED0E85" w:rsidP="00ED0E85">
            <w:pPr>
              <w:pStyle w:val="TableDataColumnHeading"/>
              <w:jc w:val="center"/>
            </w:pPr>
            <w:r w:rsidRPr="0014439F">
              <w:t>Damage cost</w:t>
            </w:r>
          </w:p>
        </w:tc>
      </w:tr>
      <w:tr w:rsidR="00ED0E85" w:rsidRPr="0014439F" w14:paraId="1EA1DD80" w14:textId="77777777" w:rsidTr="00ED0E85">
        <w:trPr>
          <w:trHeight w:val="250"/>
        </w:trPr>
        <w:tc>
          <w:tcPr>
            <w:tcW w:w="2977" w:type="dxa"/>
            <w:tcBorders>
              <w:bottom w:val="single" w:sz="8" w:space="0" w:color="FFFFFF" w:themeColor="background1"/>
            </w:tcBorders>
            <w:shd w:val="clear" w:color="auto" w:fill="auto"/>
            <w:noWrap/>
            <w:tcMar>
              <w:left w:w="57" w:type="dxa"/>
              <w:right w:w="57" w:type="dxa"/>
            </w:tcMar>
          </w:tcPr>
          <w:p w14:paraId="3DA5037E" w14:textId="77777777" w:rsidR="00ED0E85" w:rsidRPr="0014439F" w:rsidRDefault="00ED0E85" w:rsidP="00ED0E85">
            <w:pPr>
              <w:pStyle w:val="TableUnit"/>
            </w:pPr>
          </w:p>
        </w:tc>
        <w:tc>
          <w:tcPr>
            <w:tcW w:w="2126" w:type="dxa"/>
            <w:tcBorders>
              <w:bottom w:val="single" w:sz="8" w:space="0" w:color="FFFFFF" w:themeColor="background1"/>
            </w:tcBorders>
            <w:vAlign w:val="bottom"/>
          </w:tcPr>
          <w:p w14:paraId="7E83CB0B" w14:textId="77777777" w:rsidR="00ED0E85" w:rsidRDefault="00ED0E85" w:rsidP="00ED0E85">
            <w:pPr>
              <w:pStyle w:val="TableDataEntries"/>
              <w:jc w:val="left"/>
            </w:pPr>
          </w:p>
        </w:tc>
        <w:tc>
          <w:tcPr>
            <w:tcW w:w="851" w:type="dxa"/>
            <w:tcBorders>
              <w:bottom w:val="single" w:sz="8" w:space="0" w:color="FFFFFF" w:themeColor="background1"/>
            </w:tcBorders>
            <w:shd w:val="clear" w:color="auto" w:fill="auto"/>
            <w:noWrap/>
            <w:tcMar>
              <w:left w:w="57" w:type="dxa"/>
              <w:right w:w="57" w:type="dxa"/>
            </w:tcMar>
          </w:tcPr>
          <w:p w14:paraId="21114FC5" w14:textId="77777777" w:rsidR="00ED0E85" w:rsidRPr="0014439F" w:rsidRDefault="00ED0E85" w:rsidP="00ED0E85">
            <w:pPr>
              <w:pStyle w:val="TableUnit"/>
            </w:pPr>
            <w:r>
              <w:t>tPM</w:t>
            </w:r>
            <w:r w:rsidRPr="009253DC">
              <w:rPr>
                <w:vertAlign w:val="subscript"/>
              </w:rPr>
              <w:t>2.5</w:t>
            </w:r>
            <w:r>
              <w:t>/</w:t>
            </w:r>
            <w:r>
              <w:br/>
              <w:t>GWh</w:t>
            </w:r>
          </w:p>
        </w:tc>
        <w:tc>
          <w:tcPr>
            <w:tcW w:w="992" w:type="dxa"/>
            <w:tcBorders>
              <w:bottom w:val="single" w:sz="8" w:space="0" w:color="FFFFFF" w:themeColor="background1"/>
            </w:tcBorders>
            <w:shd w:val="clear" w:color="auto" w:fill="auto"/>
            <w:noWrap/>
            <w:tcMar>
              <w:left w:w="57" w:type="dxa"/>
              <w:right w:w="57" w:type="dxa"/>
            </w:tcMar>
          </w:tcPr>
          <w:p w14:paraId="302E0C43" w14:textId="77777777" w:rsidR="00ED0E85" w:rsidRPr="0014439F" w:rsidRDefault="00ED0E85" w:rsidP="00ED0E85">
            <w:pPr>
              <w:pStyle w:val="TableUnit"/>
            </w:pPr>
            <w:r>
              <w:t>$/tPM</w:t>
            </w:r>
            <w:r w:rsidRPr="009253DC">
              <w:rPr>
                <w:vertAlign w:val="subscript"/>
              </w:rPr>
              <w:t>2.5</w:t>
            </w:r>
          </w:p>
        </w:tc>
        <w:tc>
          <w:tcPr>
            <w:tcW w:w="992" w:type="dxa"/>
            <w:tcBorders>
              <w:bottom w:val="single" w:sz="8" w:space="0" w:color="FFFFFF" w:themeColor="background1"/>
            </w:tcBorders>
            <w:shd w:val="clear" w:color="auto" w:fill="auto"/>
            <w:noWrap/>
            <w:tcMar>
              <w:left w:w="57" w:type="dxa"/>
              <w:right w:w="57" w:type="dxa"/>
            </w:tcMar>
          </w:tcPr>
          <w:p w14:paraId="71993C0E" w14:textId="77777777" w:rsidR="00ED0E85" w:rsidRPr="0014439F" w:rsidRDefault="00ED0E85" w:rsidP="00ED0E85">
            <w:pPr>
              <w:pStyle w:val="TableUnit"/>
            </w:pPr>
            <w:r>
              <w:t>$/GWh</w:t>
            </w:r>
          </w:p>
        </w:tc>
      </w:tr>
      <w:tr w:rsidR="00ED0E85" w:rsidRPr="0014439F" w14:paraId="1358BF51"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BB2714" w14:textId="77777777" w:rsidR="00ED0E85" w:rsidRPr="0014439F" w:rsidRDefault="00ED0E85" w:rsidP="00ED0E85">
            <w:pPr>
              <w:pStyle w:val="TableDataEntries"/>
              <w:jc w:val="left"/>
            </w:pPr>
            <w:r w:rsidRPr="0014439F">
              <w:t>Eraring Power Station</w:t>
            </w:r>
            <w:r>
              <w:t xml:space="preserve"> (NSW)</w:t>
            </w:r>
          </w:p>
        </w:tc>
        <w:tc>
          <w:tcPr>
            <w:tcW w:w="2126" w:type="dxa"/>
            <w:tcBorders>
              <w:top w:val="single" w:sz="8" w:space="0" w:color="FFFFFF" w:themeColor="background1"/>
              <w:bottom w:val="single" w:sz="8" w:space="0" w:color="FFFFFF" w:themeColor="background1"/>
            </w:tcBorders>
            <w:shd w:val="clear" w:color="auto" w:fill="E9E8E5" w:themeFill="background2"/>
            <w:vAlign w:val="bottom"/>
          </w:tcPr>
          <w:p w14:paraId="20D71138" w14:textId="77777777" w:rsidR="00ED0E85" w:rsidRDefault="00ED0E85" w:rsidP="00ED0E85">
            <w:pPr>
              <w:pStyle w:val="TableDataEntries"/>
              <w:jc w:val="left"/>
            </w:pPr>
            <w:r>
              <w:t>Morisset - Cooranbong</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5BC5AD8" w14:textId="77777777" w:rsidR="00ED0E85" w:rsidRPr="0014439F" w:rsidRDefault="00ED0E85" w:rsidP="00ED0E85">
            <w:pPr>
              <w:pStyle w:val="TableDataEntries"/>
            </w:pPr>
            <w:r w:rsidRPr="0014439F">
              <w:t>0.01</w:t>
            </w: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F617F0" w14:textId="77777777" w:rsidR="00ED0E85" w:rsidRPr="0014439F" w:rsidRDefault="00ED0E85" w:rsidP="00ED0E85">
            <w:pPr>
              <w:pStyle w:val="TableDataEntries"/>
            </w:pPr>
            <w:r w:rsidRPr="0014439F">
              <w:t xml:space="preserve"> 22 000</w:t>
            </w:r>
          </w:p>
        </w:tc>
        <w:tc>
          <w:tcPr>
            <w:tcW w:w="99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5D013B9C" w14:textId="77777777" w:rsidR="00ED0E85" w:rsidRPr="004A2854" w:rsidRDefault="00ED0E85" w:rsidP="00ED0E85">
            <w:pPr>
              <w:pStyle w:val="TableDataEntries"/>
              <w:rPr>
                <w:rFonts w:ascii="Franklin Gothic Demi" w:hAnsi="Franklin Gothic Demi"/>
              </w:rPr>
            </w:pPr>
            <w:r w:rsidRPr="004A2854">
              <w:rPr>
                <w:rFonts w:ascii="Franklin Gothic Demi" w:hAnsi="Franklin Gothic Demi"/>
              </w:rPr>
              <w:t>168.94</w:t>
            </w:r>
          </w:p>
        </w:tc>
      </w:tr>
      <w:tr w:rsidR="00ED0E85" w:rsidRPr="0014439F" w14:paraId="76DB72FC"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B052A1" w14:textId="77777777" w:rsidR="00ED0E85" w:rsidRPr="0014439F" w:rsidRDefault="00ED0E85" w:rsidP="00ED0E85">
            <w:pPr>
              <w:pStyle w:val="TableDataEntries"/>
              <w:jc w:val="left"/>
            </w:pPr>
            <w:r w:rsidRPr="0014439F">
              <w:t>Bayswater Power Station</w:t>
            </w:r>
            <w:r>
              <w:t xml:space="preserve"> (NSW)</w:t>
            </w:r>
          </w:p>
        </w:tc>
        <w:tc>
          <w:tcPr>
            <w:tcW w:w="2126" w:type="dxa"/>
            <w:tcBorders>
              <w:top w:val="single" w:sz="8" w:space="0" w:color="FFFFFF" w:themeColor="background1"/>
              <w:bottom w:val="single" w:sz="8" w:space="0" w:color="FFFFFF" w:themeColor="background1"/>
            </w:tcBorders>
            <w:shd w:val="clear" w:color="auto" w:fill="E9E8E5" w:themeFill="background2"/>
            <w:vAlign w:val="bottom"/>
          </w:tcPr>
          <w:p w14:paraId="5D5EB9E9" w14:textId="77777777" w:rsidR="00ED0E85" w:rsidRDefault="00ED0E85" w:rsidP="00ED0E85">
            <w:pPr>
              <w:pStyle w:val="TableDataEntries"/>
              <w:jc w:val="left"/>
            </w:pPr>
            <w:r>
              <w:t>Muswellbrook</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0F0E2B" w14:textId="77777777" w:rsidR="00ED0E85" w:rsidRPr="0014439F" w:rsidRDefault="00ED0E85" w:rsidP="00ED0E85">
            <w:pPr>
              <w:pStyle w:val="TableDataEntries"/>
            </w:pPr>
            <w:r w:rsidRPr="0014439F">
              <w:t>0.02</w:t>
            </w: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A9F3806" w14:textId="77777777" w:rsidR="00ED0E85" w:rsidRPr="0014439F" w:rsidRDefault="00ED0E85" w:rsidP="00ED0E85">
            <w:pPr>
              <w:pStyle w:val="TableDataEntries"/>
            </w:pPr>
            <w:r w:rsidRPr="0014439F">
              <w:t xml:space="preserve"> 16 000</w:t>
            </w:r>
          </w:p>
        </w:tc>
        <w:tc>
          <w:tcPr>
            <w:tcW w:w="99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2935250F" w14:textId="77777777" w:rsidR="00ED0E85" w:rsidRPr="004A2854" w:rsidRDefault="00ED0E85" w:rsidP="00ED0E85">
            <w:pPr>
              <w:pStyle w:val="TableDataEntries"/>
              <w:rPr>
                <w:rFonts w:ascii="Franklin Gothic Demi" w:hAnsi="Franklin Gothic Demi"/>
              </w:rPr>
            </w:pPr>
            <w:r w:rsidRPr="004A2854">
              <w:rPr>
                <w:rFonts w:ascii="Franklin Gothic Demi" w:hAnsi="Franklin Gothic Demi"/>
              </w:rPr>
              <w:t>365.90</w:t>
            </w:r>
          </w:p>
        </w:tc>
      </w:tr>
      <w:tr w:rsidR="00ED0E85" w:rsidRPr="0014439F" w14:paraId="787D10CD"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D712C6" w14:textId="77777777" w:rsidR="00ED0E85" w:rsidRPr="0014439F" w:rsidRDefault="00ED0E85" w:rsidP="00ED0E85">
            <w:pPr>
              <w:pStyle w:val="TableDataEntries"/>
              <w:jc w:val="left"/>
            </w:pPr>
            <w:r w:rsidRPr="0014439F">
              <w:t>Liddell Power Station</w:t>
            </w:r>
            <w:r>
              <w:t xml:space="preserve"> (NSW)</w:t>
            </w:r>
          </w:p>
        </w:tc>
        <w:tc>
          <w:tcPr>
            <w:tcW w:w="2126" w:type="dxa"/>
            <w:tcBorders>
              <w:top w:val="single" w:sz="8" w:space="0" w:color="FFFFFF" w:themeColor="background1"/>
              <w:bottom w:val="single" w:sz="8" w:space="0" w:color="FFFFFF" w:themeColor="background1"/>
            </w:tcBorders>
            <w:shd w:val="clear" w:color="auto" w:fill="E9E8E5" w:themeFill="background2"/>
            <w:vAlign w:val="bottom"/>
          </w:tcPr>
          <w:p w14:paraId="64F81F0D" w14:textId="77777777" w:rsidR="00ED0E85" w:rsidRDefault="00ED0E85" w:rsidP="00ED0E85">
            <w:pPr>
              <w:pStyle w:val="TableDataEntries"/>
              <w:jc w:val="left"/>
            </w:pPr>
            <w:r>
              <w:t>Muswellbrook</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DCC2FDC" w14:textId="77777777" w:rsidR="00ED0E85" w:rsidRPr="0014439F" w:rsidRDefault="00ED0E85" w:rsidP="00ED0E85">
            <w:pPr>
              <w:pStyle w:val="TableDataEntries"/>
            </w:pPr>
            <w:r w:rsidRPr="0014439F">
              <w:t>0.03</w:t>
            </w: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54C13F" w14:textId="77777777" w:rsidR="00ED0E85" w:rsidRPr="0014439F" w:rsidRDefault="00ED0E85" w:rsidP="00ED0E85">
            <w:pPr>
              <w:pStyle w:val="TableDataEntries"/>
            </w:pPr>
            <w:r w:rsidRPr="0014439F">
              <w:t xml:space="preserve"> 16 000</w:t>
            </w:r>
          </w:p>
        </w:tc>
        <w:tc>
          <w:tcPr>
            <w:tcW w:w="99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77865BCF" w14:textId="77777777" w:rsidR="00ED0E85" w:rsidRPr="004A2854" w:rsidRDefault="00ED0E85" w:rsidP="00ED0E85">
            <w:pPr>
              <w:pStyle w:val="TableDataEntries"/>
              <w:rPr>
                <w:rFonts w:ascii="Franklin Gothic Demi" w:hAnsi="Franklin Gothic Demi"/>
              </w:rPr>
            </w:pPr>
            <w:r w:rsidRPr="004A2854">
              <w:rPr>
                <w:rFonts w:ascii="Franklin Gothic Demi" w:hAnsi="Franklin Gothic Demi"/>
              </w:rPr>
              <w:t>405.77</w:t>
            </w:r>
          </w:p>
        </w:tc>
      </w:tr>
      <w:tr w:rsidR="00ED0E85" w:rsidRPr="0014439F" w14:paraId="7C901971"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FA8B5F" w14:textId="77777777" w:rsidR="00ED0E85" w:rsidRPr="0014439F" w:rsidRDefault="00ED0E85" w:rsidP="00ED0E85">
            <w:pPr>
              <w:pStyle w:val="TableDataEntries"/>
              <w:jc w:val="left"/>
            </w:pPr>
            <w:r w:rsidRPr="0014439F">
              <w:t>Vales Point Power Station</w:t>
            </w:r>
            <w:r>
              <w:t xml:space="preserve"> (NSW)</w:t>
            </w:r>
          </w:p>
        </w:tc>
        <w:tc>
          <w:tcPr>
            <w:tcW w:w="2126" w:type="dxa"/>
            <w:tcBorders>
              <w:top w:val="single" w:sz="8" w:space="0" w:color="FFFFFF" w:themeColor="background1"/>
              <w:bottom w:val="single" w:sz="8" w:space="0" w:color="FFFFFF" w:themeColor="background1"/>
            </w:tcBorders>
            <w:shd w:val="clear" w:color="auto" w:fill="E9E8E5" w:themeFill="background2"/>
            <w:vAlign w:val="bottom"/>
          </w:tcPr>
          <w:p w14:paraId="56C1A1F0" w14:textId="77777777" w:rsidR="00ED0E85" w:rsidRDefault="00ED0E85" w:rsidP="00ED0E85">
            <w:pPr>
              <w:pStyle w:val="TableDataEntries"/>
              <w:jc w:val="left"/>
            </w:pPr>
            <w:r>
              <w:t>Central Coast</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6E59B7" w14:textId="77777777" w:rsidR="00ED0E85" w:rsidRPr="0014439F" w:rsidRDefault="00ED0E85" w:rsidP="00ED0E85">
            <w:pPr>
              <w:pStyle w:val="TableDataEntries"/>
            </w:pPr>
            <w:r w:rsidRPr="0014439F">
              <w:t>0.01</w:t>
            </w: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D74A00A" w14:textId="77777777" w:rsidR="00ED0E85" w:rsidRPr="0014439F" w:rsidRDefault="00ED0E85" w:rsidP="00ED0E85">
            <w:pPr>
              <w:pStyle w:val="TableDataEntries"/>
            </w:pPr>
            <w:r w:rsidRPr="0014439F">
              <w:t xml:space="preserve"> 183 000</w:t>
            </w:r>
          </w:p>
        </w:tc>
        <w:tc>
          <w:tcPr>
            <w:tcW w:w="99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2E2C8251" w14:textId="77777777" w:rsidR="00ED0E85" w:rsidRPr="004A2854" w:rsidRDefault="00ED0E85" w:rsidP="00ED0E85">
            <w:pPr>
              <w:pStyle w:val="TableDataEntries"/>
              <w:rPr>
                <w:rFonts w:ascii="Franklin Gothic Demi" w:hAnsi="Franklin Gothic Demi"/>
              </w:rPr>
            </w:pPr>
            <w:r w:rsidRPr="004A2854">
              <w:rPr>
                <w:rFonts w:ascii="Franklin Gothic Demi" w:hAnsi="Franklin Gothic Demi"/>
              </w:rPr>
              <w:t>1054.87</w:t>
            </w:r>
          </w:p>
        </w:tc>
      </w:tr>
      <w:tr w:rsidR="00ED0E85" w:rsidRPr="0014439F" w14:paraId="0EE0F06A"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F2CF0D9" w14:textId="77777777" w:rsidR="00ED0E85" w:rsidRPr="0014439F" w:rsidRDefault="00ED0E85" w:rsidP="00ED0E85">
            <w:pPr>
              <w:pStyle w:val="TableDataEntries"/>
              <w:jc w:val="left"/>
            </w:pPr>
            <w:r w:rsidRPr="0014439F">
              <w:t>Mt Piper Power Station</w:t>
            </w:r>
            <w:r>
              <w:t xml:space="preserve"> (NSW)</w:t>
            </w:r>
          </w:p>
        </w:tc>
        <w:tc>
          <w:tcPr>
            <w:tcW w:w="2126" w:type="dxa"/>
            <w:tcBorders>
              <w:top w:val="single" w:sz="8" w:space="0" w:color="FFFFFF" w:themeColor="background1"/>
              <w:bottom w:val="single" w:sz="8" w:space="0" w:color="FFFFFF" w:themeColor="background1"/>
            </w:tcBorders>
            <w:shd w:val="clear" w:color="auto" w:fill="E9E8E5" w:themeFill="background2"/>
            <w:vAlign w:val="bottom"/>
          </w:tcPr>
          <w:p w14:paraId="3A2084C8" w14:textId="77777777" w:rsidR="00ED0E85" w:rsidRDefault="00ED0E85" w:rsidP="00ED0E85">
            <w:pPr>
              <w:pStyle w:val="TableDataEntries"/>
              <w:jc w:val="left"/>
            </w:pPr>
            <w:r>
              <w:t>Lithgow</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C92BF3B" w14:textId="77777777" w:rsidR="00ED0E85" w:rsidRPr="0014439F" w:rsidRDefault="00ED0E85" w:rsidP="00ED0E85">
            <w:pPr>
              <w:pStyle w:val="TableDataEntries"/>
            </w:pPr>
            <w:r w:rsidRPr="0014439F">
              <w:t>0.01</w:t>
            </w: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BEF45A" w14:textId="77777777" w:rsidR="00ED0E85" w:rsidRPr="0014439F" w:rsidRDefault="00ED0E85" w:rsidP="00ED0E85">
            <w:pPr>
              <w:pStyle w:val="TableDataEntries"/>
            </w:pPr>
            <w:r w:rsidRPr="0014439F">
              <w:t xml:space="preserve"> 35 000</w:t>
            </w:r>
          </w:p>
        </w:tc>
        <w:tc>
          <w:tcPr>
            <w:tcW w:w="99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5CB10A31" w14:textId="77777777" w:rsidR="00ED0E85" w:rsidRPr="004A2854" w:rsidRDefault="00ED0E85" w:rsidP="00ED0E85">
            <w:pPr>
              <w:pStyle w:val="TableDataEntries"/>
              <w:rPr>
                <w:rFonts w:ascii="Franklin Gothic Demi" w:hAnsi="Franklin Gothic Demi"/>
              </w:rPr>
            </w:pPr>
            <w:r w:rsidRPr="004A2854">
              <w:rPr>
                <w:rFonts w:ascii="Franklin Gothic Demi" w:hAnsi="Franklin Gothic Demi"/>
              </w:rPr>
              <w:t>248.91</w:t>
            </w:r>
          </w:p>
        </w:tc>
      </w:tr>
      <w:tr w:rsidR="00ED0E85" w:rsidRPr="0014439F" w14:paraId="0F112E93"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73DA96" w14:textId="77777777" w:rsidR="00ED0E85" w:rsidRPr="0014439F" w:rsidRDefault="00ED0E85" w:rsidP="00ED0E85">
            <w:pPr>
              <w:pStyle w:val="TableDataEntries"/>
              <w:jc w:val="left"/>
            </w:pPr>
            <w:r w:rsidRPr="0014439F">
              <w:t>Tarong Power Stations</w:t>
            </w:r>
            <w:r>
              <w:t xml:space="preserve"> (QLD)</w:t>
            </w:r>
          </w:p>
        </w:tc>
        <w:tc>
          <w:tcPr>
            <w:tcW w:w="2126" w:type="dxa"/>
            <w:tcBorders>
              <w:top w:val="single" w:sz="8" w:space="0" w:color="FFFFFF" w:themeColor="background1"/>
              <w:bottom w:val="single" w:sz="8" w:space="0" w:color="FFFFFF" w:themeColor="background1"/>
            </w:tcBorders>
            <w:shd w:val="clear" w:color="auto" w:fill="E9E8E5" w:themeFill="background2"/>
            <w:vAlign w:val="bottom"/>
          </w:tcPr>
          <w:p w14:paraId="0595A2A8" w14:textId="77777777" w:rsidR="00ED0E85" w:rsidRDefault="00ED0E85" w:rsidP="00ED0E85">
            <w:pPr>
              <w:pStyle w:val="TableDataEntries"/>
              <w:jc w:val="left"/>
            </w:pPr>
            <w:r>
              <w:t>NIASUA (QLD)</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8DCBAA" w14:textId="77777777" w:rsidR="00ED0E85" w:rsidRPr="0014439F" w:rsidRDefault="00ED0E85" w:rsidP="00ED0E85">
            <w:pPr>
              <w:pStyle w:val="TableDataEntries"/>
            </w:pPr>
            <w:r w:rsidRPr="0014439F">
              <w:t>0.17</w:t>
            </w: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CB2148" w14:textId="77777777" w:rsidR="00ED0E85" w:rsidRPr="0014439F" w:rsidRDefault="00ED0E85" w:rsidP="00ED0E85">
            <w:pPr>
              <w:pStyle w:val="TableDataEntries"/>
            </w:pPr>
            <w:r w:rsidRPr="0014439F">
              <w:t xml:space="preserve">  150</w:t>
            </w:r>
          </w:p>
        </w:tc>
        <w:tc>
          <w:tcPr>
            <w:tcW w:w="99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55C8AFE8" w14:textId="77777777" w:rsidR="00ED0E85" w:rsidRPr="004A2854" w:rsidRDefault="00ED0E85" w:rsidP="00ED0E85">
            <w:pPr>
              <w:pStyle w:val="TableDataEntries"/>
              <w:rPr>
                <w:rFonts w:ascii="Franklin Gothic Demi" w:hAnsi="Franklin Gothic Demi"/>
              </w:rPr>
            </w:pPr>
            <w:r w:rsidRPr="004A2854">
              <w:rPr>
                <w:rFonts w:ascii="Franklin Gothic Demi" w:hAnsi="Franklin Gothic Demi"/>
              </w:rPr>
              <w:t>24.78</w:t>
            </w:r>
          </w:p>
        </w:tc>
      </w:tr>
      <w:tr w:rsidR="00ED0E85" w:rsidRPr="0014439F" w14:paraId="595052CD"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348855" w14:textId="77777777" w:rsidR="00ED0E85" w:rsidRPr="0014439F" w:rsidRDefault="00ED0E85" w:rsidP="00ED0E85">
            <w:pPr>
              <w:pStyle w:val="TableDataEntries"/>
              <w:jc w:val="left"/>
            </w:pPr>
            <w:r w:rsidRPr="0014439F">
              <w:t>Gladstone Power Station</w:t>
            </w:r>
            <w:r>
              <w:t xml:space="preserve"> (QLD)</w:t>
            </w:r>
          </w:p>
        </w:tc>
        <w:tc>
          <w:tcPr>
            <w:tcW w:w="2126" w:type="dxa"/>
            <w:tcBorders>
              <w:top w:val="single" w:sz="8" w:space="0" w:color="FFFFFF" w:themeColor="background1"/>
              <w:bottom w:val="single" w:sz="8" w:space="0" w:color="FFFFFF" w:themeColor="background1"/>
            </w:tcBorders>
            <w:shd w:val="clear" w:color="auto" w:fill="E9E8E5" w:themeFill="background2"/>
            <w:vAlign w:val="bottom"/>
          </w:tcPr>
          <w:p w14:paraId="775EF0EE" w14:textId="77777777" w:rsidR="00ED0E85" w:rsidRDefault="00ED0E85" w:rsidP="00ED0E85">
            <w:pPr>
              <w:pStyle w:val="TableDataEntries"/>
              <w:jc w:val="left"/>
            </w:pPr>
            <w:r>
              <w:t>Gladstone - Tannum Sands</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04DC251" w14:textId="77777777" w:rsidR="00ED0E85" w:rsidRPr="0014439F" w:rsidRDefault="00ED0E85" w:rsidP="00ED0E85">
            <w:pPr>
              <w:pStyle w:val="TableDataEntries"/>
            </w:pPr>
            <w:r w:rsidRPr="0014439F">
              <w:t>0.01</w:t>
            </w: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24479D" w14:textId="77777777" w:rsidR="00ED0E85" w:rsidRPr="0014439F" w:rsidRDefault="00ED0E85" w:rsidP="00ED0E85">
            <w:pPr>
              <w:pStyle w:val="TableDataEntries"/>
            </w:pPr>
            <w:r w:rsidRPr="0014439F">
              <w:t xml:space="preserve"> 60 000</w:t>
            </w:r>
          </w:p>
        </w:tc>
        <w:tc>
          <w:tcPr>
            <w:tcW w:w="99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14DC0FA1" w14:textId="77777777" w:rsidR="00ED0E85" w:rsidRPr="004A2854" w:rsidRDefault="00ED0E85" w:rsidP="00ED0E85">
            <w:pPr>
              <w:pStyle w:val="TableDataEntries"/>
              <w:rPr>
                <w:rFonts w:ascii="Franklin Gothic Demi" w:hAnsi="Franklin Gothic Demi"/>
              </w:rPr>
            </w:pPr>
            <w:r w:rsidRPr="004A2854">
              <w:rPr>
                <w:rFonts w:ascii="Franklin Gothic Demi" w:hAnsi="Franklin Gothic Demi"/>
              </w:rPr>
              <w:t>378.72</w:t>
            </w:r>
          </w:p>
        </w:tc>
      </w:tr>
      <w:tr w:rsidR="00ED0E85" w:rsidRPr="0014439F" w14:paraId="4AC08F0C"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856EF7" w14:textId="77777777" w:rsidR="00ED0E85" w:rsidRPr="0014439F" w:rsidRDefault="00ED0E85" w:rsidP="00ED0E85">
            <w:pPr>
              <w:pStyle w:val="TableDataEntries"/>
              <w:jc w:val="left"/>
            </w:pPr>
            <w:r w:rsidRPr="0014439F">
              <w:t>Stanwell Power Station</w:t>
            </w:r>
            <w:r>
              <w:t xml:space="preserve"> (QLD)</w:t>
            </w:r>
          </w:p>
        </w:tc>
        <w:tc>
          <w:tcPr>
            <w:tcW w:w="2126" w:type="dxa"/>
            <w:tcBorders>
              <w:top w:val="single" w:sz="8" w:space="0" w:color="FFFFFF" w:themeColor="background1"/>
              <w:bottom w:val="single" w:sz="8" w:space="0" w:color="FFFFFF" w:themeColor="background1"/>
            </w:tcBorders>
            <w:shd w:val="clear" w:color="auto" w:fill="E9E8E5" w:themeFill="background2"/>
            <w:vAlign w:val="bottom"/>
          </w:tcPr>
          <w:p w14:paraId="0EFEFA89" w14:textId="77777777" w:rsidR="00ED0E85" w:rsidRDefault="00ED0E85" w:rsidP="00ED0E85">
            <w:pPr>
              <w:pStyle w:val="TableDataEntries"/>
              <w:jc w:val="left"/>
            </w:pPr>
            <w:r>
              <w:t>Rockhampton</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6DE1689" w14:textId="77777777" w:rsidR="00ED0E85" w:rsidRPr="0014439F" w:rsidRDefault="00ED0E85" w:rsidP="00ED0E85">
            <w:pPr>
              <w:pStyle w:val="TableDataEntries"/>
            </w:pPr>
            <w:r w:rsidRPr="0014439F">
              <w:t>0.03</w:t>
            </w: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136B85" w14:textId="77777777" w:rsidR="00ED0E85" w:rsidRPr="0014439F" w:rsidRDefault="00ED0E85" w:rsidP="00ED0E85">
            <w:pPr>
              <w:pStyle w:val="TableDataEntries"/>
            </w:pPr>
            <w:r w:rsidRPr="0014439F">
              <w:t xml:space="preserve"> 44 000</w:t>
            </w:r>
          </w:p>
        </w:tc>
        <w:tc>
          <w:tcPr>
            <w:tcW w:w="99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1110C0C9" w14:textId="77777777" w:rsidR="00ED0E85" w:rsidRPr="004A2854" w:rsidRDefault="00ED0E85" w:rsidP="00ED0E85">
            <w:pPr>
              <w:pStyle w:val="TableDataEntries"/>
              <w:rPr>
                <w:rFonts w:ascii="Franklin Gothic Demi" w:hAnsi="Franklin Gothic Demi"/>
              </w:rPr>
            </w:pPr>
            <w:r w:rsidRPr="004A2854">
              <w:rPr>
                <w:rFonts w:ascii="Franklin Gothic Demi" w:hAnsi="Franklin Gothic Demi"/>
              </w:rPr>
              <w:t>1233.24</w:t>
            </w:r>
          </w:p>
        </w:tc>
      </w:tr>
      <w:tr w:rsidR="00ED0E85" w:rsidRPr="0014439F" w14:paraId="21E8FF8C"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3CA9C2" w14:textId="77777777" w:rsidR="00ED0E85" w:rsidRPr="0014439F" w:rsidRDefault="00ED0E85" w:rsidP="00ED0E85">
            <w:pPr>
              <w:pStyle w:val="TableDataEntries"/>
              <w:jc w:val="left"/>
            </w:pPr>
            <w:r w:rsidRPr="0014439F">
              <w:t xml:space="preserve">Millmerran Power Station </w:t>
            </w:r>
            <w:r>
              <w:t xml:space="preserve"> </w:t>
            </w:r>
            <w:r w:rsidRPr="0014439F">
              <w:t>(facility)</w:t>
            </w:r>
            <w:r>
              <w:t xml:space="preserve"> (QLD)</w:t>
            </w:r>
          </w:p>
        </w:tc>
        <w:tc>
          <w:tcPr>
            <w:tcW w:w="2126" w:type="dxa"/>
            <w:tcBorders>
              <w:top w:val="single" w:sz="8" w:space="0" w:color="FFFFFF" w:themeColor="background1"/>
              <w:bottom w:val="single" w:sz="8" w:space="0" w:color="FFFFFF" w:themeColor="background1"/>
            </w:tcBorders>
            <w:shd w:val="clear" w:color="auto" w:fill="E9E8E5" w:themeFill="background2"/>
            <w:vAlign w:val="bottom"/>
          </w:tcPr>
          <w:p w14:paraId="2A494E9F" w14:textId="77777777" w:rsidR="00ED0E85" w:rsidRDefault="00ED0E85" w:rsidP="00ED0E85">
            <w:pPr>
              <w:pStyle w:val="TableDataEntries"/>
              <w:jc w:val="left"/>
            </w:pPr>
            <w:r>
              <w:t>Toowoomba</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959E6C1" w14:textId="77777777" w:rsidR="00ED0E85" w:rsidRPr="0014439F" w:rsidRDefault="00ED0E85" w:rsidP="00ED0E85">
            <w:pPr>
              <w:pStyle w:val="TableDataEntries"/>
            </w:pPr>
            <w:r w:rsidRPr="0014439F">
              <w:t>0.00</w:t>
            </w: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F64E68" w14:textId="77777777" w:rsidR="00ED0E85" w:rsidRPr="0014439F" w:rsidRDefault="00ED0E85" w:rsidP="00ED0E85">
            <w:pPr>
              <w:pStyle w:val="TableDataEntries"/>
            </w:pPr>
            <w:r w:rsidRPr="0014439F">
              <w:t xml:space="preserve"> 73 000</w:t>
            </w:r>
          </w:p>
        </w:tc>
        <w:tc>
          <w:tcPr>
            <w:tcW w:w="99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4C2AD2E2" w14:textId="77777777" w:rsidR="00ED0E85" w:rsidRPr="004A2854" w:rsidRDefault="00ED0E85" w:rsidP="00ED0E85">
            <w:pPr>
              <w:pStyle w:val="TableDataEntries"/>
              <w:rPr>
                <w:rFonts w:ascii="Franklin Gothic Demi" w:hAnsi="Franklin Gothic Demi"/>
              </w:rPr>
            </w:pPr>
            <w:r w:rsidRPr="004A2854">
              <w:rPr>
                <w:rFonts w:ascii="Franklin Gothic Demi" w:hAnsi="Franklin Gothic Demi"/>
              </w:rPr>
              <w:t>216.35</w:t>
            </w:r>
          </w:p>
        </w:tc>
      </w:tr>
      <w:tr w:rsidR="00ED0E85" w:rsidRPr="0014439F" w14:paraId="37360046"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A0505D" w14:textId="77777777" w:rsidR="00ED0E85" w:rsidRPr="0014439F" w:rsidRDefault="00ED0E85" w:rsidP="00ED0E85">
            <w:pPr>
              <w:pStyle w:val="TableDataEntries"/>
              <w:jc w:val="left"/>
            </w:pPr>
            <w:r w:rsidRPr="0014439F">
              <w:t>Callide C Power Station</w:t>
            </w:r>
            <w:r>
              <w:t xml:space="preserve"> (QLD)</w:t>
            </w:r>
          </w:p>
        </w:tc>
        <w:tc>
          <w:tcPr>
            <w:tcW w:w="2126" w:type="dxa"/>
            <w:tcBorders>
              <w:top w:val="single" w:sz="8" w:space="0" w:color="FFFFFF" w:themeColor="background1"/>
              <w:bottom w:val="single" w:sz="8" w:space="0" w:color="FFFFFF" w:themeColor="background1"/>
            </w:tcBorders>
            <w:shd w:val="clear" w:color="auto" w:fill="E9E8E5" w:themeFill="background2"/>
            <w:vAlign w:val="bottom"/>
          </w:tcPr>
          <w:p w14:paraId="5B37C398" w14:textId="77777777" w:rsidR="00ED0E85" w:rsidRDefault="00ED0E85" w:rsidP="00ED0E85">
            <w:pPr>
              <w:pStyle w:val="TableDataEntries"/>
              <w:jc w:val="left"/>
            </w:pPr>
            <w:r>
              <w:t>NIASUA (QLD)</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5786D3" w14:textId="77777777" w:rsidR="00ED0E85" w:rsidRPr="0014439F" w:rsidRDefault="00ED0E85" w:rsidP="00ED0E85">
            <w:pPr>
              <w:pStyle w:val="TableDataEntries"/>
            </w:pPr>
            <w:r w:rsidRPr="0014439F">
              <w:t>0.05</w:t>
            </w: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9DC06A7" w14:textId="77777777" w:rsidR="00ED0E85" w:rsidRPr="0014439F" w:rsidRDefault="00ED0E85" w:rsidP="00ED0E85">
            <w:pPr>
              <w:pStyle w:val="TableDataEntries"/>
            </w:pPr>
            <w:r w:rsidRPr="0014439F">
              <w:t xml:space="preserve">  150</w:t>
            </w:r>
          </w:p>
        </w:tc>
        <w:tc>
          <w:tcPr>
            <w:tcW w:w="99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58F7D868" w14:textId="77777777" w:rsidR="00ED0E85" w:rsidRPr="004A2854" w:rsidRDefault="00ED0E85" w:rsidP="00ED0E85">
            <w:pPr>
              <w:pStyle w:val="TableDataEntries"/>
              <w:rPr>
                <w:rFonts w:ascii="Franklin Gothic Demi" w:hAnsi="Franklin Gothic Demi"/>
              </w:rPr>
            </w:pPr>
            <w:r w:rsidRPr="004A2854">
              <w:rPr>
                <w:rFonts w:ascii="Franklin Gothic Demi" w:hAnsi="Franklin Gothic Demi"/>
              </w:rPr>
              <w:t>7.26</w:t>
            </w:r>
          </w:p>
        </w:tc>
      </w:tr>
      <w:tr w:rsidR="00ED0E85" w:rsidRPr="0014439F" w14:paraId="138DC998"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DB545E3" w14:textId="77777777" w:rsidR="00ED0E85" w:rsidRPr="0014439F" w:rsidRDefault="00ED0E85" w:rsidP="00ED0E85">
            <w:pPr>
              <w:pStyle w:val="TableDataEntries"/>
              <w:jc w:val="left"/>
            </w:pPr>
            <w:r w:rsidRPr="0014439F">
              <w:t>Callide B Power Station</w:t>
            </w:r>
            <w:r>
              <w:t xml:space="preserve"> (QLD)</w:t>
            </w:r>
          </w:p>
        </w:tc>
        <w:tc>
          <w:tcPr>
            <w:tcW w:w="2126" w:type="dxa"/>
            <w:tcBorders>
              <w:top w:val="single" w:sz="8" w:space="0" w:color="FFFFFF" w:themeColor="background1"/>
              <w:bottom w:val="single" w:sz="8" w:space="0" w:color="FFFFFF" w:themeColor="background1"/>
            </w:tcBorders>
            <w:shd w:val="clear" w:color="auto" w:fill="E9E8E5" w:themeFill="background2"/>
            <w:vAlign w:val="bottom"/>
          </w:tcPr>
          <w:p w14:paraId="1E46E1BF" w14:textId="77777777" w:rsidR="00ED0E85" w:rsidRDefault="00ED0E85" w:rsidP="00ED0E85">
            <w:pPr>
              <w:pStyle w:val="TableDataEntries"/>
              <w:jc w:val="left"/>
            </w:pPr>
            <w:r>
              <w:t>NIASUA (QLD)</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4F0C6B" w14:textId="77777777" w:rsidR="00ED0E85" w:rsidRPr="0014439F" w:rsidRDefault="00ED0E85" w:rsidP="00ED0E85">
            <w:pPr>
              <w:pStyle w:val="TableDataEntries"/>
            </w:pPr>
            <w:r w:rsidRPr="0014439F">
              <w:t>0.07</w:t>
            </w: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9C28E9" w14:textId="77777777" w:rsidR="00ED0E85" w:rsidRPr="0014439F" w:rsidRDefault="00ED0E85" w:rsidP="00ED0E85">
            <w:pPr>
              <w:pStyle w:val="TableDataEntries"/>
            </w:pPr>
            <w:r w:rsidRPr="0014439F">
              <w:t xml:space="preserve">  150</w:t>
            </w:r>
          </w:p>
        </w:tc>
        <w:tc>
          <w:tcPr>
            <w:tcW w:w="99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68DA236C" w14:textId="77777777" w:rsidR="00ED0E85" w:rsidRPr="004A2854" w:rsidRDefault="00ED0E85" w:rsidP="00ED0E85">
            <w:pPr>
              <w:pStyle w:val="TableDataEntries"/>
              <w:rPr>
                <w:rFonts w:ascii="Franklin Gothic Demi" w:hAnsi="Franklin Gothic Demi"/>
              </w:rPr>
            </w:pPr>
            <w:r w:rsidRPr="004A2854">
              <w:rPr>
                <w:rFonts w:ascii="Franklin Gothic Demi" w:hAnsi="Franklin Gothic Demi"/>
              </w:rPr>
              <w:t>9.93</w:t>
            </w:r>
          </w:p>
        </w:tc>
      </w:tr>
      <w:tr w:rsidR="00ED0E85" w:rsidRPr="0014439F" w14:paraId="3DE48DB8"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17B7A26" w14:textId="77777777" w:rsidR="00ED0E85" w:rsidRPr="0014439F" w:rsidRDefault="00ED0E85" w:rsidP="00ED0E85">
            <w:pPr>
              <w:pStyle w:val="TableDataEntries"/>
              <w:jc w:val="left"/>
            </w:pPr>
            <w:r w:rsidRPr="0014439F">
              <w:t>Kogan Creek Power Station</w:t>
            </w:r>
            <w:r>
              <w:t xml:space="preserve"> (QLD)</w:t>
            </w:r>
          </w:p>
        </w:tc>
        <w:tc>
          <w:tcPr>
            <w:tcW w:w="2126" w:type="dxa"/>
            <w:tcBorders>
              <w:top w:val="single" w:sz="8" w:space="0" w:color="FFFFFF" w:themeColor="background1"/>
              <w:bottom w:val="single" w:sz="8" w:space="0" w:color="FFFFFF" w:themeColor="background1"/>
            </w:tcBorders>
            <w:shd w:val="clear" w:color="auto" w:fill="E9E8E5" w:themeFill="background2"/>
            <w:vAlign w:val="bottom"/>
          </w:tcPr>
          <w:p w14:paraId="3909EAE8" w14:textId="77777777" w:rsidR="00ED0E85" w:rsidRDefault="00ED0E85" w:rsidP="00ED0E85">
            <w:pPr>
              <w:pStyle w:val="TableDataEntries"/>
              <w:jc w:val="left"/>
            </w:pPr>
            <w:r>
              <w:t>NIASUA (QLD)</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859DB9" w14:textId="77777777" w:rsidR="00ED0E85" w:rsidRPr="0014439F" w:rsidRDefault="00ED0E85" w:rsidP="00ED0E85">
            <w:pPr>
              <w:pStyle w:val="TableDataEntries"/>
            </w:pPr>
            <w:r w:rsidRPr="0014439F">
              <w:t>0.01</w:t>
            </w: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009B13" w14:textId="77777777" w:rsidR="00ED0E85" w:rsidRPr="0014439F" w:rsidRDefault="00ED0E85" w:rsidP="00ED0E85">
            <w:pPr>
              <w:pStyle w:val="TableDataEntries"/>
            </w:pPr>
            <w:r w:rsidRPr="0014439F">
              <w:t xml:space="preserve">  150</w:t>
            </w:r>
          </w:p>
        </w:tc>
        <w:tc>
          <w:tcPr>
            <w:tcW w:w="99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5B49EBB6" w14:textId="77777777" w:rsidR="00ED0E85" w:rsidRPr="004A2854" w:rsidRDefault="00ED0E85" w:rsidP="00ED0E85">
            <w:pPr>
              <w:pStyle w:val="TableDataEntries"/>
              <w:rPr>
                <w:rFonts w:ascii="Franklin Gothic Demi" w:hAnsi="Franklin Gothic Demi"/>
              </w:rPr>
            </w:pPr>
            <w:r w:rsidRPr="004A2854">
              <w:rPr>
                <w:rFonts w:ascii="Franklin Gothic Demi" w:hAnsi="Franklin Gothic Demi"/>
              </w:rPr>
              <w:t>0.92</w:t>
            </w:r>
          </w:p>
        </w:tc>
      </w:tr>
      <w:tr w:rsidR="00ED0E85" w:rsidRPr="0014439F" w14:paraId="34D1C67E"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41D9534" w14:textId="77777777" w:rsidR="00ED0E85" w:rsidRPr="0014439F" w:rsidRDefault="00ED0E85" w:rsidP="00ED0E85">
            <w:pPr>
              <w:pStyle w:val="TableDataEntries"/>
              <w:jc w:val="left"/>
            </w:pPr>
            <w:r w:rsidRPr="0014439F">
              <w:t>Loy Yang Power Station and Mine</w:t>
            </w:r>
            <w:r>
              <w:t xml:space="preserve"> (VIC)</w:t>
            </w:r>
          </w:p>
        </w:tc>
        <w:tc>
          <w:tcPr>
            <w:tcW w:w="2126" w:type="dxa"/>
            <w:tcBorders>
              <w:top w:val="single" w:sz="8" w:space="0" w:color="FFFFFF" w:themeColor="background1"/>
              <w:bottom w:val="single" w:sz="8" w:space="0" w:color="FFFFFF" w:themeColor="background1"/>
            </w:tcBorders>
            <w:shd w:val="clear" w:color="auto" w:fill="E9E8E5" w:themeFill="background2"/>
            <w:vAlign w:val="bottom"/>
          </w:tcPr>
          <w:p w14:paraId="7DF198B2" w14:textId="77777777" w:rsidR="00ED0E85" w:rsidRPr="007E4CD1" w:rsidRDefault="00ED0E85" w:rsidP="00ED0E85">
            <w:pPr>
              <w:pStyle w:val="TableDataEntries"/>
              <w:jc w:val="left"/>
            </w:pPr>
            <w:r w:rsidRPr="007E4CD1">
              <w:t>Traralgon - Morwell</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87BD655" w14:textId="77777777" w:rsidR="00ED0E85" w:rsidRPr="0014439F" w:rsidRDefault="00ED0E85" w:rsidP="00ED0E85">
            <w:pPr>
              <w:pStyle w:val="TableDataEntries"/>
            </w:pPr>
            <w:r w:rsidRPr="0014439F">
              <w:t>0.05</w:t>
            </w: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DA437D" w14:textId="77777777" w:rsidR="00ED0E85" w:rsidRPr="0014439F" w:rsidRDefault="00ED0E85" w:rsidP="00ED0E85">
            <w:pPr>
              <w:pStyle w:val="TableDataEntries"/>
            </w:pPr>
            <w:r w:rsidRPr="0014439F">
              <w:t xml:space="preserve"> 57 000</w:t>
            </w:r>
          </w:p>
        </w:tc>
        <w:tc>
          <w:tcPr>
            <w:tcW w:w="99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2D5BC643" w14:textId="77777777" w:rsidR="00ED0E85" w:rsidRPr="004A2854" w:rsidRDefault="00ED0E85" w:rsidP="00ED0E85">
            <w:pPr>
              <w:pStyle w:val="TableDataEntries"/>
              <w:rPr>
                <w:rFonts w:ascii="Franklin Gothic Demi" w:hAnsi="Franklin Gothic Demi"/>
              </w:rPr>
            </w:pPr>
            <w:r w:rsidRPr="004A2854">
              <w:rPr>
                <w:rFonts w:ascii="Franklin Gothic Demi" w:hAnsi="Franklin Gothic Demi"/>
              </w:rPr>
              <w:t>2586.39</w:t>
            </w:r>
          </w:p>
        </w:tc>
      </w:tr>
      <w:tr w:rsidR="00ED0E85" w:rsidRPr="0014439F" w14:paraId="7AF912EB"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EB8AB8F" w14:textId="77777777" w:rsidR="00ED0E85" w:rsidRPr="0014439F" w:rsidRDefault="00ED0E85" w:rsidP="00ED0E85">
            <w:pPr>
              <w:pStyle w:val="TableDataEntries"/>
              <w:jc w:val="left"/>
            </w:pPr>
            <w:r w:rsidRPr="0014439F">
              <w:t>Yallourn Power Station</w:t>
            </w:r>
            <w:r>
              <w:t xml:space="preserve"> (VIC)</w:t>
            </w:r>
          </w:p>
        </w:tc>
        <w:tc>
          <w:tcPr>
            <w:tcW w:w="2126" w:type="dxa"/>
            <w:tcBorders>
              <w:top w:val="single" w:sz="8" w:space="0" w:color="FFFFFF" w:themeColor="background1"/>
              <w:bottom w:val="single" w:sz="8" w:space="0" w:color="FFFFFF" w:themeColor="background1"/>
            </w:tcBorders>
            <w:shd w:val="clear" w:color="auto" w:fill="E9E8E5" w:themeFill="background2"/>
            <w:vAlign w:val="bottom"/>
          </w:tcPr>
          <w:p w14:paraId="3D9A7A58" w14:textId="77777777" w:rsidR="00ED0E85" w:rsidRPr="007E4CD1" w:rsidRDefault="00ED0E85" w:rsidP="00ED0E85">
            <w:pPr>
              <w:pStyle w:val="TableDataEntries"/>
              <w:jc w:val="left"/>
            </w:pPr>
            <w:r w:rsidRPr="007E4CD1">
              <w:t>Traralgon - Morwell</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54634C" w14:textId="77777777" w:rsidR="00ED0E85" w:rsidRPr="0014439F" w:rsidRDefault="00ED0E85" w:rsidP="00ED0E85">
            <w:pPr>
              <w:pStyle w:val="TableDataEntries"/>
            </w:pPr>
            <w:r w:rsidRPr="0014439F">
              <w:t>0.07</w:t>
            </w: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7258F0" w14:textId="77777777" w:rsidR="00ED0E85" w:rsidRPr="0014439F" w:rsidRDefault="00ED0E85" w:rsidP="00ED0E85">
            <w:pPr>
              <w:pStyle w:val="TableDataEntries"/>
            </w:pPr>
            <w:r w:rsidRPr="0014439F">
              <w:t xml:space="preserve"> 57 000</w:t>
            </w:r>
          </w:p>
        </w:tc>
        <w:tc>
          <w:tcPr>
            <w:tcW w:w="99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37CAD278" w14:textId="77777777" w:rsidR="00ED0E85" w:rsidRPr="004A2854" w:rsidRDefault="00ED0E85" w:rsidP="00ED0E85">
            <w:pPr>
              <w:pStyle w:val="TableDataEntries"/>
              <w:rPr>
                <w:rFonts w:ascii="Franklin Gothic Demi" w:hAnsi="Franklin Gothic Demi"/>
              </w:rPr>
            </w:pPr>
            <w:r w:rsidRPr="004A2854">
              <w:rPr>
                <w:rFonts w:ascii="Franklin Gothic Demi" w:hAnsi="Franklin Gothic Demi"/>
              </w:rPr>
              <w:t>4221.15</w:t>
            </w:r>
          </w:p>
        </w:tc>
      </w:tr>
      <w:tr w:rsidR="00ED0E85" w:rsidRPr="0014439F" w14:paraId="79009B70"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57AC98" w14:textId="77777777" w:rsidR="00ED0E85" w:rsidRPr="0014439F" w:rsidRDefault="00ED0E85" w:rsidP="00ED0E85">
            <w:pPr>
              <w:pStyle w:val="TableDataEntries"/>
              <w:jc w:val="left"/>
            </w:pPr>
            <w:r w:rsidRPr="0014439F">
              <w:t>Loy Yang B Power Station</w:t>
            </w:r>
            <w:r>
              <w:t xml:space="preserve"> (VIC)</w:t>
            </w:r>
          </w:p>
        </w:tc>
        <w:tc>
          <w:tcPr>
            <w:tcW w:w="2126" w:type="dxa"/>
            <w:tcBorders>
              <w:top w:val="single" w:sz="8" w:space="0" w:color="FFFFFF" w:themeColor="background1"/>
              <w:bottom w:val="single" w:sz="8" w:space="0" w:color="FFFFFF" w:themeColor="background1"/>
            </w:tcBorders>
            <w:shd w:val="clear" w:color="auto" w:fill="E9E8E5" w:themeFill="background2"/>
            <w:vAlign w:val="bottom"/>
          </w:tcPr>
          <w:p w14:paraId="7E851A5B" w14:textId="77777777" w:rsidR="00ED0E85" w:rsidRPr="007E4CD1" w:rsidRDefault="00ED0E85" w:rsidP="00ED0E85">
            <w:pPr>
              <w:pStyle w:val="TableDataEntries"/>
              <w:jc w:val="left"/>
            </w:pPr>
            <w:r w:rsidRPr="007E4CD1">
              <w:t>Traralgon - Morwell</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511EC7" w14:textId="77777777" w:rsidR="00ED0E85" w:rsidRPr="0014439F" w:rsidRDefault="00ED0E85" w:rsidP="00ED0E85">
            <w:pPr>
              <w:pStyle w:val="TableDataEntries"/>
            </w:pPr>
            <w:r w:rsidRPr="0014439F">
              <w:t>0.04</w:t>
            </w: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168CBC" w14:textId="77777777" w:rsidR="00ED0E85" w:rsidRPr="0014439F" w:rsidRDefault="00ED0E85" w:rsidP="00ED0E85">
            <w:pPr>
              <w:pStyle w:val="TableDataEntries"/>
            </w:pPr>
            <w:r w:rsidRPr="0014439F">
              <w:t xml:space="preserve"> 57 000</w:t>
            </w:r>
          </w:p>
        </w:tc>
        <w:tc>
          <w:tcPr>
            <w:tcW w:w="99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7E21FD55" w14:textId="77777777" w:rsidR="00ED0E85" w:rsidRPr="004A2854" w:rsidRDefault="00ED0E85" w:rsidP="00ED0E85">
            <w:pPr>
              <w:pStyle w:val="TableDataEntries"/>
              <w:rPr>
                <w:rFonts w:ascii="Franklin Gothic Demi" w:hAnsi="Franklin Gothic Demi"/>
              </w:rPr>
            </w:pPr>
            <w:r w:rsidRPr="004A2854">
              <w:rPr>
                <w:rFonts w:ascii="Franklin Gothic Demi" w:hAnsi="Franklin Gothic Demi"/>
              </w:rPr>
              <w:t>2216.71</w:t>
            </w:r>
          </w:p>
        </w:tc>
      </w:tr>
      <w:tr w:rsidR="00ED0E85" w:rsidRPr="0014439F" w14:paraId="1241D4A4"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5817BE" w14:textId="77777777" w:rsidR="00ED0E85" w:rsidRPr="0014439F" w:rsidRDefault="00ED0E85" w:rsidP="00ED0E85">
            <w:pPr>
              <w:pStyle w:val="TableDataEntries"/>
              <w:jc w:val="left"/>
            </w:pPr>
            <w:r w:rsidRPr="0014439F">
              <w:t>Muja Power Station</w:t>
            </w:r>
            <w:r>
              <w:t xml:space="preserve"> (WA)</w:t>
            </w:r>
          </w:p>
        </w:tc>
        <w:tc>
          <w:tcPr>
            <w:tcW w:w="2126" w:type="dxa"/>
            <w:tcBorders>
              <w:top w:val="single" w:sz="8" w:space="0" w:color="FFFFFF" w:themeColor="background1"/>
              <w:bottom w:val="single" w:sz="8" w:space="0" w:color="FFFFFF" w:themeColor="background1"/>
            </w:tcBorders>
            <w:shd w:val="clear" w:color="auto" w:fill="E9E8E5" w:themeFill="background2"/>
            <w:vAlign w:val="bottom"/>
          </w:tcPr>
          <w:p w14:paraId="799397D5" w14:textId="77777777" w:rsidR="00ED0E85" w:rsidRPr="007E4CD1" w:rsidRDefault="00ED0E85" w:rsidP="00ED0E85">
            <w:pPr>
              <w:pStyle w:val="TableDataEntries"/>
              <w:jc w:val="left"/>
            </w:pPr>
            <w:r>
              <w:t xml:space="preserve">NIASUA </w:t>
            </w:r>
            <w:r w:rsidRPr="007E4CD1">
              <w:t>(WA)</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34AEFB" w14:textId="77777777" w:rsidR="00ED0E85" w:rsidRPr="0014439F" w:rsidRDefault="00ED0E85" w:rsidP="00ED0E85">
            <w:pPr>
              <w:pStyle w:val="TableDataEntries"/>
            </w:pPr>
            <w:r w:rsidRPr="0014439F">
              <w:t>0.05</w:t>
            </w: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299C8A" w14:textId="77777777" w:rsidR="00ED0E85" w:rsidRPr="0014439F" w:rsidRDefault="00ED0E85" w:rsidP="00ED0E85">
            <w:pPr>
              <w:pStyle w:val="TableDataEntries"/>
            </w:pPr>
            <w:r w:rsidRPr="0014439F">
              <w:t xml:space="preserve">  4</w:t>
            </w:r>
          </w:p>
        </w:tc>
        <w:tc>
          <w:tcPr>
            <w:tcW w:w="99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75672D4D" w14:textId="77777777" w:rsidR="00ED0E85" w:rsidRPr="004A2854" w:rsidRDefault="00ED0E85" w:rsidP="00ED0E85">
            <w:pPr>
              <w:pStyle w:val="TableDataEntries"/>
              <w:rPr>
                <w:rFonts w:ascii="Franklin Gothic Demi" w:hAnsi="Franklin Gothic Demi"/>
              </w:rPr>
            </w:pPr>
            <w:r w:rsidRPr="004A2854">
              <w:rPr>
                <w:rFonts w:ascii="Franklin Gothic Demi" w:hAnsi="Franklin Gothic Demi"/>
              </w:rPr>
              <w:t>0.20</w:t>
            </w:r>
          </w:p>
        </w:tc>
      </w:tr>
      <w:tr w:rsidR="00ED0E85" w:rsidRPr="0014439F" w14:paraId="205848E3" w14:textId="77777777" w:rsidTr="00ED0E85">
        <w:trPr>
          <w:trHeight w:val="250"/>
        </w:trPr>
        <w:tc>
          <w:tcPr>
            <w:tcW w:w="297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876030" w14:textId="77777777" w:rsidR="00ED0E85" w:rsidRPr="0014439F" w:rsidRDefault="00ED0E85" w:rsidP="00ED0E85">
            <w:pPr>
              <w:pStyle w:val="TableDataEntries"/>
              <w:jc w:val="left"/>
            </w:pPr>
            <w:r w:rsidRPr="0014439F">
              <w:t xml:space="preserve">Collie Power Station </w:t>
            </w:r>
            <w:r>
              <w:t>(WA)</w:t>
            </w:r>
          </w:p>
        </w:tc>
        <w:tc>
          <w:tcPr>
            <w:tcW w:w="2126" w:type="dxa"/>
            <w:tcBorders>
              <w:top w:val="single" w:sz="8" w:space="0" w:color="FFFFFF" w:themeColor="background1"/>
              <w:bottom w:val="single" w:sz="8" w:space="0" w:color="FFFFFF" w:themeColor="background1"/>
            </w:tcBorders>
            <w:shd w:val="clear" w:color="auto" w:fill="E9E8E5" w:themeFill="background2"/>
            <w:vAlign w:val="bottom"/>
          </w:tcPr>
          <w:p w14:paraId="1E81C54A" w14:textId="77777777" w:rsidR="00ED0E85" w:rsidRPr="007E4CD1" w:rsidRDefault="00ED0E85" w:rsidP="00ED0E85">
            <w:pPr>
              <w:pStyle w:val="TableDataEntries"/>
              <w:jc w:val="left"/>
            </w:pPr>
            <w:r>
              <w:t xml:space="preserve">NIASUA </w:t>
            </w:r>
            <w:r w:rsidRPr="007E4CD1">
              <w:t>(WA)</w:t>
            </w:r>
          </w:p>
        </w:tc>
        <w:tc>
          <w:tcPr>
            <w:tcW w:w="851"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7A7608" w14:textId="77777777" w:rsidR="00ED0E85" w:rsidRPr="0014439F" w:rsidRDefault="00ED0E85" w:rsidP="00ED0E85">
            <w:pPr>
              <w:pStyle w:val="TableDataEntries"/>
            </w:pPr>
            <w:r w:rsidRPr="0014439F">
              <w:t>0.10</w:t>
            </w:r>
          </w:p>
        </w:tc>
        <w:tc>
          <w:tcPr>
            <w:tcW w:w="992"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0F130F" w14:textId="77777777" w:rsidR="00ED0E85" w:rsidRPr="0014439F" w:rsidRDefault="00ED0E85" w:rsidP="00ED0E85">
            <w:pPr>
              <w:pStyle w:val="TableDataEntries"/>
            </w:pPr>
            <w:r w:rsidRPr="0014439F">
              <w:t xml:space="preserve">  4</w:t>
            </w:r>
          </w:p>
        </w:tc>
        <w:tc>
          <w:tcPr>
            <w:tcW w:w="992" w:type="dxa"/>
            <w:tcBorders>
              <w:top w:val="single" w:sz="8" w:space="0" w:color="FFFFFF" w:themeColor="background1"/>
              <w:bottom w:val="single" w:sz="8" w:space="0" w:color="FFFFFF" w:themeColor="background1"/>
            </w:tcBorders>
            <w:shd w:val="clear" w:color="auto" w:fill="C2DADB" w:themeFill="accent6" w:themeFillTint="99"/>
            <w:noWrap/>
            <w:tcMar>
              <w:left w:w="57" w:type="dxa"/>
              <w:right w:w="57" w:type="dxa"/>
            </w:tcMar>
            <w:vAlign w:val="bottom"/>
            <w:hideMark/>
          </w:tcPr>
          <w:p w14:paraId="295AED8F" w14:textId="77777777" w:rsidR="00ED0E85" w:rsidRPr="004A2854" w:rsidRDefault="00ED0E85" w:rsidP="00ED0E85">
            <w:pPr>
              <w:pStyle w:val="TableDataEntries"/>
              <w:rPr>
                <w:rFonts w:ascii="Franklin Gothic Demi" w:hAnsi="Franklin Gothic Demi"/>
              </w:rPr>
            </w:pPr>
            <w:r w:rsidRPr="004A2854">
              <w:rPr>
                <w:rFonts w:ascii="Franklin Gothic Demi" w:hAnsi="Franklin Gothic Demi"/>
              </w:rPr>
              <w:t>0.36</w:t>
            </w:r>
          </w:p>
        </w:tc>
      </w:tr>
      <w:tr w:rsidR="00ED0E85" w:rsidRPr="0014439F" w14:paraId="0BC7CB1C" w14:textId="77777777" w:rsidTr="00ED0E85">
        <w:trPr>
          <w:trHeight w:val="250"/>
        </w:trPr>
        <w:tc>
          <w:tcPr>
            <w:tcW w:w="2977"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5F1004E" w14:textId="77777777" w:rsidR="00ED0E85" w:rsidRPr="0014439F" w:rsidRDefault="00ED0E85" w:rsidP="00ED0E85">
            <w:pPr>
              <w:pStyle w:val="TableDataEntries"/>
              <w:jc w:val="left"/>
            </w:pPr>
            <w:r w:rsidRPr="0014439F">
              <w:t>Bluewaters Power Station No 1&amp;2</w:t>
            </w:r>
            <w:r>
              <w:t xml:space="preserve"> (WA)</w:t>
            </w:r>
          </w:p>
        </w:tc>
        <w:tc>
          <w:tcPr>
            <w:tcW w:w="2126" w:type="dxa"/>
            <w:tcBorders>
              <w:top w:val="single" w:sz="8" w:space="0" w:color="FFFFFF" w:themeColor="background1"/>
              <w:bottom w:val="single" w:sz="6" w:space="0" w:color="6F6652"/>
            </w:tcBorders>
            <w:shd w:val="clear" w:color="auto" w:fill="E9E8E5" w:themeFill="background2"/>
            <w:vAlign w:val="bottom"/>
          </w:tcPr>
          <w:p w14:paraId="39A5BA5B" w14:textId="77777777" w:rsidR="00ED0E85" w:rsidRPr="007E4CD1" w:rsidRDefault="00ED0E85" w:rsidP="00ED0E85">
            <w:pPr>
              <w:pStyle w:val="TableDataEntries"/>
              <w:jc w:val="left"/>
            </w:pPr>
            <w:r>
              <w:t xml:space="preserve">NIASUA </w:t>
            </w:r>
            <w:r w:rsidRPr="007E4CD1">
              <w:t>(WA)</w:t>
            </w:r>
          </w:p>
        </w:tc>
        <w:tc>
          <w:tcPr>
            <w:tcW w:w="851"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25EAFF04" w14:textId="77777777" w:rsidR="00ED0E85" w:rsidRPr="0014439F" w:rsidRDefault="00ED0E85" w:rsidP="00ED0E85">
            <w:pPr>
              <w:pStyle w:val="TableDataEntries"/>
            </w:pPr>
            <w:r w:rsidRPr="0014439F">
              <w:t>0.01</w:t>
            </w:r>
          </w:p>
        </w:tc>
        <w:tc>
          <w:tcPr>
            <w:tcW w:w="992"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345FAA5" w14:textId="77777777" w:rsidR="00ED0E85" w:rsidRPr="0014439F" w:rsidRDefault="00ED0E85" w:rsidP="00ED0E85">
            <w:pPr>
              <w:pStyle w:val="TableDataEntries"/>
            </w:pPr>
            <w:r w:rsidRPr="0014439F">
              <w:t xml:space="preserve">  4</w:t>
            </w:r>
          </w:p>
        </w:tc>
        <w:tc>
          <w:tcPr>
            <w:tcW w:w="992" w:type="dxa"/>
            <w:tcBorders>
              <w:top w:val="single" w:sz="8" w:space="0" w:color="FFFFFF" w:themeColor="background1"/>
              <w:bottom w:val="single" w:sz="6" w:space="0" w:color="6F6652"/>
            </w:tcBorders>
            <w:shd w:val="clear" w:color="auto" w:fill="C2DADB" w:themeFill="accent6" w:themeFillTint="99"/>
            <w:noWrap/>
            <w:tcMar>
              <w:left w:w="57" w:type="dxa"/>
              <w:right w:w="57" w:type="dxa"/>
            </w:tcMar>
            <w:vAlign w:val="bottom"/>
            <w:hideMark/>
          </w:tcPr>
          <w:p w14:paraId="6EAD5CA3" w14:textId="77777777" w:rsidR="00ED0E85" w:rsidRPr="004A2854" w:rsidRDefault="00ED0E85" w:rsidP="00ED0E85">
            <w:pPr>
              <w:pStyle w:val="TableDataEntries"/>
              <w:rPr>
                <w:rFonts w:ascii="Franklin Gothic Demi" w:hAnsi="Franklin Gothic Demi"/>
              </w:rPr>
            </w:pPr>
            <w:r w:rsidRPr="004A2854">
              <w:rPr>
                <w:rFonts w:ascii="Franklin Gothic Demi" w:hAnsi="Franklin Gothic Demi"/>
              </w:rPr>
              <w:t>0.03</w:t>
            </w:r>
          </w:p>
        </w:tc>
      </w:tr>
    </w:tbl>
    <w:p w14:paraId="0AC7A83F" w14:textId="77777777" w:rsidR="00ED0E85" w:rsidRDefault="00ED0E85" w:rsidP="00ED0E85">
      <w:pPr>
        <w:pStyle w:val="Source"/>
        <w:rPr>
          <w:rFonts w:ascii="Calisto MT" w:eastAsiaTheme="minorEastAsia" w:hAnsi="Calisto MT"/>
          <w:sz w:val="21"/>
          <w:szCs w:val="21"/>
          <w:lang w:eastAsia="en-AU"/>
        </w:rPr>
      </w:pPr>
      <w:r w:rsidRPr="0014439F">
        <w:rPr>
          <w:i/>
          <w:lang w:bidi="fa-IR"/>
        </w:rPr>
        <w:t>Source:</w:t>
      </w:r>
      <w:r>
        <w:rPr>
          <w:lang w:bidi="fa-IR"/>
        </w:rPr>
        <w:t xml:space="preserve"> CIE based on information sourced from</w:t>
      </w:r>
      <w:r w:rsidRPr="009F2DF7">
        <w:rPr>
          <w:i/>
        </w:rPr>
        <w:t xml:space="preserve"> </w:t>
      </w:r>
      <w:r w:rsidRPr="00091768">
        <w:rPr>
          <w:i/>
        </w:rPr>
        <w:t xml:space="preserve">Clean Energy Regulator, 2019, </w:t>
      </w:r>
      <w:r>
        <w:rPr>
          <w:i/>
        </w:rPr>
        <w:t xml:space="preserve">Electricity sector emissions and generation data 2017-18,  </w:t>
      </w:r>
      <w:hyperlink r:id="rId133" w:history="1">
        <w:r w:rsidRPr="00516F3E">
          <w:rPr>
            <w:rStyle w:val="Hyperlink"/>
            <w:i/>
          </w:rPr>
          <w:t>http://www.cleanenergyregulator.gov.au/NGER/Pages/Published%20information/Electricity%20sector%20emissions%20and%20generation%20data/Electricity-sector-emissions-and-generation-data-2017%E2%80%9318-.aspx</w:t>
        </w:r>
      </w:hyperlink>
      <w:r>
        <w:rPr>
          <w:i/>
        </w:rPr>
        <w:t xml:space="preserve"> </w:t>
      </w:r>
    </w:p>
    <w:p w14:paraId="288E3FC5" w14:textId="77777777" w:rsidR="00ED0E85" w:rsidRPr="00091768" w:rsidRDefault="00ED0E85" w:rsidP="00ED0E85">
      <w:pPr>
        <w:pStyle w:val="Source"/>
        <w:rPr>
          <w:i/>
          <w:lang w:bidi="fa-IR"/>
        </w:rPr>
      </w:pPr>
      <w:r>
        <w:rPr>
          <w:i/>
        </w:rPr>
        <w:t xml:space="preserve"> </w:t>
      </w:r>
      <w:r>
        <w:t xml:space="preserve">Australian Department of the Environment and Energy, </w:t>
      </w:r>
      <w:r>
        <w:rPr>
          <w:i/>
        </w:rPr>
        <w:t xml:space="preserve">Latest NPI emissions for 2017-2018, </w:t>
      </w:r>
      <w:hyperlink r:id="rId134" w:history="1">
        <w:r w:rsidRPr="00516F3E">
          <w:rPr>
            <w:rStyle w:val="Hyperlink"/>
            <w:i/>
          </w:rPr>
          <w:t>http://www.npi.gov.au/npi-data/latest-data</w:t>
        </w:r>
      </w:hyperlink>
      <w:r>
        <w:rPr>
          <w:i/>
        </w:rPr>
        <w:t xml:space="preserve">  </w:t>
      </w:r>
      <w:r>
        <w:rPr>
          <w:rFonts w:ascii="Calisto MT" w:eastAsiaTheme="minorEastAsia" w:hAnsi="Calisto MT"/>
          <w:sz w:val="21"/>
          <w:szCs w:val="21"/>
          <w:lang w:eastAsia="en-AU"/>
        </w:rPr>
        <w:t xml:space="preserve"> </w:t>
      </w:r>
    </w:p>
    <w:p w14:paraId="74313BF5" w14:textId="77777777" w:rsidR="00ED0E85" w:rsidRDefault="00ED0E85" w:rsidP="00ED0E85">
      <w:pPr>
        <w:pStyle w:val="BodyText"/>
        <w:rPr>
          <w:lang w:bidi="fa-IR"/>
        </w:rPr>
      </w:pPr>
      <w:r>
        <w:rPr>
          <w:lang w:bidi="fa-IR"/>
        </w:rPr>
        <w:t>At this stage we have not included these impacts into the cost benefit analysis, as they will be small and highly dependent on the location. To put these into perspective, a damage cost of $1000 per GWH is equivalent to 0.1 cents per kwh. Prices for electricity are about 10 cents per kwh for large commercial customers.</w:t>
      </w:r>
    </w:p>
    <w:p w14:paraId="1FD62C94" w14:textId="77777777" w:rsidR="00ED0E85" w:rsidRDefault="00ED0E85" w:rsidP="00ED0E85">
      <w:pPr>
        <w:pStyle w:val="BodyText"/>
      </w:pPr>
    </w:p>
    <w:p w14:paraId="7678E5EE" w14:textId="77777777" w:rsidR="00ED0E85" w:rsidRDefault="00ED0E85" w:rsidP="00ED0E85">
      <w:pPr>
        <w:pStyle w:val="BodyText"/>
      </w:pPr>
    </w:p>
    <w:p w14:paraId="1719D632" w14:textId="77777777" w:rsidR="00ED0E85" w:rsidRPr="007D10FF" w:rsidRDefault="00ED0E85" w:rsidP="00ED0E85">
      <w:pPr>
        <w:pStyle w:val="BodyText"/>
      </w:pPr>
    </w:p>
    <w:p w14:paraId="553B0405" w14:textId="77777777" w:rsidR="00ED0E85" w:rsidRDefault="00ED0E85" w:rsidP="00ED0E85">
      <w:pPr>
        <w:pStyle w:val="BodyText"/>
      </w:pPr>
    </w:p>
    <w:p w14:paraId="54161513" w14:textId="77777777" w:rsidR="00ED0E85" w:rsidRDefault="00ED0E85" w:rsidP="00ED0E85">
      <w:pPr>
        <w:pStyle w:val="Heading6"/>
        <w:numPr>
          <w:ilvl w:val="5"/>
          <w:numId w:val="5"/>
        </w:numPr>
      </w:pPr>
      <w:bookmarkStart w:id="7942" w:name="_Toc19275555"/>
      <w:bookmarkStart w:id="7943" w:name="_Toc19276165"/>
      <w:bookmarkStart w:id="7944" w:name="_Toc19280164"/>
      <w:r>
        <w:t>Statistical analysis of change in building energy use and star ratings</w:t>
      </w:r>
      <w:bookmarkEnd w:id="7942"/>
      <w:bookmarkEnd w:id="7943"/>
      <w:bookmarkEnd w:id="7944"/>
    </w:p>
    <w:p w14:paraId="6E334AE6" w14:textId="77777777" w:rsidR="00ED0E85" w:rsidRDefault="00ED0E85" w:rsidP="00ED0E85">
      <w:pPr>
        <w:pStyle w:val="Heading7"/>
        <w:numPr>
          <w:ilvl w:val="6"/>
          <w:numId w:val="5"/>
        </w:numPr>
      </w:pPr>
      <w:r>
        <w:t>Data used</w:t>
      </w:r>
    </w:p>
    <w:p w14:paraId="40CD40F5" w14:textId="77777777" w:rsidR="00ED0E85" w:rsidRDefault="00ED0E85" w:rsidP="00ED0E85">
      <w:pPr>
        <w:pStyle w:val="BodyText"/>
      </w:pPr>
      <w:r>
        <w:t>The data used for the analysis includes:</w:t>
      </w:r>
    </w:p>
    <w:p w14:paraId="1D41C3F5" w14:textId="77777777" w:rsidR="00ED0E85" w:rsidRDefault="00ED0E85" w:rsidP="00ED0E85">
      <w:pPr>
        <w:pStyle w:val="ListBullet"/>
      </w:pPr>
      <w:r>
        <w:t>the CBD dataset – this provides information on the energy use, star rating and rated area for each building over time, as well as information for each space that is part of the Tenancy Lighting Assessment</w:t>
      </w:r>
    </w:p>
    <w:p w14:paraId="7F075662" w14:textId="77777777" w:rsidR="00ED0E85" w:rsidRDefault="00ED0E85" w:rsidP="00ED0E85">
      <w:pPr>
        <w:pStyle w:val="ListBullet"/>
      </w:pPr>
      <w:r>
        <w:t>the NABERS office dataset – this provides information on energy use, star rating and rated area for each building over time. It includes some information that is different to the CBD dataset (such as splitting out gas and electricity use, ratings with and without greenpower). It also includes NABERS energy ratings prior to the CBD Program, and for buildings where the CBD Program does not apply but that have rated voluntarily</w:t>
      </w:r>
    </w:p>
    <w:p w14:paraId="5789D946" w14:textId="77777777" w:rsidR="00ED0E85" w:rsidRDefault="00ED0E85" w:rsidP="00ED0E85">
      <w:pPr>
        <w:pStyle w:val="ListBullet"/>
      </w:pPr>
      <w:r>
        <w:t>the CityScope commercial dataset – this includes information on building grade, age, refurbishment, site area and building area, classification (commercial, retail etc). This is merged in using address matching. Note that there are many buildings that cannot be matched between datasets, because either CityScope does not cover all commercial buildings, or addresses are different</w:t>
      </w:r>
    </w:p>
    <w:p w14:paraId="5E612D04" w14:textId="77777777" w:rsidR="00ED0E85" w:rsidRDefault="00ED0E85" w:rsidP="00ED0E85">
      <w:pPr>
        <w:pStyle w:val="ListBullet"/>
      </w:pPr>
      <w:r>
        <w:t>energy price data – this has been put together based on network prices, wholesale energy costs and a margin for electricity, and using previous studies for gas</w:t>
      </w:r>
    </w:p>
    <w:p w14:paraId="5108E372" w14:textId="77777777" w:rsidR="00ED0E85" w:rsidRPr="00193EE3" w:rsidRDefault="00ED0E85" w:rsidP="00ED0E85">
      <w:pPr>
        <w:pStyle w:val="ListBullet"/>
      </w:pPr>
      <w:r>
        <w:t xml:space="preserve">Government mandates – this has been put together based on reviewing the public information, and with assistance from the NABERS team. </w:t>
      </w:r>
    </w:p>
    <w:p w14:paraId="5D0A62F4" w14:textId="77777777" w:rsidR="00ED0E85" w:rsidRDefault="00ED0E85" w:rsidP="00ED0E85">
      <w:pPr>
        <w:pStyle w:val="Heading7"/>
        <w:numPr>
          <w:ilvl w:val="6"/>
          <w:numId w:val="5"/>
        </w:numPr>
      </w:pPr>
      <w:r>
        <w:t>Data cleaning</w:t>
      </w:r>
    </w:p>
    <w:p w14:paraId="728322F9" w14:textId="77777777" w:rsidR="00ED0E85" w:rsidRDefault="00ED0E85" w:rsidP="00ED0E85">
      <w:pPr>
        <w:pStyle w:val="BodyText"/>
      </w:pPr>
      <w:r>
        <w:t>The data is of high quality, particularly the CBD and NABERS datasets. The cleaning we have done is to:</w:t>
      </w:r>
    </w:p>
    <w:p w14:paraId="2BE19FB9" w14:textId="77777777" w:rsidR="00ED0E85" w:rsidRDefault="00ED0E85" w:rsidP="00ED0E85">
      <w:pPr>
        <w:pStyle w:val="ListBullet"/>
      </w:pPr>
      <w:r>
        <w:t>include only base building ratings</w:t>
      </w:r>
    </w:p>
    <w:p w14:paraId="09B93A07" w14:textId="77777777" w:rsidR="00ED0E85" w:rsidRDefault="00ED0E85" w:rsidP="00ED0E85">
      <w:pPr>
        <w:pStyle w:val="ListBullet"/>
      </w:pPr>
      <w:r>
        <w:t>remove ratings where the area rated is less than the maximum area rated – this removes issues associated with large changes in vacancy or where the rating is inadvertently for a part of the building, or the building has changed</w:t>
      </w:r>
    </w:p>
    <w:p w14:paraId="21F3CC67" w14:textId="77777777" w:rsidR="00ED0E85" w:rsidRDefault="00ED0E85" w:rsidP="00ED0E85">
      <w:pPr>
        <w:pStyle w:val="ListBullet"/>
      </w:pPr>
      <w:r>
        <w:t>remove the top 1 per cent and bottom 1 per cent of observations based on energy per m</w:t>
      </w:r>
      <w:r w:rsidRPr="009253DC">
        <w:rPr>
          <w:vertAlign w:val="superscript"/>
        </w:rPr>
        <w:t>2</w:t>
      </w:r>
      <w:r>
        <w:t xml:space="preserve">. </w:t>
      </w:r>
    </w:p>
    <w:p w14:paraId="20F54531" w14:textId="77777777" w:rsidR="00ED0E85" w:rsidRDefault="00ED0E85" w:rsidP="00ED0E85">
      <w:pPr>
        <w:pStyle w:val="Heading7"/>
        <w:numPr>
          <w:ilvl w:val="6"/>
          <w:numId w:val="5"/>
        </w:numPr>
      </w:pPr>
      <w:r>
        <w:t>Econometric results</w:t>
      </w:r>
    </w:p>
    <w:p w14:paraId="7C6C1DFF" w14:textId="77777777" w:rsidR="00ED0E85" w:rsidRDefault="00ED0E85" w:rsidP="00ED0E85">
      <w:pPr>
        <w:pStyle w:val="BodyText"/>
      </w:pPr>
      <w:r>
        <w:t>Econometric results have been tested for many different models. The findings for the coefficients on number of ratings, initial star rating and number of ratings squared remain fairly similar. Results for one model for the change in star rating and one for the change in energy use per m</w:t>
      </w:r>
      <w:r w:rsidRPr="009253DC">
        <w:rPr>
          <w:vertAlign w:val="superscript"/>
        </w:rPr>
        <w:t>2</w:t>
      </w:r>
      <w:r>
        <w:t xml:space="preserve"> are shown below.</w:t>
      </w:r>
    </w:p>
    <w:p w14:paraId="5AC7BE7D" w14:textId="77777777" w:rsidR="00ED0E85" w:rsidRDefault="00ED0E85" w:rsidP="00ED0E85">
      <w:pPr>
        <w:pStyle w:val="BodyText"/>
      </w:pPr>
      <w:r>
        <w:t>Note that there are some results that are not sensible, such as the impact of the energy price. The results we are interested in do not change whether this is included or excluded.</w:t>
      </w:r>
    </w:p>
    <w:p w14:paraId="3BE3AF2E" w14:textId="2978EB00"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C</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sidR="00AD3561">
        <w:rPr>
          <w:noProof/>
        </w:rPr>
        <w:instrText>C</w:instrText>
      </w:r>
      <w:r>
        <w:rPr>
          <w:noProof/>
        </w:rPr>
        <w:fldChar w:fldCharType="end"/>
      </w:r>
      <w:r w:rsidRPr="00695C93">
        <w:instrText xml:space="preserve">." </w:instrText>
      </w:r>
      <w:r w:rsidRPr="00695C93">
        <w:fldChar w:fldCharType="separate"/>
      </w:r>
      <w:r w:rsidR="00AD3561">
        <w:rPr>
          <w:noProof/>
        </w:rPr>
        <w:instrText>C</w:instrText>
      </w:r>
      <w:r w:rsidR="00AD356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C</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00AD3561" w:rsidRPr="00695C93">
        <w:rPr>
          <w:noProof/>
        </w:rPr>
        <w:instrText>6</w:instrText>
      </w:r>
      <w:r w:rsidRPr="00695C93">
        <w:fldChar w:fldCharType="end"/>
      </w:r>
      <w:r w:rsidRPr="00695C93">
        <w:instrText xml:space="preserve"> </w:instrText>
      </w:r>
      <w:r w:rsidRPr="00695C93">
        <w:fldChar w:fldCharType="separate"/>
      </w:r>
      <w:r w:rsidR="00AD3561">
        <w:rPr>
          <w:noProof/>
        </w:rPr>
        <w:instrText>1</w:instrText>
      </w:r>
      <w:r w:rsidRPr="00695C93">
        <w:fldChar w:fldCharType="end"/>
      </w:r>
      <w:r w:rsidRPr="00695C93">
        <w:instrText xml:space="preserve">" "" </w:instrText>
      </w:r>
      <w:r w:rsidRPr="00695C93">
        <w:fldChar w:fldCharType="separate"/>
      </w:r>
      <w:bookmarkStart w:id="7945" w:name="_Caption2131"/>
      <w:bookmarkStart w:id="7946" w:name="_Caption0855"/>
      <w:bookmarkStart w:id="7947" w:name="_Caption7632"/>
      <w:bookmarkStart w:id="7948" w:name="_Caption7183"/>
      <w:bookmarkStart w:id="7949" w:name="_Caption5962"/>
      <w:bookmarkStart w:id="7950" w:name="_Caption0460"/>
      <w:bookmarkStart w:id="7951" w:name="_Caption7750"/>
      <w:bookmarkStart w:id="7952" w:name="_Caption6874"/>
      <w:bookmarkStart w:id="7953" w:name="_Caption3550"/>
      <w:bookmarkStart w:id="7954" w:name="_Caption6482"/>
      <w:bookmarkStart w:id="7955" w:name="_Caption1583"/>
      <w:bookmarkStart w:id="7956" w:name="_Caption1379"/>
      <w:bookmarkStart w:id="7957" w:name="_Caption8718"/>
      <w:bookmarkStart w:id="7958" w:name="_Caption4603"/>
      <w:bookmarkStart w:id="7959" w:name="_Caption8333"/>
      <w:bookmarkStart w:id="7960" w:name="_Caption9807"/>
      <w:bookmarkStart w:id="7961" w:name="_Caption6546"/>
      <w:bookmarkStart w:id="7962" w:name="_Caption5129"/>
      <w:bookmarkStart w:id="7963" w:name="_Caption9554"/>
      <w:bookmarkStart w:id="7964" w:name="_Caption2428"/>
      <w:bookmarkStart w:id="7965" w:name="_Caption7821"/>
      <w:bookmarkStart w:id="7966" w:name="_Caption0864"/>
      <w:bookmarkStart w:id="7967" w:name="_Caption9349"/>
      <w:bookmarkStart w:id="7968" w:name="_Caption6405"/>
      <w:bookmarkStart w:id="7969" w:name="_Caption7485"/>
      <w:bookmarkStart w:id="7970" w:name="_Caption5946"/>
      <w:bookmarkStart w:id="7971" w:name="_Caption0021"/>
      <w:bookmarkStart w:id="7972" w:name="_Caption8678"/>
      <w:bookmarkStart w:id="7973" w:name="_Caption8044"/>
      <w:bookmarkStart w:id="7974" w:name="_Caption4248"/>
      <w:bookmarkStart w:id="7975" w:name="_Caption6810"/>
      <w:bookmarkStart w:id="7976" w:name="_Caption3100"/>
      <w:bookmarkStart w:id="7977" w:name="_Caption9910"/>
      <w:bookmarkStart w:id="7978" w:name="_Caption7113"/>
      <w:bookmarkStart w:id="7979" w:name="_Caption4419"/>
      <w:bookmarkStart w:id="7980" w:name="_Caption6563"/>
      <w:bookmarkStart w:id="7981" w:name="_Caption3140"/>
      <w:bookmarkStart w:id="7982" w:name="_Caption7976"/>
      <w:bookmarkStart w:id="7983" w:name="_Caption7586"/>
      <w:bookmarkStart w:id="7984" w:name="_Caption9056"/>
      <w:bookmarkStart w:id="7985" w:name="_Caption9357"/>
      <w:bookmarkStart w:id="7986" w:name="_Caption2020"/>
      <w:bookmarkStart w:id="7987" w:name="_Caption0604"/>
      <w:bookmarkStart w:id="7988" w:name="_Caption0741"/>
      <w:bookmarkStart w:id="7989" w:name="_Caption6116"/>
      <w:bookmarkStart w:id="7990" w:name="_Caption3686"/>
      <w:bookmarkStart w:id="7991" w:name="_Caption1842"/>
      <w:bookmarkStart w:id="7992" w:name="_Caption6208"/>
      <w:bookmarkStart w:id="7993" w:name="_Caption7954"/>
      <w:bookmarkStart w:id="7994" w:name="_Caption5730"/>
      <w:bookmarkStart w:id="7995" w:name="_Caption0852"/>
      <w:bookmarkStart w:id="7996" w:name="_Caption8866"/>
      <w:bookmarkStart w:id="7997" w:name="_Caption5164"/>
      <w:bookmarkStart w:id="7998" w:name="_Caption5154"/>
      <w:bookmarkStart w:id="7999" w:name="_Caption7090"/>
      <w:bookmarkStart w:id="8000" w:name="_Caption1506"/>
      <w:bookmarkStart w:id="8001" w:name="_Caption8073"/>
      <w:bookmarkStart w:id="8002" w:name="_Caption8141"/>
      <w:bookmarkStart w:id="8003" w:name="_Caption7275"/>
      <w:bookmarkStart w:id="8004" w:name="_Caption4723"/>
      <w:bookmarkStart w:id="8005" w:name="_Caption7825"/>
      <w:bookmarkStart w:id="8006" w:name="_Caption8945"/>
      <w:bookmarkStart w:id="8007" w:name="_Caption0969"/>
      <w:bookmarkStart w:id="8008" w:name="_Caption5092"/>
      <w:bookmarkStart w:id="8009" w:name="_Caption8279"/>
      <w:bookmarkStart w:id="8010" w:name="_Caption3620"/>
      <w:bookmarkStart w:id="8011" w:name="_Caption7300"/>
      <w:bookmarkStart w:id="8012" w:name="_Caption0218"/>
      <w:bookmarkStart w:id="8013" w:name="_Caption5251"/>
      <w:bookmarkStart w:id="8014" w:name="_Caption9195"/>
      <w:bookmarkStart w:id="8015" w:name="_Caption9431"/>
      <w:bookmarkStart w:id="8016" w:name="_Caption2665"/>
      <w:bookmarkStart w:id="8017" w:name="_Caption7492"/>
      <w:bookmarkStart w:id="8018" w:name="_Caption1253"/>
      <w:bookmarkStart w:id="8019" w:name="_Caption7860"/>
      <w:bookmarkStart w:id="8020" w:name="_Caption5433"/>
      <w:bookmarkStart w:id="8021" w:name="_Caption8985"/>
      <w:bookmarkStart w:id="8022" w:name="_Caption1752"/>
      <w:bookmarkStart w:id="8023" w:name="_Caption5819"/>
      <w:bookmarkStart w:id="8024" w:name="_Caption0188"/>
      <w:bookmarkStart w:id="8025" w:name="_Caption7199"/>
      <w:bookmarkStart w:id="8026" w:name="_Caption5748"/>
      <w:bookmarkStart w:id="8027" w:name="_Caption4144"/>
      <w:bookmarkStart w:id="8028" w:name="_Caption0355"/>
      <w:bookmarkStart w:id="8029" w:name="_Caption6048"/>
      <w:bookmarkStart w:id="8030" w:name="_Caption8441"/>
      <w:bookmarkStart w:id="8031" w:name="_Caption3325"/>
      <w:bookmarkStart w:id="8032" w:name="_Caption8675"/>
      <w:bookmarkStart w:id="8033" w:name="_Caption3607"/>
      <w:bookmarkStart w:id="8034" w:name="_Toc19275674"/>
      <w:bookmarkStart w:id="8035" w:name="_Toc19276284"/>
      <w:bookmarkStart w:id="8036" w:name="_Toc19280283"/>
      <w:r w:rsidR="00C353B5">
        <w:rPr>
          <w:noProof/>
        </w:rPr>
        <w:t>C</w:t>
      </w:r>
      <w:r w:rsidR="00C353B5" w:rsidRPr="00695C93">
        <w:rPr>
          <w:noProof/>
        </w:rPr>
        <w:t>.</w:t>
      </w:r>
      <w:r w:rsidR="00C353B5">
        <w:rPr>
          <w:noProof/>
        </w:rPr>
        <w:t>1</w:t>
      </w:r>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r w:rsidRPr="00695C93">
        <w:fldChar w:fldCharType="end"/>
      </w:r>
      <w:r w:rsidRPr="00695C93">
        <w:tab/>
      </w:r>
      <w:r>
        <w:t>Change in star rating</w:t>
      </w:r>
      <w:bookmarkEnd w:id="8034"/>
      <w:bookmarkEnd w:id="8035"/>
      <w:bookmarkEnd w:id="8036"/>
    </w:p>
    <w:tbl>
      <w:tblPr>
        <w:tblW w:w="7946" w:type="dxa"/>
        <w:tblLook w:val="04A0" w:firstRow="1" w:lastRow="0" w:firstColumn="1" w:lastColumn="0" w:noHBand="0" w:noVBand="1"/>
      </w:tblPr>
      <w:tblGrid>
        <w:gridCol w:w="2067"/>
        <w:gridCol w:w="1029"/>
        <w:gridCol w:w="970"/>
        <w:gridCol w:w="970"/>
        <w:gridCol w:w="970"/>
        <w:gridCol w:w="970"/>
        <w:gridCol w:w="970"/>
      </w:tblGrid>
      <w:tr w:rsidR="00ED0E85" w:rsidRPr="00D17283" w14:paraId="2CF70DD8" w14:textId="77777777" w:rsidTr="00ED0E85">
        <w:trPr>
          <w:trHeight w:val="250"/>
        </w:trPr>
        <w:tc>
          <w:tcPr>
            <w:tcW w:w="2067" w:type="dxa"/>
            <w:shd w:val="clear" w:color="auto" w:fill="6F6652"/>
            <w:noWrap/>
            <w:tcMar>
              <w:left w:w="57" w:type="dxa"/>
              <w:right w:w="57" w:type="dxa"/>
            </w:tcMar>
            <w:hideMark/>
          </w:tcPr>
          <w:p w14:paraId="28C45586" w14:textId="77777777" w:rsidR="00ED0E85" w:rsidRPr="00D17283" w:rsidRDefault="00ED0E85" w:rsidP="00ED0E85">
            <w:pPr>
              <w:pStyle w:val="TableDataColumnHeading"/>
              <w:jc w:val="left"/>
            </w:pPr>
            <w:r w:rsidRPr="00D17283">
              <w:t>Variable</w:t>
            </w:r>
          </w:p>
        </w:tc>
        <w:tc>
          <w:tcPr>
            <w:tcW w:w="1029" w:type="dxa"/>
            <w:shd w:val="clear" w:color="auto" w:fill="6F6652"/>
            <w:noWrap/>
            <w:tcMar>
              <w:left w:w="57" w:type="dxa"/>
              <w:right w:w="57" w:type="dxa"/>
            </w:tcMar>
            <w:hideMark/>
          </w:tcPr>
          <w:p w14:paraId="0F11B90B" w14:textId="77777777" w:rsidR="00ED0E85" w:rsidRPr="00D17283" w:rsidRDefault="00ED0E85" w:rsidP="00ED0E85">
            <w:pPr>
              <w:pStyle w:val="TableDataColumnHeading"/>
            </w:pPr>
            <w:r w:rsidRPr="00D17283">
              <w:t>Coefficient</w:t>
            </w:r>
          </w:p>
        </w:tc>
        <w:tc>
          <w:tcPr>
            <w:tcW w:w="970" w:type="dxa"/>
            <w:shd w:val="clear" w:color="auto" w:fill="6F6652"/>
            <w:noWrap/>
            <w:tcMar>
              <w:left w:w="57" w:type="dxa"/>
              <w:right w:w="57" w:type="dxa"/>
            </w:tcMar>
            <w:hideMark/>
          </w:tcPr>
          <w:p w14:paraId="35F499C9" w14:textId="77777777" w:rsidR="00ED0E85" w:rsidRPr="00D17283" w:rsidRDefault="00ED0E85" w:rsidP="00ED0E85">
            <w:pPr>
              <w:pStyle w:val="TableDataColumnHeading"/>
            </w:pPr>
            <w:r w:rsidRPr="00D17283">
              <w:t>Standard error</w:t>
            </w:r>
          </w:p>
        </w:tc>
        <w:tc>
          <w:tcPr>
            <w:tcW w:w="970" w:type="dxa"/>
            <w:shd w:val="clear" w:color="auto" w:fill="6F6652"/>
            <w:noWrap/>
            <w:tcMar>
              <w:left w:w="57" w:type="dxa"/>
              <w:right w:w="57" w:type="dxa"/>
            </w:tcMar>
            <w:hideMark/>
          </w:tcPr>
          <w:p w14:paraId="03BC961B" w14:textId="77777777" w:rsidR="00ED0E85" w:rsidRPr="00D17283" w:rsidRDefault="00ED0E85" w:rsidP="00ED0E85">
            <w:pPr>
              <w:pStyle w:val="TableDataColumnHeading"/>
            </w:pPr>
            <w:r w:rsidRPr="00D17283">
              <w:t>t-value</w:t>
            </w:r>
          </w:p>
        </w:tc>
        <w:tc>
          <w:tcPr>
            <w:tcW w:w="970" w:type="dxa"/>
            <w:shd w:val="clear" w:color="auto" w:fill="6F6652"/>
            <w:noWrap/>
            <w:tcMar>
              <w:left w:w="57" w:type="dxa"/>
              <w:right w:w="57" w:type="dxa"/>
            </w:tcMar>
            <w:hideMark/>
          </w:tcPr>
          <w:p w14:paraId="74D7345D" w14:textId="77777777" w:rsidR="00ED0E85" w:rsidRPr="00D17283" w:rsidRDefault="00ED0E85" w:rsidP="00ED0E85">
            <w:pPr>
              <w:pStyle w:val="TableDataColumnHeading"/>
            </w:pPr>
            <w:r w:rsidRPr="00D17283">
              <w:t>P-value</w:t>
            </w:r>
          </w:p>
        </w:tc>
        <w:tc>
          <w:tcPr>
            <w:tcW w:w="970" w:type="dxa"/>
            <w:shd w:val="clear" w:color="auto" w:fill="6F6652"/>
            <w:noWrap/>
            <w:tcMar>
              <w:left w:w="57" w:type="dxa"/>
              <w:right w:w="57" w:type="dxa"/>
            </w:tcMar>
            <w:hideMark/>
          </w:tcPr>
          <w:p w14:paraId="7F00DA94" w14:textId="77777777" w:rsidR="00ED0E85" w:rsidRPr="00D17283" w:rsidRDefault="00ED0E85" w:rsidP="00ED0E85">
            <w:pPr>
              <w:pStyle w:val="TableDataColumnHeading"/>
            </w:pPr>
            <w:r w:rsidRPr="00D17283">
              <w:t>95% CI- low</w:t>
            </w:r>
          </w:p>
        </w:tc>
        <w:tc>
          <w:tcPr>
            <w:tcW w:w="970" w:type="dxa"/>
            <w:shd w:val="clear" w:color="auto" w:fill="6F6652"/>
            <w:noWrap/>
            <w:tcMar>
              <w:left w:w="57" w:type="dxa"/>
              <w:right w:w="57" w:type="dxa"/>
            </w:tcMar>
            <w:hideMark/>
          </w:tcPr>
          <w:p w14:paraId="5ECE5746" w14:textId="77777777" w:rsidR="00ED0E85" w:rsidRPr="00D17283" w:rsidRDefault="00ED0E85" w:rsidP="00ED0E85">
            <w:pPr>
              <w:pStyle w:val="TableDataColumnHeading"/>
            </w:pPr>
            <w:r w:rsidRPr="00D17283">
              <w:t>95% CI- high</w:t>
            </w:r>
          </w:p>
        </w:tc>
      </w:tr>
      <w:tr w:rsidR="00ED0E85" w:rsidRPr="00D17283" w14:paraId="2C4AAF6C" w14:textId="77777777" w:rsidTr="00ED0E85">
        <w:trPr>
          <w:trHeight w:val="250"/>
        </w:trPr>
        <w:tc>
          <w:tcPr>
            <w:tcW w:w="2067" w:type="dxa"/>
            <w:tcBorders>
              <w:bottom w:val="single" w:sz="8" w:space="0" w:color="FFFFFF" w:themeColor="background1"/>
            </w:tcBorders>
            <w:shd w:val="clear" w:color="auto" w:fill="auto"/>
            <w:noWrap/>
            <w:tcMar>
              <w:left w:w="57" w:type="dxa"/>
              <w:right w:w="57" w:type="dxa"/>
            </w:tcMar>
            <w:hideMark/>
          </w:tcPr>
          <w:p w14:paraId="1CDAE326" w14:textId="77777777" w:rsidR="00ED0E85" w:rsidRPr="00D17283" w:rsidRDefault="00ED0E85" w:rsidP="00ED0E85">
            <w:pPr>
              <w:pStyle w:val="TableUnit"/>
              <w:jc w:val="left"/>
            </w:pPr>
          </w:p>
        </w:tc>
        <w:tc>
          <w:tcPr>
            <w:tcW w:w="1029" w:type="dxa"/>
            <w:tcBorders>
              <w:bottom w:val="single" w:sz="8" w:space="0" w:color="FFFFFF" w:themeColor="background1"/>
            </w:tcBorders>
            <w:shd w:val="clear" w:color="auto" w:fill="auto"/>
            <w:noWrap/>
            <w:tcMar>
              <w:left w:w="57" w:type="dxa"/>
              <w:right w:w="57" w:type="dxa"/>
            </w:tcMar>
            <w:hideMark/>
          </w:tcPr>
          <w:p w14:paraId="1448EDD1" w14:textId="77777777" w:rsidR="00ED0E85" w:rsidRPr="00D17283" w:rsidRDefault="00ED0E85" w:rsidP="00ED0E85">
            <w:pPr>
              <w:pStyle w:val="TableUnit"/>
            </w:pPr>
            <w:r w:rsidRPr="00D17283">
              <w:t>No.</w:t>
            </w:r>
          </w:p>
        </w:tc>
        <w:tc>
          <w:tcPr>
            <w:tcW w:w="970" w:type="dxa"/>
            <w:tcBorders>
              <w:bottom w:val="single" w:sz="8" w:space="0" w:color="FFFFFF" w:themeColor="background1"/>
            </w:tcBorders>
            <w:shd w:val="clear" w:color="auto" w:fill="auto"/>
            <w:noWrap/>
            <w:tcMar>
              <w:left w:w="57" w:type="dxa"/>
              <w:right w:w="57" w:type="dxa"/>
            </w:tcMar>
            <w:hideMark/>
          </w:tcPr>
          <w:p w14:paraId="4CD82991" w14:textId="77777777" w:rsidR="00ED0E85" w:rsidRPr="00D17283" w:rsidRDefault="00ED0E85" w:rsidP="00ED0E85">
            <w:pPr>
              <w:pStyle w:val="TableUnit"/>
            </w:pPr>
            <w:r w:rsidRPr="00D17283">
              <w:t>No.</w:t>
            </w:r>
          </w:p>
        </w:tc>
        <w:tc>
          <w:tcPr>
            <w:tcW w:w="970" w:type="dxa"/>
            <w:tcBorders>
              <w:bottom w:val="single" w:sz="8" w:space="0" w:color="FFFFFF" w:themeColor="background1"/>
            </w:tcBorders>
            <w:shd w:val="clear" w:color="auto" w:fill="auto"/>
            <w:noWrap/>
            <w:tcMar>
              <w:left w:w="57" w:type="dxa"/>
              <w:right w:w="57" w:type="dxa"/>
            </w:tcMar>
            <w:hideMark/>
          </w:tcPr>
          <w:p w14:paraId="1BBF73D3" w14:textId="77777777" w:rsidR="00ED0E85" w:rsidRPr="00D17283" w:rsidRDefault="00ED0E85" w:rsidP="00ED0E85">
            <w:pPr>
              <w:pStyle w:val="TableUnit"/>
            </w:pPr>
            <w:r w:rsidRPr="00D17283">
              <w:t>No.</w:t>
            </w:r>
          </w:p>
        </w:tc>
        <w:tc>
          <w:tcPr>
            <w:tcW w:w="970" w:type="dxa"/>
            <w:tcBorders>
              <w:bottom w:val="single" w:sz="8" w:space="0" w:color="FFFFFF" w:themeColor="background1"/>
            </w:tcBorders>
            <w:shd w:val="clear" w:color="auto" w:fill="auto"/>
            <w:noWrap/>
            <w:tcMar>
              <w:left w:w="57" w:type="dxa"/>
              <w:right w:w="57" w:type="dxa"/>
            </w:tcMar>
            <w:hideMark/>
          </w:tcPr>
          <w:p w14:paraId="1ACB1875" w14:textId="77777777" w:rsidR="00ED0E85" w:rsidRPr="00D17283" w:rsidRDefault="00ED0E85" w:rsidP="00ED0E85">
            <w:pPr>
              <w:pStyle w:val="TableUnit"/>
            </w:pPr>
            <w:r w:rsidRPr="00D17283">
              <w:t>No.</w:t>
            </w:r>
          </w:p>
        </w:tc>
        <w:tc>
          <w:tcPr>
            <w:tcW w:w="970" w:type="dxa"/>
            <w:tcBorders>
              <w:bottom w:val="single" w:sz="8" w:space="0" w:color="FFFFFF" w:themeColor="background1"/>
            </w:tcBorders>
            <w:shd w:val="clear" w:color="auto" w:fill="auto"/>
            <w:noWrap/>
            <w:tcMar>
              <w:left w:w="57" w:type="dxa"/>
              <w:right w:w="57" w:type="dxa"/>
            </w:tcMar>
            <w:hideMark/>
          </w:tcPr>
          <w:p w14:paraId="7C75F9D2" w14:textId="77777777" w:rsidR="00ED0E85" w:rsidRPr="00D17283" w:rsidRDefault="00ED0E85" w:rsidP="00ED0E85">
            <w:pPr>
              <w:pStyle w:val="TableUnit"/>
            </w:pPr>
            <w:r w:rsidRPr="00D17283">
              <w:t>No.</w:t>
            </w:r>
          </w:p>
        </w:tc>
        <w:tc>
          <w:tcPr>
            <w:tcW w:w="970" w:type="dxa"/>
            <w:tcBorders>
              <w:bottom w:val="single" w:sz="8" w:space="0" w:color="FFFFFF" w:themeColor="background1"/>
            </w:tcBorders>
            <w:shd w:val="clear" w:color="auto" w:fill="auto"/>
            <w:noWrap/>
            <w:tcMar>
              <w:left w:w="57" w:type="dxa"/>
              <w:right w:w="57" w:type="dxa"/>
            </w:tcMar>
            <w:hideMark/>
          </w:tcPr>
          <w:p w14:paraId="54FDEBC4" w14:textId="77777777" w:rsidR="00ED0E85" w:rsidRPr="00D17283" w:rsidRDefault="00ED0E85" w:rsidP="00ED0E85">
            <w:pPr>
              <w:pStyle w:val="TableUnit"/>
            </w:pPr>
            <w:r w:rsidRPr="00D17283">
              <w:t>No.</w:t>
            </w:r>
          </w:p>
        </w:tc>
      </w:tr>
      <w:tr w:rsidR="00ED0E85" w:rsidRPr="00D17283" w14:paraId="77D5900B"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388751" w14:textId="77777777" w:rsidR="00ED0E85" w:rsidRPr="00D17283" w:rsidRDefault="00ED0E85" w:rsidP="00ED0E85">
            <w:pPr>
              <w:pStyle w:val="TableDataEntries"/>
              <w:jc w:val="left"/>
            </w:pPr>
            <w:r w:rsidRPr="00D17283">
              <w:t>Change in energy price</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AC1A66" w14:textId="77777777" w:rsidR="00ED0E85" w:rsidRPr="00D17283" w:rsidRDefault="00ED0E85" w:rsidP="00ED0E85">
            <w:pPr>
              <w:pStyle w:val="TableDataEntries"/>
            </w:pPr>
            <w:r w:rsidRPr="00D17283">
              <w:t>-0.23</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7D8B14" w14:textId="77777777" w:rsidR="00ED0E85" w:rsidRPr="00D17283" w:rsidRDefault="00ED0E85" w:rsidP="00ED0E85">
            <w:pPr>
              <w:pStyle w:val="TableDataEntries"/>
            </w:pPr>
            <w:r w:rsidRPr="00D17283">
              <w:t>0.15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4D57CD" w14:textId="77777777" w:rsidR="00ED0E85" w:rsidRPr="00D17283" w:rsidRDefault="00ED0E85" w:rsidP="00ED0E85">
            <w:pPr>
              <w:pStyle w:val="TableDataEntries"/>
            </w:pPr>
            <w:r w:rsidRPr="00D17283">
              <w:t>-1.58</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2E5600" w14:textId="77777777" w:rsidR="00ED0E85" w:rsidRPr="00D17283" w:rsidRDefault="00ED0E85" w:rsidP="00ED0E85">
            <w:pPr>
              <w:pStyle w:val="TableDataEntries"/>
            </w:pPr>
            <w:r w:rsidRPr="00D17283">
              <w:t>0.12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DA601A9" w14:textId="77777777" w:rsidR="00ED0E85" w:rsidRPr="00D17283" w:rsidRDefault="00ED0E85" w:rsidP="00ED0E85">
            <w:pPr>
              <w:pStyle w:val="TableDataEntries"/>
            </w:pPr>
            <w:r w:rsidRPr="00D17283">
              <w:t>-0.52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9A8B0F" w14:textId="77777777" w:rsidR="00ED0E85" w:rsidRPr="00D17283" w:rsidRDefault="00ED0E85" w:rsidP="00ED0E85">
            <w:pPr>
              <w:pStyle w:val="TableDataEntries"/>
            </w:pPr>
            <w:r w:rsidRPr="00D17283">
              <w:t>0.06</w:t>
            </w:r>
          </w:p>
        </w:tc>
      </w:tr>
      <w:tr w:rsidR="00ED0E85" w:rsidRPr="00D17283" w14:paraId="73AD3D33"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03EEC8" w14:textId="77777777" w:rsidR="00ED0E85" w:rsidRPr="00D17283" w:rsidRDefault="00ED0E85" w:rsidP="00ED0E85">
            <w:pPr>
              <w:pStyle w:val="TableDataEntries"/>
              <w:jc w:val="left"/>
            </w:pPr>
            <w:r w:rsidRPr="00D17283">
              <w:t>Rated prior to CBD</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EC4101" w14:textId="77777777" w:rsidR="00ED0E85" w:rsidRPr="00D17283" w:rsidRDefault="00ED0E85" w:rsidP="00ED0E85">
            <w:pPr>
              <w:pStyle w:val="TableDataEntries"/>
            </w:pPr>
            <w:r w:rsidRPr="00D17283">
              <w:t>-0.07</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868EBE" w14:textId="77777777" w:rsidR="00ED0E85" w:rsidRPr="00D17283" w:rsidRDefault="00ED0E85" w:rsidP="00ED0E85">
            <w:pPr>
              <w:pStyle w:val="TableDataEntries"/>
            </w:pPr>
            <w:r w:rsidRPr="00D17283">
              <w:t>0.05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1EDE86" w14:textId="77777777" w:rsidR="00ED0E85" w:rsidRPr="00D17283" w:rsidRDefault="00ED0E85" w:rsidP="00ED0E85">
            <w:pPr>
              <w:pStyle w:val="TableDataEntries"/>
            </w:pPr>
            <w:r w:rsidRPr="00D17283">
              <w:t>-1.44</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A4B89CD" w14:textId="77777777" w:rsidR="00ED0E85" w:rsidRPr="00D17283" w:rsidRDefault="00ED0E85" w:rsidP="00ED0E85">
            <w:pPr>
              <w:pStyle w:val="TableDataEntries"/>
            </w:pPr>
            <w:r w:rsidRPr="00D17283">
              <w:t>0.15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F2767C" w14:textId="77777777" w:rsidR="00ED0E85" w:rsidRPr="00D17283" w:rsidRDefault="00ED0E85" w:rsidP="00ED0E85">
            <w:pPr>
              <w:pStyle w:val="TableDataEntries"/>
            </w:pPr>
            <w:r w:rsidRPr="00D17283">
              <w:t>-0.16</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B833EF" w14:textId="77777777" w:rsidR="00ED0E85" w:rsidRPr="00D17283" w:rsidRDefault="00ED0E85" w:rsidP="00ED0E85">
            <w:pPr>
              <w:pStyle w:val="TableDataEntries"/>
            </w:pPr>
            <w:r w:rsidRPr="00D17283">
              <w:t>0.02</w:t>
            </w:r>
          </w:p>
        </w:tc>
      </w:tr>
      <w:tr w:rsidR="00ED0E85" w:rsidRPr="00D17283" w14:paraId="51DAAD5A"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811C483" w14:textId="77777777" w:rsidR="00ED0E85" w:rsidRPr="00D17283" w:rsidRDefault="00ED0E85" w:rsidP="00ED0E85">
            <w:pPr>
              <w:pStyle w:val="TableDataEntries"/>
              <w:jc w:val="left"/>
            </w:pPr>
            <w:r w:rsidRPr="00D17283">
              <w:t>Premium grade</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CACC083" w14:textId="77777777" w:rsidR="00ED0E85" w:rsidRPr="00D17283" w:rsidRDefault="00ED0E85" w:rsidP="00ED0E85">
            <w:pPr>
              <w:pStyle w:val="TableDataEntries"/>
            </w:pPr>
            <w:r w:rsidRPr="00D17283">
              <w:t>0.09</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A624325" w14:textId="77777777" w:rsidR="00ED0E85" w:rsidRPr="00D17283" w:rsidRDefault="00ED0E85" w:rsidP="00ED0E85">
            <w:pPr>
              <w:pStyle w:val="TableDataEntries"/>
            </w:pPr>
            <w:r w:rsidRPr="00D17283">
              <w:t>0.16</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B6CF50" w14:textId="77777777" w:rsidR="00ED0E85" w:rsidRPr="00D17283" w:rsidRDefault="00ED0E85" w:rsidP="00ED0E85">
            <w:pPr>
              <w:pStyle w:val="TableDataEntries"/>
            </w:pPr>
            <w:r w:rsidRPr="00D17283">
              <w:t>0.54</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3C06FB" w14:textId="77777777" w:rsidR="00ED0E85" w:rsidRPr="00D17283" w:rsidRDefault="00ED0E85" w:rsidP="00ED0E85">
            <w:pPr>
              <w:pStyle w:val="TableDataEntries"/>
            </w:pPr>
            <w:r w:rsidRPr="00D17283">
              <w:t>0.59</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E499A1" w14:textId="77777777" w:rsidR="00ED0E85" w:rsidRPr="00D17283" w:rsidRDefault="00ED0E85" w:rsidP="00ED0E85">
            <w:pPr>
              <w:pStyle w:val="TableDataEntries"/>
            </w:pPr>
            <w:r w:rsidRPr="00D17283">
              <w:t>-0.23</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E6BC81" w14:textId="77777777" w:rsidR="00ED0E85" w:rsidRPr="00D17283" w:rsidRDefault="00ED0E85" w:rsidP="00ED0E85">
            <w:pPr>
              <w:pStyle w:val="TableDataEntries"/>
            </w:pPr>
            <w:r w:rsidRPr="00D17283">
              <w:t>0.41</w:t>
            </w:r>
          </w:p>
        </w:tc>
      </w:tr>
      <w:tr w:rsidR="00ED0E85" w:rsidRPr="00D17283" w14:paraId="4332B5C6"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D3945B6" w14:textId="77777777" w:rsidR="00ED0E85" w:rsidRPr="00D17283" w:rsidRDefault="00ED0E85" w:rsidP="00ED0E85">
            <w:pPr>
              <w:pStyle w:val="TableDataEntries"/>
              <w:jc w:val="left"/>
            </w:pPr>
            <w:r w:rsidRPr="00D17283">
              <w:t>A grade</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34462A" w14:textId="77777777" w:rsidR="00ED0E85" w:rsidRPr="00D17283" w:rsidRDefault="00ED0E85" w:rsidP="00ED0E85">
            <w:pPr>
              <w:pStyle w:val="TableDataEntries"/>
            </w:pPr>
            <w:r w:rsidRPr="00D17283">
              <w:t>0.08</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5747413" w14:textId="77777777" w:rsidR="00ED0E85" w:rsidRPr="00D17283" w:rsidRDefault="00ED0E85" w:rsidP="00ED0E85">
            <w:pPr>
              <w:pStyle w:val="TableDataEntries"/>
            </w:pPr>
            <w:r w:rsidRPr="00D17283">
              <w:t>0.06</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F95ED4B" w14:textId="77777777" w:rsidR="00ED0E85" w:rsidRPr="00D17283" w:rsidRDefault="00ED0E85" w:rsidP="00ED0E85">
            <w:pPr>
              <w:pStyle w:val="TableDataEntries"/>
            </w:pPr>
            <w:r w:rsidRPr="00D17283">
              <w:t>1.40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BD41C4" w14:textId="77777777" w:rsidR="00ED0E85" w:rsidRPr="00D17283" w:rsidRDefault="00ED0E85" w:rsidP="00ED0E85">
            <w:pPr>
              <w:pStyle w:val="TableDataEntries"/>
            </w:pPr>
            <w:r w:rsidRPr="00D17283">
              <w:t>0.16</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90EF38" w14:textId="77777777" w:rsidR="00ED0E85" w:rsidRPr="00D17283" w:rsidRDefault="00ED0E85" w:rsidP="00ED0E85">
            <w:pPr>
              <w:pStyle w:val="TableDataEntries"/>
            </w:pPr>
            <w:r w:rsidRPr="00D17283">
              <w:t>-0.03</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B360A37" w14:textId="77777777" w:rsidR="00ED0E85" w:rsidRPr="00D17283" w:rsidRDefault="00ED0E85" w:rsidP="00ED0E85">
            <w:pPr>
              <w:pStyle w:val="TableDataEntries"/>
            </w:pPr>
            <w:r w:rsidRPr="00D17283">
              <w:t>0.19</w:t>
            </w:r>
          </w:p>
        </w:tc>
      </w:tr>
      <w:tr w:rsidR="00ED0E85" w:rsidRPr="00D17283" w14:paraId="62245869"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7445F3" w14:textId="77777777" w:rsidR="00ED0E85" w:rsidRPr="00D17283" w:rsidRDefault="00ED0E85" w:rsidP="00ED0E85">
            <w:pPr>
              <w:pStyle w:val="TableDataEntries"/>
              <w:jc w:val="left"/>
            </w:pPr>
            <w:r w:rsidRPr="00D17283">
              <w:t>B-D grade</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AC26AA" w14:textId="77777777" w:rsidR="00ED0E85" w:rsidRPr="00D17283" w:rsidRDefault="00ED0E85" w:rsidP="00ED0E85">
            <w:pPr>
              <w:pStyle w:val="TableDataEntries"/>
            </w:pPr>
            <w:r w:rsidRPr="00D17283">
              <w:t>-0.14</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5401C1" w14:textId="77777777" w:rsidR="00ED0E85" w:rsidRPr="00D17283" w:rsidRDefault="00ED0E85" w:rsidP="00ED0E85">
            <w:pPr>
              <w:pStyle w:val="TableDataEntries"/>
            </w:pPr>
            <w:r w:rsidRPr="00D17283">
              <w:t>0.06</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D41337" w14:textId="77777777" w:rsidR="00ED0E85" w:rsidRPr="00D17283" w:rsidRDefault="00ED0E85" w:rsidP="00ED0E85">
            <w:pPr>
              <w:pStyle w:val="TableDataEntries"/>
            </w:pPr>
            <w:r w:rsidRPr="00D17283">
              <w:t>-2.43</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CF21779" w14:textId="77777777" w:rsidR="00ED0E85" w:rsidRPr="00D17283" w:rsidRDefault="00ED0E85" w:rsidP="00ED0E85">
            <w:pPr>
              <w:pStyle w:val="TableDataEntries"/>
            </w:pPr>
            <w:r w:rsidRPr="00D17283">
              <w:t>0.02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7B4569" w14:textId="77777777" w:rsidR="00ED0E85" w:rsidRPr="00D17283" w:rsidRDefault="00ED0E85" w:rsidP="00ED0E85">
            <w:pPr>
              <w:pStyle w:val="TableDataEntries"/>
            </w:pPr>
            <w:r w:rsidRPr="00D17283">
              <w:t>-0.25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A22BFC9" w14:textId="77777777" w:rsidR="00ED0E85" w:rsidRPr="00D17283" w:rsidRDefault="00ED0E85" w:rsidP="00ED0E85">
            <w:pPr>
              <w:pStyle w:val="TableDataEntries"/>
            </w:pPr>
            <w:r w:rsidRPr="00D17283">
              <w:t>-0.03</w:t>
            </w:r>
          </w:p>
        </w:tc>
      </w:tr>
      <w:tr w:rsidR="00ED0E85" w:rsidRPr="00D17283" w14:paraId="0734DF16"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609E8B" w14:textId="77777777" w:rsidR="00ED0E85" w:rsidRPr="00D17283" w:rsidRDefault="00ED0E85" w:rsidP="00ED0E85">
            <w:pPr>
              <w:pStyle w:val="TableDataEntries"/>
              <w:jc w:val="left"/>
            </w:pPr>
            <w:r w:rsidRPr="00D17283">
              <w:t>&lt;2000</w:t>
            </w:r>
            <w:r>
              <w:t xml:space="preserve"> </w:t>
            </w:r>
            <w:r w:rsidRPr="00D17283">
              <w:t>m</w:t>
            </w:r>
            <w:r w:rsidRPr="009253DC">
              <w:rPr>
                <w:vertAlign w:val="superscript"/>
              </w:rPr>
              <w:t>2</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AF11A3" w14:textId="77777777" w:rsidR="00ED0E85" w:rsidRPr="00D17283" w:rsidRDefault="00ED0E85" w:rsidP="00ED0E85">
            <w:pPr>
              <w:pStyle w:val="TableDataEntries"/>
            </w:pPr>
            <w:r w:rsidRPr="00D17283">
              <w:t>-1.32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447D93" w14:textId="77777777" w:rsidR="00ED0E85" w:rsidRPr="00D17283" w:rsidRDefault="00ED0E85" w:rsidP="00ED0E85">
            <w:pPr>
              <w:pStyle w:val="TableDataEntries"/>
            </w:pPr>
            <w:r w:rsidRPr="00D17283">
              <w:t>0.20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921E56" w14:textId="77777777" w:rsidR="00ED0E85" w:rsidRPr="00D17283" w:rsidRDefault="00ED0E85" w:rsidP="00ED0E85">
            <w:pPr>
              <w:pStyle w:val="TableDataEntries"/>
            </w:pPr>
            <w:r w:rsidRPr="00D17283">
              <w:t>-6.55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5A289FB" w14:textId="77777777" w:rsidR="00ED0E85" w:rsidRPr="00D17283" w:rsidRDefault="00ED0E85" w:rsidP="00ED0E85">
            <w:pPr>
              <w:pStyle w:val="TableDataEntries"/>
            </w:pPr>
            <w:r w:rsidRPr="00D17283">
              <w:t>0.00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9439A0" w14:textId="77777777" w:rsidR="00ED0E85" w:rsidRPr="00D17283" w:rsidRDefault="00ED0E85" w:rsidP="00ED0E85">
            <w:pPr>
              <w:pStyle w:val="TableDataEntries"/>
            </w:pPr>
            <w:r w:rsidRPr="00D17283">
              <w:t>-1.72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7387FD" w14:textId="77777777" w:rsidR="00ED0E85" w:rsidRPr="00D17283" w:rsidRDefault="00ED0E85" w:rsidP="00ED0E85">
            <w:pPr>
              <w:pStyle w:val="TableDataEntries"/>
            </w:pPr>
            <w:r w:rsidRPr="00D17283">
              <w:t>-0.93</w:t>
            </w:r>
          </w:p>
        </w:tc>
      </w:tr>
      <w:tr w:rsidR="00ED0E85" w:rsidRPr="00D17283" w14:paraId="67DACB4E"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5F113B" w14:textId="77777777" w:rsidR="00ED0E85" w:rsidRPr="00D17283" w:rsidRDefault="00ED0E85" w:rsidP="00ED0E85">
            <w:pPr>
              <w:pStyle w:val="TableDataEntries"/>
              <w:jc w:val="left"/>
            </w:pPr>
            <w:r w:rsidRPr="00D17283">
              <w:t>2000-6000</w:t>
            </w:r>
            <w:r>
              <w:t xml:space="preserve"> </w:t>
            </w:r>
            <w:r w:rsidRPr="00D17283">
              <w:t>m</w:t>
            </w:r>
            <w:r w:rsidRPr="009253DC">
              <w:rPr>
                <w:vertAlign w:val="superscript"/>
              </w:rPr>
              <w:t>2</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24CDC9" w14:textId="77777777" w:rsidR="00ED0E85" w:rsidRPr="00D17283" w:rsidRDefault="00ED0E85" w:rsidP="00ED0E85">
            <w:pPr>
              <w:pStyle w:val="TableDataEntries"/>
            </w:pPr>
            <w:r w:rsidRPr="00D17283">
              <w:t>-0.34</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F7918D" w14:textId="77777777" w:rsidR="00ED0E85" w:rsidRPr="00D17283" w:rsidRDefault="00ED0E85" w:rsidP="00ED0E85">
            <w:pPr>
              <w:pStyle w:val="TableDataEntries"/>
            </w:pPr>
            <w:r w:rsidRPr="00D17283">
              <w:t>0.11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97BFE4" w14:textId="77777777" w:rsidR="00ED0E85" w:rsidRPr="00D17283" w:rsidRDefault="00ED0E85" w:rsidP="00ED0E85">
            <w:pPr>
              <w:pStyle w:val="TableDataEntries"/>
            </w:pPr>
            <w:r w:rsidRPr="00D17283">
              <w:t>-3.11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EA9566F" w14:textId="77777777" w:rsidR="00ED0E85" w:rsidRPr="00D17283" w:rsidRDefault="00ED0E85" w:rsidP="00ED0E85">
            <w:pPr>
              <w:pStyle w:val="TableDataEntries"/>
            </w:pPr>
            <w:r w:rsidRPr="00D17283">
              <w:t>0.00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65BA8B" w14:textId="77777777" w:rsidR="00ED0E85" w:rsidRPr="00D17283" w:rsidRDefault="00ED0E85" w:rsidP="00ED0E85">
            <w:pPr>
              <w:pStyle w:val="TableDataEntries"/>
            </w:pPr>
            <w:r w:rsidRPr="00D17283">
              <w:t>-0.56</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6B20E49" w14:textId="77777777" w:rsidR="00ED0E85" w:rsidRPr="00D17283" w:rsidRDefault="00ED0E85" w:rsidP="00ED0E85">
            <w:pPr>
              <w:pStyle w:val="TableDataEntries"/>
            </w:pPr>
            <w:r w:rsidRPr="00D17283">
              <w:t>-0.13</w:t>
            </w:r>
          </w:p>
        </w:tc>
      </w:tr>
      <w:tr w:rsidR="00ED0E85" w:rsidRPr="00D17283" w14:paraId="2E619A54"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B64AE6" w14:textId="77777777" w:rsidR="00ED0E85" w:rsidRPr="00D17283" w:rsidRDefault="00ED0E85" w:rsidP="00ED0E85">
            <w:pPr>
              <w:pStyle w:val="TableDataEntries"/>
              <w:jc w:val="left"/>
            </w:pPr>
            <w:r w:rsidRPr="00D17283">
              <w:t>6000-10,000</w:t>
            </w:r>
            <w:r>
              <w:t xml:space="preserve"> </w:t>
            </w:r>
            <w:r w:rsidRPr="00D17283">
              <w:t>m</w:t>
            </w:r>
            <w:r w:rsidRPr="009253DC">
              <w:rPr>
                <w:vertAlign w:val="superscript"/>
              </w:rPr>
              <w:t>2</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64320C" w14:textId="77777777" w:rsidR="00ED0E85" w:rsidRPr="00D17283" w:rsidRDefault="00ED0E85" w:rsidP="00ED0E85">
            <w:pPr>
              <w:pStyle w:val="TableDataEntries"/>
            </w:pPr>
            <w:r w:rsidRPr="00D17283">
              <w:t>-0.24</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1E0BDB0" w14:textId="77777777" w:rsidR="00ED0E85" w:rsidRPr="00D17283" w:rsidRDefault="00ED0E85" w:rsidP="00ED0E85">
            <w:pPr>
              <w:pStyle w:val="TableDataEntries"/>
            </w:pPr>
            <w:r w:rsidRPr="00D17283">
              <w:t>0.11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DA0626" w14:textId="77777777" w:rsidR="00ED0E85" w:rsidRPr="00D17283" w:rsidRDefault="00ED0E85" w:rsidP="00ED0E85">
            <w:pPr>
              <w:pStyle w:val="TableDataEntries"/>
            </w:pPr>
            <w:r w:rsidRPr="00D17283">
              <w:t>-2.29</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82A80ED" w14:textId="77777777" w:rsidR="00ED0E85" w:rsidRPr="00D17283" w:rsidRDefault="00ED0E85" w:rsidP="00ED0E85">
            <w:pPr>
              <w:pStyle w:val="TableDataEntries"/>
            </w:pPr>
            <w:r w:rsidRPr="00D17283">
              <w:t>0.02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A0C284" w14:textId="77777777" w:rsidR="00ED0E85" w:rsidRPr="00D17283" w:rsidRDefault="00ED0E85" w:rsidP="00ED0E85">
            <w:pPr>
              <w:pStyle w:val="TableDataEntries"/>
            </w:pPr>
            <w:r w:rsidRPr="00D17283">
              <w:t>-0.45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F530130" w14:textId="77777777" w:rsidR="00ED0E85" w:rsidRPr="00D17283" w:rsidRDefault="00ED0E85" w:rsidP="00ED0E85">
            <w:pPr>
              <w:pStyle w:val="TableDataEntries"/>
            </w:pPr>
            <w:r w:rsidRPr="00D17283">
              <w:t>-0.03</w:t>
            </w:r>
          </w:p>
        </w:tc>
      </w:tr>
      <w:tr w:rsidR="00ED0E85" w:rsidRPr="00D17283" w14:paraId="113C14C4"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6A6726" w14:textId="77777777" w:rsidR="00ED0E85" w:rsidRPr="00D17283" w:rsidRDefault="00ED0E85" w:rsidP="00ED0E85">
            <w:pPr>
              <w:pStyle w:val="TableDataEntries"/>
              <w:jc w:val="left"/>
            </w:pPr>
            <w:r w:rsidRPr="00D17283">
              <w:t>10,000-20,000</w:t>
            </w:r>
            <w:r>
              <w:t xml:space="preserve"> </w:t>
            </w:r>
            <w:r w:rsidRPr="00D17283">
              <w:t>m</w:t>
            </w:r>
            <w:r w:rsidRPr="009253DC">
              <w:rPr>
                <w:vertAlign w:val="superscript"/>
              </w:rPr>
              <w:t>2</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040675" w14:textId="77777777" w:rsidR="00ED0E85" w:rsidRPr="00D17283" w:rsidRDefault="00ED0E85" w:rsidP="00ED0E85">
            <w:pPr>
              <w:pStyle w:val="TableDataEntries"/>
            </w:pPr>
            <w:r w:rsidRPr="00D17283">
              <w:t>-0.12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7786E7A" w14:textId="77777777" w:rsidR="00ED0E85" w:rsidRPr="00D17283" w:rsidRDefault="00ED0E85" w:rsidP="00ED0E85">
            <w:pPr>
              <w:pStyle w:val="TableDataEntries"/>
            </w:pPr>
            <w:r w:rsidRPr="00D17283">
              <w:t>0.10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2330C18" w14:textId="77777777" w:rsidR="00ED0E85" w:rsidRPr="00D17283" w:rsidRDefault="00ED0E85" w:rsidP="00ED0E85">
            <w:pPr>
              <w:pStyle w:val="TableDataEntries"/>
            </w:pPr>
            <w:r w:rsidRPr="00D17283">
              <w:t>-1.18</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63E364" w14:textId="77777777" w:rsidR="00ED0E85" w:rsidRPr="00D17283" w:rsidRDefault="00ED0E85" w:rsidP="00ED0E85">
            <w:pPr>
              <w:pStyle w:val="TableDataEntries"/>
            </w:pPr>
            <w:r w:rsidRPr="00D17283">
              <w:t>0.24</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1731AC" w14:textId="77777777" w:rsidR="00ED0E85" w:rsidRPr="00D17283" w:rsidRDefault="00ED0E85" w:rsidP="00ED0E85">
            <w:pPr>
              <w:pStyle w:val="TableDataEntries"/>
            </w:pPr>
            <w:r w:rsidRPr="00D17283">
              <w:t>-0.32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ED94BC2" w14:textId="77777777" w:rsidR="00ED0E85" w:rsidRPr="00D17283" w:rsidRDefault="00ED0E85" w:rsidP="00ED0E85">
            <w:pPr>
              <w:pStyle w:val="TableDataEntries"/>
            </w:pPr>
            <w:r w:rsidRPr="00D17283">
              <w:t>0.08</w:t>
            </w:r>
          </w:p>
        </w:tc>
      </w:tr>
      <w:tr w:rsidR="00ED0E85" w:rsidRPr="00D17283" w14:paraId="425D2938"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F55B06" w14:textId="77777777" w:rsidR="00ED0E85" w:rsidRPr="00D17283" w:rsidRDefault="00ED0E85" w:rsidP="00ED0E85">
            <w:pPr>
              <w:pStyle w:val="TableDataEntries"/>
              <w:jc w:val="left"/>
            </w:pPr>
            <w:r w:rsidRPr="00D17283">
              <w:t>20,000-40,000</w:t>
            </w:r>
            <w:r>
              <w:t xml:space="preserve"> </w:t>
            </w:r>
            <w:r w:rsidRPr="00D17283">
              <w:t>m</w:t>
            </w:r>
            <w:r w:rsidRPr="009253DC">
              <w:rPr>
                <w:vertAlign w:val="superscript"/>
              </w:rPr>
              <w:t>2</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B1DB63" w14:textId="77777777" w:rsidR="00ED0E85" w:rsidRPr="00D17283" w:rsidRDefault="00ED0E85" w:rsidP="00ED0E85">
            <w:pPr>
              <w:pStyle w:val="TableDataEntries"/>
            </w:pPr>
            <w:r w:rsidRPr="00D17283">
              <w:t>0.01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D3A0F26" w14:textId="77777777" w:rsidR="00ED0E85" w:rsidRPr="00D17283" w:rsidRDefault="00ED0E85" w:rsidP="00ED0E85">
            <w:pPr>
              <w:pStyle w:val="TableDataEntries"/>
            </w:pPr>
            <w:r w:rsidRPr="00D17283">
              <w:t>0.10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6408C2" w14:textId="77777777" w:rsidR="00ED0E85" w:rsidRPr="00D17283" w:rsidRDefault="00ED0E85" w:rsidP="00ED0E85">
            <w:pPr>
              <w:pStyle w:val="TableDataEntries"/>
            </w:pPr>
            <w:r w:rsidRPr="00D17283">
              <w:t>0.07</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3B0E027" w14:textId="77777777" w:rsidR="00ED0E85" w:rsidRPr="00D17283" w:rsidRDefault="00ED0E85" w:rsidP="00ED0E85">
            <w:pPr>
              <w:pStyle w:val="TableDataEntries"/>
            </w:pPr>
            <w:r w:rsidRPr="00D17283">
              <w:t>0.94</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9424AB" w14:textId="77777777" w:rsidR="00ED0E85" w:rsidRPr="00D17283" w:rsidRDefault="00ED0E85" w:rsidP="00ED0E85">
            <w:pPr>
              <w:pStyle w:val="TableDataEntries"/>
            </w:pPr>
            <w:r w:rsidRPr="00D17283">
              <w:t>-0.19</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54F6832" w14:textId="77777777" w:rsidR="00ED0E85" w:rsidRPr="00D17283" w:rsidRDefault="00ED0E85" w:rsidP="00ED0E85">
            <w:pPr>
              <w:pStyle w:val="TableDataEntries"/>
            </w:pPr>
            <w:r w:rsidRPr="00D17283">
              <w:t>0.21</w:t>
            </w:r>
          </w:p>
        </w:tc>
      </w:tr>
      <w:tr w:rsidR="00ED0E85" w:rsidRPr="00D17283" w14:paraId="31982630"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032822" w14:textId="77777777" w:rsidR="00ED0E85" w:rsidRPr="00D17283" w:rsidRDefault="00ED0E85" w:rsidP="00ED0E85">
            <w:pPr>
              <w:pStyle w:val="TableDataEntries"/>
              <w:jc w:val="left"/>
            </w:pPr>
            <w:r w:rsidRPr="00D17283">
              <w:t>&gt;40,000</w:t>
            </w:r>
            <w:r>
              <w:t xml:space="preserve"> </w:t>
            </w:r>
            <w:r w:rsidRPr="00D17283">
              <w:t>m</w:t>
            </w:r>
            <w:r w:rsidRPr="009253DC">
              <w:rPr>
                <w:vertAlign w:val="superscript"/>
              </w:rPr>
              <w:t>2</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3274B37" w14:textId="77777777" w:rsidR="00ED0E85" w:rsidRPr="00D17283" w:rsidRDefault="00ED0E85" w:rsidP="00ED0E85">
            <w:pPr>
              <w:pStyle w:val="TableDataEntries"/>
            </w:pPr>
            <w:r w:rsidRPr="00D17283">
              <w:t>0.00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57D2C8F" w14:textId="77777777" w:rsidR="00ED0E85" w:rsidRPr="00D17283" w:rsidRDefault="00ED0E85" w:rsidP="00ED0E85">
            <w:pPr>
              <w:pStyle w:val="TableDataEntries"/>
            </w:pPr>
            <w:r w:rsidRPr="00D17283">
              <w:t>(omitted)</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2350E7" w14:textId="77777777" w:rsidR="00ED0E85" w:rsidRPr="00D17283" w:rsidRDefault="00ED0E85" w:rsidP="00ED0E85">
            <w:pPr>
              <w:pStyle w:val="TableDataEntries"/>
            </w:pP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BE3776B" w14:textId="77777777" w:rsidR="00ED0E85" w:rsidRPr="00D17283" w:rsidRDefault="00ED0E85" w:rsidP="00ED0E85">
            <w:pPr>
              <w:pStyle w:val="TableDataEntries"/>
              <w:rPr>
                <w:rFonts w:ascii="Times New Roman" w:hAnsi="Times New Roman"/>
                <w:sz w:val="20"/>
                <w:szCs w:val="20"/>
              </w:rPr>
            </w:pP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694B57" w14:textId="77777777" w:rsidR="00ED0E85" w:rsidRPr="00D17283" w:rsidRDefault="00ED0E85" w:rsidP="00ED0E85">
            <w:pPr>
              <w:pStyle w:val="TableDataEntries"/>
              <w:rPr>
                <w:rFonts w:ascii="Times New Roman" w:hAnsi="Times New Roman"/>
                <w:sz w:val="20"/>
                <w:szCs w:val="20"/>
              </w:rPr>
            </w:pP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7C3208" w14:textId="77777777" w:rsidR="00ED0E85" w:rsidRPr="00D17283" w:rsidRDefault="00ED0E85" w:rsidP="00ED0E85">
            <w:pPr>
              <w:pStyle w:val="TableDataEntries"/>
              <w:rPr>
                <w:rFonts w:ascii="Times New Roman" w:hAnsi="Times New Roman"/>
                <w:sz w:val="20"/>
                <w:szCs w:val="20"/>
              </w:rPr>
            </w:pPr>
          </w:p>
        </w:tc>
      </w:tr>
      <w:tr w:rsidR="00ED0E85" w:rsidRPr="00D17283" w14:paraId="34C399A2"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FDCBA4" w14:textId="77777777" w:rsidR="00ED0E85" w:rsidRPr="00D17283" w:rsidRDefault="00ED0E85" w:rsidP="00ED0E85">
            <w:pPr>
              <w:pStyle w:val="TableDataEntries"/>
              <w:jc w:val="left"/>
            </w:pPr>
            <w:r w:rsidRPr="00D17283">
              <w:t>NSW</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77A2202" w14:textId="77777777" w:rsidR="00ED0E85" w:rsidRPr="00D17283" w:rsidRDefault="00ED0E85" w:rsidP="00ED0E85">
            <w:pPr>
              <w:pStyle w:val="TableDataEntries"/>
            </w:pPr>
            <w:r w:rsidRPr="00D17283">
              <w:t>-0.03</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774884" w14:textId="77777777" w:rsidR="00ED0E85" w:rsidRPr="00D17283" w:rsidRDefault="00ED0E85" w:rsidP="00ED0E85">
            <w:pPr>
              <w:pStyle w:val="TableDataEntries"/>
            </w:pPr>
            <w:r w:rsidRPr="00D17283">
              <w:t>0.25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225ED15" w14:textId="77777777" w:rsidR="00ED0E85" w:rsidRPr="00D17283" w:rsidRDefault="00ED0E85" w:rsidP="00ED0E85">
            <w:pPr>
              <w:pStyle w:val="TableDataEntries"/>
            </w:pPr>
            <w:r w:rsidRPr="00D17283">
              <w:t>-0.10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0525A8" w14:textId="77777777" w:rsidR="00ED0E85" w:rsidRPr="00D17283" w:rsidRDefault="00ED0E85" w:rsidP="00ED0E85">
            <w:pPr>
              <w:pStyle w:val="TableDataEntries"/>
            </w:pPr>
            <w:r w:rsidRPr="00D17283">
              <w:t>0.92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826E82" w14:textId="77777777" w:rsidR="00ED0E85" w:rsidRPr="00D17283" w:rsidRDefault="00ED0E85" w:rsidP="00ED0E85">
            <w:pPr>
              <w:pStyle w:val="TableDataEntries"/>
            </w:pPr>
            <w:r w:rsidRPr="00D17283">
              <w:t>-0.52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AD627D9" w14:textId="77777777" w:rsidR="00ED0E85" w:rsidRPr="00D17283" w:rsidRDefault="00ED0E85" w:rsidP="00ED0E85">
            <w:pPr>
              <w:pStyle w:val="TableDataEntries"/>
            </w:pPr>
            <w:r w:rsidRPr="00D17283">
              <w:t>0.46</w:t>
            </w:r>
          </w:p>
        </w:tc>
      </w:tr>
      <w:tr w:rsidR="00ED0E85" w:rsidRPr="00D17283" w14:paraId="15E583E8"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E9A19C" w14:textId="77777777" w:rsidR="00ED0E85" w:rsidRPr="00D17283" w:rsidRDefault="00ED0E85" w:rsidP="00ED0E85">
            <w:pPr>
              <w:pStyle w:val="TableDataEntries"/>
              <w:jc w:val="left"/>
            </w:pPr>
            <w:r w:rsidRPr="00D17283">
              <w:t>VIC</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E9BBA1" w14:textId="77777777" w:rsidR="00ED0E85" w:rsidRPr="00D17283" w:rsidRDefault="00ED0E85" w:rsidP="00ED0E85">
            <w:pPr>
              <w:pStyle w:val="TableDataEntries"/>
            </w:pPr>
            <w:r w:rsidRPr="00D17283">
              <w:t>-0.21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D00726" w14:textId="77777777" w:rsidR="00ED0E85" w:rsidRPr="00D17283" w:rsidRDefault="00ED0E85" w:rsidP="00ED0E85">
            <w:pPr>
              <w:pStyle w:val="TableDataEntries"/>
            </w:pPr>
            <w:r w:rsidRPr="00D17283">
              <w:t>0.25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FAF19CB" w14:textId="77777777" w:rsidR="00ED0E85" w:rsidRPr="00D17283" w:rsidRDefault="00ED0E85" w:rsidP="00ED0E85">
            <w:pPr>
              <w:pStyle w:val="TableDataEntries"/>
            </w:pPr>
            <w:r w:rsidRPr="00D17283">
              <w:t>-0.84</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B7D442E" w14:textId="77777777" w:rsidR="00ED0E85" w:rsidRPr="00D17283" w:rsidRDefault="00ED0E85" w:rsidP="00ED0E85">
            <w:pPr>
              <w:pStyle w:val="TableDataEntries"/>
            </w:pPr>
            <w:r w:rsidRPr="00D17283">
              <w:t>0.40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FAD84D6" w14:textId="77777777" w:rsidR="00ED0E85" w:rsidRPr="00D17283" w:rsidRDefault="00ED0E85" w:rsidP="00ED0E85">
            <w:pPr>
              <w:pStyle w:val="TableDataEntries"/>
            </w:pPr>
            <w:r w:rsidRPr="00D17283">
              <w:t>-0.70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ECDBD56" w14:textId="77777777" w:rsidR="00ED0E85" w:rsidRPr="00D17283" w:rsidRDefault="00ED0E85" w:rsidP="00ED0E85">
            <w:pPr>
              <w:pStyle w:val="TableDataEntries"/>
            </w:pPr>
            <w:r w:rsidRPr="00D17283">
              <w:t>0.28</w:t>
            </w:r>
          </w:p>
        </w:tc>
      </w:tr>
      <w:tr w:rsidR="00ED0E85" w:rsidRPr="00D17283" w14:paraId="2A2BF32B"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10211D5" w14:textId="77777777" w:rsidR="00ED0E85" w:rsidRPr="00D17283" w:rsidRDefault="00ED0E85" w:rsidP="00ED0E85">
            <w:pPr>
              <w:pStyle w:val="TableDataEntries"/>
              <w:jc w:val="left"/>
            </w:pPr>
            <w:r w:rsidRPr="00D17283">
              <w:t>QLD</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72D4D8" w14:textId="77777777" w:rsidR="00ED0E85" w:rsidRPr="00D17283" w:rsidRDefault="00ED0E85" w:rsidP="00ED0E85">
            <w:pPr>
              <w:pStyle w:val="TableDataEntries"/>
            </w:pPr>
            <w:r w:rsidRPr="00D17283">
              <w:t>0.00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B5C52B6" w14:textId="77777777" w:rsidR="00ED0E85" w:rsidRPr="00D17283" w:rsidRDefault="00ED0E85" w:rsidP="00ED0E85">
            <w:pPr>
              <w:pStyle w:val="TableDataEntries"/>
            </w:pPr>
            <w:r w:rsidRPr="00D17283">
              <w:t>0.25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DDEDB3" w14:textId="77777777" w:rsidR="00ED0E85" w:rsidRPr="00D17283" w:rsidRDefault="00ED0E85" w:rsidP="00ED0E85">
            <w:pPr>
              <w:pStyle w:val="TableDataEntries"/>
            </w:pPr>
            <w:r w:rsidRPr="00D17283">
              <w:t>0.00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F4E735" w14:textId="77777777" w:rsidR="00ED0E85" w:rsidRPr="00D17283" w:rsidRDefault="00ED0E85" w:rsidP="00ED0E85">
            <w:pPr>
              <w:pStyle w:val="TableDataEntries"/>
            </w:pPr>
            <w:r w:rsidRPr="00D17283">
              <w:t>1.00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56CDC5" w14:textId="77777777" w:rsidR="00ED0E85" w:rsidRPr="00D17283" w:rsidRDefault="00ED0E85" w:rsidP="00ED0E85">
            <w:pPr>
              <w:pStyle w:val="TableDataEntries"/>
            </w:pPr>
            <w:r w:rsidRPr="00D17283">
              <w:t>-0.49</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20DF87" w14:textId="77777777" w:rsidR="00ED0E85" w:rsidRPr="00D17283" w:rsidRDefault="00ED0E85" w:rsidP="00ED0E85">
            <w:pPr>
              <w:pStyle w:val="TableDataEntries"/>
            </w:pPr>
            <w:r w:rsidRPr="00D17283">
              <w:t>0.49</w:t>
            </w:r>
          </w:p>
        </w:tc>
      </w:tr>
      <w:tr w:rsidR="00ED0E85" w:rsidRPr="00D17283" w14:paraId="7A14E386"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1C8A24" w14:textId="77777777" w:rsidR="00ED0E85" w:rsidRPr="00D17283" w:rsidRDefault="00ED0E85" w:rsidP="00ED0E85">
            <w:pPr>
              <w:pStyle w:val="TableDataEntries"/>
              <w:jc w:val="left"/>
            </w:pPr>
            <w:r w:rsidRPr="00D17283">
              <w:t>WA</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8EC78E5" w14:textId="77777777" w:rsidR="00ED0E85" w:rsidRPr="00D17283" w:rsidRDefault="00ED0E85" w:rsidP="00ED0E85">
            <w:pPr>
              <w:pStyle w:val="TableDataEntries"/>
            </w:pPr>
            <w:r w:rsidRPr="00D17283">
              <w:t>0.09</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E6BFBD" w14:textId="77777777" w:rsidR="00ED0E85" w:rsidRPr="00D17283" w:rsidRDefault="00ED0E85" w:rsidP="00ED0E85">
            <w:pPr>
              <w:pStyle w:val="TableDataEntries"/>
            </w:pPr>
            <w:r w:rsidRPr="00D17283">
              <w:t>0.25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566145" w14:textId="77777777" w:rsidR="00ED0E85" w:rsidRPr="00D17283" w:rsidRDefault="00ED0E85" w:rsidP="00ED0E85">
            <w:pPr>
              <w:pStyle w:val="TableDataEntries"/>
            </w:pPr>
            <w:r w:rsidRPr="00D17283">
              <w:t>0.36</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1DE62F7" w14:textId="77777777" w:rsidR="00ED0E85" w:rsidRPr="00D17283" w:rsidRDefault="00ED0E85" w:rsidP="00ED0E85">
            <w:pPr>
              <w:pStyle w:val="TableDataEntries"/>
            </w:pPr>
            <w:r w:rsidRPr="00D17283">
              <w:t>0.72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B8781D7" w14:textId="77777777" w:rsidR="00ED0E85" w:rsidRPr="00D17283" w:rsidRDefault="00ED0E85" w:rsidP="00ED0E85">
            <w:pPr>
              <w:pStyle w:val="TableDataEntries"/>
            </w:pPr>
            <w:r w:rsidRPr="00D17283">
              <w:t>-0.40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88CBBFE" w14:textId="77777777" w:rsidR="00ED0E85" w:rsidRPr="00D17283" w:rsidRDefault="00ED0E85" w:rsidP="00ED0E85">
            <w:pPr>
              <w:pStyle w:val="TableDataEntries"/>
            </w:pPr>
            <w:r w:rsidRPr="00D17283">
              <w:t>0.58</w:t>
            </w:r>
          </w:p>
        </w:tc>
      </w:tr>
      <w:tr w:rsidR="00ED0E85" w:rsidRPr="00D17283" w14:paraId="74767BF6"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E698D3C" w14:textId="77777777" w:rsidR="00ED0E85" w:rsidRPr="00D17283" w:rsidRDefault="00ED0E85" w:rsidP="00ED0E85">
            <w:pPr>
              <w:pStyle w:val="TableDataEntries"/>
              <w:jc w:val="left"/>
            </w:pPr>
            <w:r w:rsidRPr="00D17283">
              <w:t>SA</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5BEC86" w14:textId="77777777" w:rsidR="00ED0E85" w:rsidRPr="00D17283" w:rsidRDefault="00ED0E85" w:rsidP="00ED0E85">
            <w:pPr>
              <w:pStyle w:val="TableDataEntries"/>
            </w:pPr>
            <w:r w:rsidRPr="00D17283">
              <w:t>-0.10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B8D8D39" w14:textId="77777777" w:rsidR="00ED0E85" w:rsidRPr="00D17283" w:rsidRDefault="00ED0E85" w:rsidP="00ED0E85">
            <w:pPr>
              <w:pStyle w:val="TableDataEntries"/>
            </w:pPr>
            <w:r w:rsidRPr="00D17283">
              <w:t>0.26</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6F948F" w14:textId="77777777" w:rsidR="00ED0E85" w:rsidRPr="00D17283" w:rsidRDefault="00ED0E85" w:rsidP="00ED0E85">
            <w:pPr>
              <w:pStyle w:val="TableDataEntries"/>
            </w:pPr>
            <w:r w:rsidRPr="00D17283">
              <w:t>-0.38</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3A2FC0D" w14:textId="77777777" w:rsidR="00ED0E85" w:rsidRPr="00D17283" w:rsidRDefault="00ED0E85" w:rsidP="00ED0E85">
            <w:pPr>
              <w:pStyle w:val="TableDataEntries"/>
            </w:pPr>
            <w:r w:rsidRPr="00D17283">
              <w:t>0.70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EAC7136" w14:textId="77777777" w:rsidR="00ED0E85" w:rsidRPr="00D17283" w:rsidRDefault="00ED0E85" w:rsidP="00ED0E85">
            <w:pPr>
              <w:pStyle w:val="TableDataEntries"/>
            </w:pPr>
            <w:r w:rsidRPr="00D17283">
              <w:t>-0.61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8801370" w14:textId="77777777" w:rsidR="00ED0E85" w:rsidRPr="00D17283" w:rsidRDefault="00ED0E85" w:rsidP="00ED0E85">
            <w:pPr>
              <w:pStyle w:val="TableDataEntries"/>
            </w:pPr>
            <w:r w:rsidRPr="00D17283">
              <w:t>0.41</w:t>
            </w:r>
          </w:p>
        </w:tc>
      </w:tr>
      <w:tr w:rsidR="00ED0E85" w:rsidRPr="00D17283" w14:paraId="5D445F45"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7E8921" w14:textId="77777777" w:rsidR="00ED0E85" w:rsidRPr="00D17283" w:rsidRDefault="00ED0E85" w:rsidP="00ED0E85">
            <w:pPr>
              <w:pStyle w:val="TableDataEntries"/>
              <w:jc w:val="left"/>
            </w:pPr>
            <w:r w:rsidRPr="00D17283">
              <w:t>TAS</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5F54BD" w14:textId="77777777" w:rsidR="00ED0E85" w:rsidRPr="00D17283" w:rsidRDefault="00ED0E85" w:rsidP="00ED0E85">
            <w:pPr>
              <w:pStyle w:val="TableDataEntries"/>
            </w:pPr>
            <w:r w:rsidRPr="00D17283">
              <w:t>-0.12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1428E69" w14:textId="77777777" w:rsidR="00ED0E85" w:rsidRPr="00D17283" w:rsidRDefault="00ED0E85" w:rsidP="00ED0E85">
            <w:pPr>
              <w:pStyle w:val="TableDataEntries"/>
            </w:pPr>
            <w:r w:rsidRPr="00D17283">
              <w:t>0.37</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15E1684" w14:textId="77777777" w:rsidR="00ED0E85" w:rsidRPr="00D17283" w:rsidRDefault="00ED0E85" w:rsidP="00ED0E85">
            <w:pPr>
              <w:pStyle w:val="TableDataEntries"/>
            </w:pPr>
            <w:r w:rsidRPr="00D17283">
              <w:t>-0.34</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192A945" w14:textId="77777777" w:rsidR="00ED0E85" w:rsidRPr="00D17283" w:rsidRDefault="00ED0E85" w:rsidP="00ED0E85">
            <w:pPr>
              <w:pStyle w:val="TableDataEntries"/>
            </w:pPr>
            <w:r w:rsidRPr="00D17283">
              <w:t>0.73</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74A006" w14:textId="77777777" w:rsidR="00ED0E85" w:rsidRPr="00D17283" w:rsidRDefault="00ED0E85" w:rsidP="00ED0E85">
            <w:pPr>
              <w:pStyle w:val="TableDataEntries"/>
            </w:pPr>
            <w:r w:rsidRPr="00D17283">
              <w:t>-0.84</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2BC57E" w14:textId="77777777" w:rsidR="00ED0E85" w:rsidRPr="00D17283" w:rsidRDefault="00ED0E85" w:rsidP="00ED0E85">
            <w:pPr>
              <w:pStyle w:val="TableDataEntries"/>
            </w:pPr>
            <w:r w:rsidRPr="00D17283">
              <w:t>0.60</w:t>
            </w:r>
          </w:p>
        </w:tc>
      </w:tr>
      <w:tr w:rsidR="00ED0E85" w:rsidRPr="00D17283" w14:paraId="15AC9E6C"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307CB83" w14:textId="77777777" w:rsidR="00ED0E85" w:rsidRPr="00D17283" w:rsidRDefault="00ED0E85" w:rsidP="00ED0E85">
            <w:pPr>
              <w:pStyle w:val="TableDataEntries"/>
              <w:jc w:val="left"/>
            </w:pPr>
            <w:r w:rsidRPr="00D17283">
              <w:t>NT</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D171436" w14:textId="77777777" w:rsidR="00ED0E85" w:rsidRPr="00D17283" w:rsidRDefault="00ED0E85" w:rsidP="00ED0E85">
            <w:pPr>
              <w:pStyle w:val="TableDataEntries"/>
            </w:pPr>
            <w:r w:rsidRPr="00D17283">
              <w:t>0.00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6F6196" w14:textId="77777777" w:rsidR="00ED0E85" w:rsidRPr="00D17283" w:rsidRDefault="00ED0E85" w:rsidP="00ED0E85">
            <w:pPr>
              <w:pStyle w:val="TableDataEntries"/>
            </w:pPr>
            <w:r w:rsidRPr="00D17283">
              <w:t>(omitted)</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0FFAF01" w14:textId="77777777" w:rsidR="00ED0E85" w:rsidRPr="00D17283" w:rsidRDefault="00ED0E85" w:rsidP="00ED0E85">
            <w:pPr>
              <w:pStyle w:val="TableDataEntries"/>
            </w:pP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E9886A" w14:textId="77777777" w:rsidR="00ED0E85" w:rsidRPr="00D17283" w:rsidRDefault="00ED0E85" w:rsidP="00ED0E85">
            <w:pPr>
              <w:pStyle w:val="TableDataEntries"/>
              <w:rPr>
                <w:rFonts w:ascii="Times New Roman" w:hAnsi="Times New Roman"/>
                <w:sz w:val="20"/>
                <w:szCs w:val="20"/>
              </w:rPr>
            </w:pP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9231630" w14:textId="77777777" w:rsidR="00ED0E85" w:rsidRPr="00D17283" w:rsidRDefault="00ED0E85" w:rsidP="00ED0E85">
            <w:pPr>
              <w:pStyle w:val="TableDataEntries"/>
              <w:rPr>
                <w:rFonts w:ascii="Times New Roman" w:hAnsi="Times New Roman"/>
                <w:sz w:val="20"/>
                <w:szCs w:val="20"/>
              </w:rPr>
            </w:pP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216F473" w14:textId="77777777" w:rsidR="00ED0E85" w:rsidRPr="00D17283" w:rsidRDefault="00ED0E85" w:rsidP="00ED0E85">
            <w:pPr>
              <w:pStyle w:val="TableDataEntries"/>
              <w:rPr>
                <w:rFonts w:ascii="Times New Roman" w:hAnsi="Times New Roman"/>
                <w:sz w:val="20"/>
                <w:szCs w:val="20"/>
              </w:rPr>
            </w:pPr>
          </w:p>
        </w:tc>
      </w:tr>
      <w:tr w:rsidR="00ED0E85" w:rsidRPr="00D17283" w14:paraId="6A7CF841"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464305" w14:textId="77777777" w:rsidR="00ED0E85" w:rsidRPr="00D17283" w:rsidRDefault="00ED0E85" w:rsidP="00ED0E85">
            <w:pPr>
              <w:pStyle w:val="TableDataEntries"/>
              <w:jc w:val="left"/>
            </w:pPr>
            <w:r w:rsidRPr="00D17283">
              <w:t>ACT</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485C99F" w14:textId="77777777" w:rsidR="00ED0E85" w:rsidRPr="00D17283" w:rsidRDefault="00ED0E85" w:rsidP="00ED0E85">
            <w:pPr>
              <w:pStyle w:val="TableDataEntries"/>
            </w:pPr>
            <w:r w:rsidRPr="00D17283">
              <w:t>-0.01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949214" w14:textId="77777777" w:rsidR="00ED0E85" w:rsidRPr="00D17283" w:rsidRDefault="00ED0E85" w:rsidP="00ED0E85">
            <w:pPr>
              <w:pStyle w:val="TableDataEntries"/>
            </w:pPr>
            <w:r w:rsidRPr="00D17283">
              <w:t>0.25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DB507BF" w14:textId="77777777" w:rsidR="00ED0E85" w:rsidRPr="00D17283" w:rsidRDefault="00ED0E85" w:rsidP="00ED0E85">
            <w:pPr>
              <w:pStyle w:val="TableDataEntries"/>
            </w:pPr>
            <w:r w:rsidRPr="00D17283">
              <w:t>-0.04</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F6F53D" w14:textId="77777777" w:rsidR="00ED0E85" w:rsidRPr="00D17283" w:rsidRDefault="00ED0E85" w:rsidP="00ED0E85">
            <w:pPr>
              <w:pStyle w:val="TableDataEntries"/>
            </w:pPr>
            <w:r w:rsidRPr="00D17283">
              <w:t>0.97</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12B109B" w14:textId="77777777" w:rsidR="00ED0E85" w:rsidRPr="00D17283" w:rsidRDefault="00ED0E85" w:rsidP="00ED0E85">
            <w:pPr>
              <w:pStyle w:val="TableDataEntries"/>
            </w:pPr>
            <w:r w:rsidRPr="00D17283">
              <w:t>-0.51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28F648" w14:textId="77777777" w:rsidR="00ED0E85" w:rsidRPr="00D17283" w:rsidRDefault="00ED0E85" w:rsidP="00ED0E85">
            <w:pPr>
              <w:pStyle w:val="TableDataEntries"/>
            </w:pPr>
            <w:r w:rsidRPr="00D17283">
              <w:t>0.49</w:t>
            </w:r>
          </w:p>
        </w:tc>
      </w:tr>
      <w:tr w:rsidR="00ED0E85" w:rsidRPr="00D17283" w14:paraId="330AFA42"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4CB61F" w14:textId="77777777" w:rsidR="00ED0E85" w:rsidRPr="00D17283" w:rsidRDefault="00ED0E85" w:rsidP="00ED0E85">
            <w:pPr>
              <w:pStyle w:val="TableDataEntries"/>
              <w:jc w:val="left"/>
            </w:pPr>
            <w:r w:rsidRPr="00D17283">
              <w:t>Owner in GRESB</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4F39B4E" w14:textId="77777777" w:rsidR="00ED0E85" w:rsidRPr="00D17283" w:rsidRDefault="00ED0E85" w:rsidP="00ED0E85">
            <w:pPr>
              <w:pStyle w:val="TableDataEntries"/>
            </w:pPr>
            <w:r w:rsidRPr="00D17283">
              <w:t>-0.06</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099C33A" w14:textId="77777777" w:rsidR="00ED0E85" w:rsidRPr="00D17283" w:rsidRDefault="00ED0E85" w:rsidP="00ED0E85">
            <w:pPr>
              <w:pStyle w:val="TableDataEntries"/>
            </w:pPr>
            <w:r w:rsidRPr="00D17283">
              <w:t>0.05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5E32AEA" w14:textId="77777777" w:rsidR="00ED0E85" w:rsidRPr="00D17283" w:rsidRDefault="00ED0E85" w:rsidP="00ED0E85">
            <w:pPr>
              <w:pStyle w:val="TableDataEntries"/>
            </w:pPr>
            <w:r w:rsidRPr="00D17283">
              <w:t>-1.16</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6F2183F" w14:textId="77777777" w:rsidR="00ED0E85" w:rsidRPr="00D17283" w:rsidRDefault="00ED0E85" w:rsidP="00ED0E85">
            <w:pPr>
              <w:pStyle w:val="TableDataEntries"/>
            </w:pPr>
            <w:r w:rsidRPr="00D17283">
              <w:t>0.25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98E191" w14:textId="77777777" w:rsidR="00ED0E85" w:rsidRPr="00D17283" w:rsidRDefault="00ED0E85" w:rsidP="00ED0E85">
            <w:pPr>
              <w:pStyle w:val="TableDataEntries"/>
            </w:pPr>
            <w:r w:rsidRPr="00D17283">
              <w:t>-0.15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4127478" w14:textId="77777777" w:rsidR="00ED0E85" w:rsidRPr="00D17283" w:rsidRDefault="00ED0E85" w:rsidP="00ED0E85">
            <w:pPr>
              <w:pStyle w:val="TableDataEntries"/>
            </w:pPr>
            <w:r w:rsidRPr="00D17283">
              <w:t>0.04</w:t>
            </w:r>
          </w:p>
        </w:tc>
      </w:tr>
      <w:tr w:rsidR="00ED0E85" w:rsidRPr="00D17283" w14:paraId="7EFC4202"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72F8793" w14:textId="77777777" w:rsidR="00ED0E85" w:rsidRPr="00D17283" w:rsidRDefault="00ED0E85" w:rsidP="00ED0E85">
            <w:pPr>
              <w:pStyle w:val="TableDataEntries"/>
              <w:jc w:val="left"/>
            </w:pPr>
            <w:r w:rsidRPr="00D17283">
              <w:t>Number of ratings</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570E4D4" w14:textId="77777777" w:rsidR="00ED0E85" w:rsidRPr="00D17283" w:rsidRDefault="00ED0E85" w:rsidP="00ED0E85">
            <w:pPr>
              <w:pStyle w:val="TableDataEntries"/>
            </w:pPr>
            <w:r w:rsidRPr="00D17283">
              <w:t>0.19</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0744FF" w14:textId="77777777" w:rsidR="00ED0E85" w:rsidRPr="00D17283" w:rsidRDefault="00ED0E85" w:rsidP="00ED0E85">
            <w:pPr>
              <w:pStyle w:val="TableDataEntries"/>
            </w:pPr>
            <w:r w:rsidRPr="00D17283">
              <w:t>0.05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CEEDC61" w14:textId="77777777" w:rsidR="00ED0E85" w:rsidRPr="00D17283" w:rsidRDefault="00ED0E85" w:rsidP="00ED0E85">
            <w:pPr>
              <w:pStyle w:val="TableDataEntries"/>
            </w:pPr>
            <w:r w:rsidRPr="00D17283">
              <w:t>3.75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28944BE" w14:textId="77777777" w:rsidR="00ED0E85" w:rsidRPr="00D17283" w:rsidRDefault="00ED0E85" w:rsidP="00ED0E85">
            <w:pPr>
              <w:pStyle w:val="TableDataEntries"/>
            </w:pPr>
            <w:r w:rsidRPr="00D17283">
              <w:t>0.00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1ED5C8" w14:textId="77777777" w:rsidR="00ED0E85" w:rsidRPr="00D17283" w:rsidRDefault="00ED0E85" w:rsidP="00ED0E85">
            <w:pPr>
              <w:pStyle w:val="TableDataEntries"/>
            </w:pPr>
            <w:r w:rsidRPr="00D17283">
              <w:t>0.09</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4FC52AB" w14:textId="77777777" w:rsidR="00ED0E85" w:rsidRPr="00D17283" w:rsidRDefault="00ED0E85" w:rsidP="00ED0E85">
            <w:pPr>
              <w:pStyle w:val="TableDataEntries"/>
            </w:pPr>
            <w:r w:rsidRPr="00D17283">
              <w:t>0.29</w:t>
            </w:r>
          </w:p>
        </w:tc>
      </w:tr>
      <w:tr w:rsidR="00ED0E85" w:rsidRPr="00D17283" w14:paraId="15229B44"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7D4967" w14:textId="77777777" w:rsidR="00ED0E85" w:rsidRPr="00D17283" w:rsidRDefault="00ED0E85" w:rsidP="00ED0E85">
            <w:pPr>
              <w:pStyle w:val="TableDataEntries"/>
              <w:jc w:val="left"/>
            </w:pPr>
            <w:r w:rsidRPr="00D17283">
              <w:t>Number of ratings squared</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775C5DE" w14:textId="77777777" w:rsidR="00ED0E85" w:rsidRPr="00D17283" w:rsidRDefault="00ED0E85" w:rsidP="00ED0E85">
            <w:pPr>
              <w:pStyle w:val="TableDataEntries"/>
            </w:pPr>
            <w:r w:rsidRPr="00D17283">
              <w:t>-0.01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C349A23" w14:textId="77777777" w:rsidR="00ED0E85" w:rsidRPr="00D17283" w:rsidRDefault="00ED0E85" w:rsidP="00ED0E85">
            <w:pPr>
              <w:pStyle w:val="TableDataEntries"/>
            </w:pPr>
            <w:r w:rsidRPr="00D17283">
              <w:t>0.00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909E4F1" w14:textId="77777777" w:rsidR="00ED0E85" w:rsidRPr="00D17283" w:rsidRDefault="00ED0E85" w:rsidP="00ED0E85">
            <w:pPr>
              <w:pStyle w:val="TableDataEntries"/>
            </w:pPr>
            <w:r w:rsidRPr="00D17283">
              <w:t>-1.70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BA0BC2D" w14:textId="77777777" w:rsidR="00ED0E85" w:rsidRPr="00D17283" w:rsidRDefault="00ED0E85" w:rsidP="00ED0E85">
            <w:pPr>
              <w:pStyle w:val="TableDataEntries"/>
            </w:pPr>
            <w:r w:rsidRPr="00D17283">
              <w:t>0.09</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0600740" w14:textId="77777777" w:rsidR="00ED0E85" w:rsidRPr="00D17283" w:rsidRDefault="00ED0E85" w:rsidP="00ED0E85">
            <w:pPr>
              <w:pStyle w:val="TableDataEntries"/>
            </w:pPr>
            <w:r w:rsidRPr="00D17283">
              <w:t>-0.02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031AA8" w14:textId="77777777" w:rsidR="00ED0E85" w:rsidRPr="00D17283" w:rsidRDefault="00ED0E85" w:rsidP="00ED0E85">
            <w:pPr>
              <w:pStyle w:val="TableDataEntries"/>
            </w:pPr>
            <w:r w:rsidRPr="00D17283">
              <w:t>0.00</w:t>
            </w:r>
          </w:p>
        </w:tc>
      </w:tr>
      <w:tr w:rsidR="00ED0E85" w:rsidRPr="00D17283" w14:paraId="03CBF5F4"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BAB3952" w14:textId="77777777" w:rsidR="00ED0E85" w:rsidRPr="00D17283" w:rsidRDefault="00ED0E85" w:rsidP="00ED0E85">
            <w:pPr>
              <w:pStyle w:val="TableDataEntries"/>
              <w:jc w:val="left"/>
            </w:pPr>
            <w:r w:rsidRPr="00D17283">
              <w:t xml:space="preserve">First rating in CBD </w:t>
            </w:r>
            <w:r>
              <w:t>P</w:t>
            </w:r>
            <w:r w:rsidRPr="00D17283">
              <w:t>rogram</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2C2F2C8" w14:textId="77777777" w:rsidR="00ED0E85" w:rsidRPr="00D17283" w:rsidRDefault="00ED0E85" w:rsidP="00ED0E85">
            <w:pPr>
              <w:pStyle w:val="TableDataEntries"/>
            </w:pPr>
            <w:r w:rsidRPr="00D17283">
              <w:t>-0.41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BE89D07" w14:textId="77777777" w:rsidR="00ED0E85" w:rsidRPr="00D17283" w:rsidRDefault="00ED0E85" w:rsidP="00ED0E85">
            <w:pPr>
              <w:pStyle w:val="TableDataEntries"/>
            </w:pPr>
            <w:r w:rsidRPr="00D17283">
              <w:t>0.02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5DCDC21" w14:textId="77777777" w:rsidR="00ED0E85" w:rsidRPr="00D17283" w:rsidRDefault="00ED0E85" w:rsidP="00ED0E85">
            <w:pPr>
              <w:pStyle w:val="TableDataEntries"/>
            </w:pPr>
            <w:r w:rsidRPr="00D17283">
              <w:t>-23.22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4F59582" w14:textId="77777777" w:rsidR="00ED0E85" w:rsidRPr="00D17283" w:rsidRDefault="00ED0E85" w:rsidP="00ED0E85">
            <w:pPr>
              <w:pStyle w:val="TableDataEntries"/>
            </w:pPr>
            <w:r w:rsidRPr="00D17283">
              <w:t>0.00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C758CEB" w14:textId="77777777" w:rsidR="00ED0E85" w:rsidRPr="00D17283" w:rsidRDefault="00ED0E85" w:rsidP="00ED0E85">
            <w:pPr>
              <w:pStyle w:val="TableDataEntries"/>
            </w:pPr>
            <w:r w:rsidRPr="00D17283">
              <w:t>-0.45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4ABF466" w14:textId="77777777" w:rsidR="00ED0E85" w:rsidRPr="00D17283" w:rsidRDefault="00ED0E85" w:rsidP="00ED0E85">
            <w:pPr>
              <w:pStyle w:val="TableDataEntries"/>
            </w:pPr>
            <w:r w:rsidRPr="00D17283">
              <w:t>-0.38</w:t>
            </w:r>
          </w:p>
        </w:tc>
      </w:tr>
      <w:tr w:rsidR="00ED0E85" w:rsidRPr="00D17283" w14:paraId="309A3825" w14:textId="77777777" w:rsidTr="00ED0E85">
        <w:trPr>
          <w:trHeight w:val="250"/>
        </w:trPr>
        <w:tc>
          <w:tcPr>
            <w:tcW w:w="2067"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2A73FB9" w14:textId="77777777" w:rsidR="00ED0E85" w:rsidRPr="00D17283" w:rsidRDefault="00ED0E85" w:rsidP="00ED0E85">
            <w:pPr>
              <w:pStyle w:val="TableDataEntries"/>
              <w:jc w:val="left"/>
            </w:pPr>
            <w:r w:rsidRPr="00D17283">
              <w:t>Constant</w:t>
            </w:r>
          </w:p>
        </w:tc>
        <w:tc>
          <w:tcPr>
            <w:tcW w:w="1029"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25446AE2" w14:textId="77777777" w:rsidR="00ED0E85" w:rsidRPr="00D17283" w:rsidRDefault="00ED0E85" w:rsidP="00ED0E85">
            <w:pPr>
              <w:pStyle w:val="TableDataEntries"/>
            </w:pPr>
            <w:r w:rsidRPr="00D17283">
              <w:t>1.66</w:t>
            </w:r>
          </w:p>
        </w:tc>
        <w:tc>
          <w:tcPr>
            <w:tcW w:w="97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CC52F4D" w14:textId="77777777" w:rsidR="00ED0E85" w:rsidRPr="00D17283" w:rsidRDefault="00ED0E85" w:rsidP="00ED0E85">
            <w:pPr>
              <w:pStyle w:val="TableDataEntries"/>
            </w:pPr>
            <w:r w:rsidRPr="00D17283">
              <w:t>0.30</w:t>
            </w:r>
          </w:p>
        </w:tc>
        <w:tc>
          <w:tcPr>
            <w:tcW w:w="97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3B47696" w14:textId="77777777" w:rsidR="00ED0E85" w:rsidRPr="00D17283" w:rsidRDefault="00ED0E85" w:rsidP="00ED0E85">
            <w:pPr>
              <w:pStyle w:val="TableDataEntries"/>
            </w:pPr>
            <w:r w:rsidRPr="00D17283">
              <w:t>5.56</w:t>
            </w:r>
          </w:p>
        </w:tc>
        <w:tc>
          <w:tcPr>
            <w:tcW w:w="97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7D363B9E" w14:textId="77777777" w:rsidR="00ED0E85" w:rsidRPr="00D17283" w:rsidRDefault="00ED0E85" w:rsidP="00ED0E85">
            <w:pPr>
              <w:pStyle w:val="TableDataEntries"/>
            </w:pPr>
            <w:r w:rsidRPr="00D17283">
              <w:t>0.00</w:t>
            </w:r>
          </w:p>
        </w:tc>
        <w:tc>
          <w:tcPr>
            <w:tcW w:w="97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249A2884" w14:textId="77777777" w:rsidR="00ED0E85" w:rsidRPr="00D17283" w:rsidRDefault="00ED0E85" w:rsidP="00ED0E85">
            <w:pPr>
              <w:pStyle w:val="TableDataEntries"/>
            </w:pPr>
            <w:r w:rsidRPr="00D17283">
              <w:t>1.07</w:t>
            </w:r>
          </w:p>
        </w:tc>
        <w:tc>
          <w:tcPr>
            <w:tcW w:w="970"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49111D34" w14:textId="77777777" w:rsidR="00ED0E85" w:rsidRPr="00D17283" w:rsidRDefault="00ED0E85" w:rsidP="00ED0E85">
            <w:pPr>
              <w:pStyle w:val="TableDataEntries"/>
            </w:pPr>
            <w:r w:rsidRPr="00D17283">
              <w:t>2.24</w:t>
            </w:r>
          </w:p>
        </w:tc>
      </w:tr>
    </w:tbl>
    <w:p w14:paraId="2768BEA2" w14:textId="77777777" w:rsidR="00ED0E85" w:rsidRDefault="00ED0E85" w:rsidP="00ED0E85">
      <w:pPr>
        <w:pStyle w:val="Note"/>
      </w:pPr>
      <w:r w:rsidRPr="007D1B4F">
        <w:rPr>
          <w:i/>
        </w:rPr>
        <w:t>Note:</w:t>
      </w:r>
      <w:r w:rsidRPr="00E879B8">
        <w:t xml:space="preserve"> </w:t>
      </w:r>
      <w:r>
        <w:t>There are 1050 observations and the adjusted R2 is 40 per cent. Where a buildings grade is not known then it is not included in any category. The change in energy price is a percentage change based on 75 per cent electricity and 25 per cent gas.</w:t>
      </w:r>
    </w:p>
    <w:p w14:paraId="7866027F" w14:textId="77777777" w:rsidR="00ED0E85" w:rsidRDefault="00ED0E85" w:rsidP="00ED0E85">
      <w:pPr>
        <w:pStyle w:val="Source"/>
      </w:pPr>
      <w:r>
        <w:rPr>
          <w:i/>
        </w:rPr>
        <w:t>Source</w:t>
      </w:r>
      <w:r w:rsidRPr="00E4232C">
        <w:rPr>
          <w:i/>
        </w:rPr>
        <w:t>:</w:t>
      </w:r>
      <w:r>
        <w:t xml:space="preserve"> The CIE.</w:t>
      </w:r>
    </w:p>
    <w:p w14:paraId="7C7AC46F" w14:textId="6DB03B58"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C</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w:instrText>
      </w:r>
      <w:r>
        <w:rPr>
          <w:noProof/>
        </w:rPr>
        <w:fldChar w:fldCharType="begin"/>
      </w:r>
      <w:r>
        <w:rPr>
          <w:noProof/>
        </w:rPr>
        <w:instrText xml:space="preserve"> STYLEREF "Heading 1" \l \n </w:instrText>
      </w:r>
      <w:r>
        <w:rPr>
          <w:noProof/>
        </w:rPr>
        <w:fldChar w:fldCharType="separate"/>
      </w:r>
      <w:r>
        <w:rPr>
          <w:noProof/>
        </w:rPr>
        <w:instrText>2</w:instrText>
      </w:r>
      <w:r>
        <w:rPr>
          <w:noProof/>
        </w:rPr>
        <w:fldChar w:fldCharType="end"/>
      </w:r>
      <w:r w:rsidRPr="00695C93">
        <w:instrText xml:space="preserve">." </w:instrText>
      </w:r>
      <w:r w:rsidRPr="00695C93">
        <w:fldChar w:fldCharType="end"/>
      </w:r>
      <w:r w:rsidRPr="00695C93">
        <w:instrText>" "</w:instrText>
      </w:r>
      <w:r>
        <w:rPr>
          <w:noProof/>
        </w:rPr>
        <w:fldChar w:fldCharType="begin"/>
      </w:r>
      <w:r>
        <w:rPr>
          <w:noProof/>
        </w:rPr>
        <w:instrText xml:space="preserve"> STYLEREF "Heading 6" \l \n </w:instrText>
      </w:r>
      <w:r>
        <w:rPr>
          <w:noProof/>
        </w:rPr>
        <w:fldChar w:fldCharType="separate"/>
      </w:r>
      <w:r w:rsidR="00AD3561">
        <w:rPr>
          <w:noProof/>
        </w:rPr>
        <w:instrText>C</w:instrText>
      </w:r>
      <w:r>
        <w:rPr>
          <w:noProof/>
        </w:rPr>
        <w:fldChar w:fldCharType="end"/>
      </w:r>
      <w:r w:rsidRPr="00695C93">
        <w:instrText xml:space="preserve">." </w:instrText>
      </w:r>
      <w:r w:rsidRPr="00695C93">
        <w:fldChar w:fldCharType="separate"/>
      </w:r>
      <w:r w:rsidR="00AD3561">
        <w:rPr>
          <w:noProof/>
        </w:rPr>
        <w:instrText>C</w:instrText>
      </w:r>
      <w:r w:rsidR="00AD356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Pr>
          <w:noProof/>
        </w:rPr>
        <w:fldChar w:fldCharType="begin"/>
      </w:r>
      <w:r>
        <w:rPr>
          <w:noProof/>
        </w:rPr>
        <w:instrText xml:space="preserve"> STYLEREF "Heading 6" \l \n </w:instrText>
      </w:r>
      <w:r>
        <w:rPr>
          <w:noProof/>
        </w:rPr>
        <w:fldChar w:fldCharType="separate"/>
      </w:r>
      <w:r w:rsidR="00AD3561">
        <w:rPr>
          <w:noProof/>
        </w:rPr>
        <w:instrText>C</w:instrText>
      </w:r>
      <w:r>
        <w:rPr>
          <w:noProof/>
        </w:rPr>
        <w:fldChar w:fldCharType="end"/>
      </w:r>
      <w:r w:rsidRPr="00695C93">
        <w:instrText xml:space="preserve"> = 0 "</w:instrText>
      </w:r>
      <w:r w:rsidRPr="00695C93">
        <w:fldChar w:fldCharType="begin"/>
      </w:r>
      <w:r w:rsidRPr="00695C93">
        <w:instrText xml:space="preserve"> IF </w:instrText>
      </w:r>
      <w:r>
        <w:rPr>
          <w:noProof/>
        </w:rPr>
        <w:fldChar w:fldCharType="begin"/>
      </w:r>
      <w:r>
        <w:rPr>
          <w:noProof/>
        </w:rPr>
        <w:instrText xml:space="preserve"> STYLEREF "Heading 1" \l \n </w:instrText>
      </w:r>
      <w:r>
        <w:rPr>
          <w:noProof/>
        </w:rPr>
        <w:fldChar w:fldCharType="separate"/>
      </w:r>
      <w:r>
        <w:rPr>
          <w:noProof/>
        </w:rPr>
        <w:instrText>0</w:instrText>
      </w:r>
      <w:r>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00AD3561" w:rsidRPr="00695C93">
        <w:rPr>
          <w:noProof/>
        </w:rPr>
        <w:instrText>6</w:instrText>
      </w:r>
      <w:r w:rsidRPr="00695C93">
        <w:fldChar w:fldCharType="end"/>
      </w:r>
      <w:r w:rsidRPr="00695C93">
        <w:instrText xml:space="preserve"> </w:instrText>
      </w:r>
      <w:r w:rsidRPr="00695C93">
        <w:fldChar w:fldCharType="separate"/>
      </w:r>
      <w:r w:rsidR="00AD3561">
        <w:rPr>
          <w:noProof/>
        </w:rPr>
        <w:instrText>2</w:instrText>
      </w:r>
      <w:r w:rsidRPr="00695C93">
        <w:fldChar w:fldCharType="end"/>
      </w:r>
      <w:r w:rsidRPr="00695C93">
        <w:instrText xml:space="preserve">" "" </w:instrText>
      </w:r>
      <w:r w:rsidRPr="00695C93">
        <w:fldChar w:fldCharType="separate"/>
      </w:r>
      <w:bookmarkStart w:id="8037" w:name="_Caption3231"/>
      <w:bookmarkStart w:id="8038" w:name="_Caption3313"/>
      <w:bookmarkStart w:id="8039" w:name="_Caption7934"/>
      <w:bookmarkStart w:id="8040" w:name="_Caption2099"/>
      <w:bookmarkStart w:id="8041" w:name="_Caption5181"/>
      <w:bookmarkStart w:id="8042" w:name="_Caption0203"/>
      <w:bookmarkStart w:id="8043" w:name="_Caption4089"/>
      <w:bookmarkStart w:id="8044" w:name="_Caption3499"/>
      <w:bookmarkStart w:id="8045" w:name="_Caption6404"/>
      <w:bookmarkStart w:id="8046" w:name="_Caption9293"/>
      <w:bookmarkStart w:id="8047" w:name="_Caption1899"/>
      <w:bookmarkStart w:id="8048" w:name="_Caption8926"/>
      <w:bookmarkStart w:id="8049" w:name="_Caption4051"/>
      <w:bookmarkStart w:id="8050" w:name="_Caption7830"/>
      <w:bookmarkStart w:id="8051" w:name="_Caption5355"/>
      <w:bookmarkStart w:id="8052" w:name="_Caption7323"/>
      <w:bookmarkStart w:id="8053" w:name="_Caption3903"/>
      <w:bookmarkStart w:id="8054" w:name="_Caption2996"/>
      <w:bookmarkStart w:id="8055" w:name="_Caption0581"/>
      <w:bookmarkStart w:id="8056" w:name="_Caption2976"/>
      <w:bookmarkStart w:id="8057" w:name="_Caption7142"/>
      <w:bookmarkStart w:id="8058" w:name="_Caption1283"/>
      <w:bookmarkStart w:id="8059" w:name="_Caption0702"/>
      <w:bookmarkStart w:id="8060" w:name="_Caption2956"/>
      <w:bookmarkStart w:id="8061" w:name="_Caption5224"/>
      <w:bookmarkStart w:id="8062" w:name="_Caption7782"/>
      <w:bookmarkStart w:id="8063" w:name="_Caption7153"/>
      <w:bookmarkStart w:id="8064" w:name="_Caption7795"/>
      <w:bookmarkStart w:id="8065" w:name="_Caption6704"/>
      <w:bookmarkStart w:id="8066" w:name="_Caption0799"/>
      <w:bookmarkStart w:id="8067" w:name="_Caption5253"/>
      <w:bookmarkStart w:id="8068" w:name="_Caption6175"/>
      <w:bookmarkStart w:id="8069" w:name="_Caption5004"/>
      <w:bookmarkStart w:id="8070" w:name="_Caption2150"/>
      <w:bookmarkStart w:id="8071" w:name="_Caption9779"/>
      <w:bookmarkStart w:id="8072" w:name="_Caption5365"/>
      <w:bookmarkStart w:id="8073" w:name="_Caption3041"/>
      <w:bookmarkStart w:id="8074" w:name="_Caption5100"/>
      <w:bookmarkStart w:id="8075" w:name="_Caption6445"/>
      <w:bookmarkStart w:id="8076" w:name="_Caption2281"/>
      <w:bookmarkStart w:id="8077" w:name="_Caption7096"/>
      <w:bookmarkStart w:id="8078" w:name="_Caption2937"/>
      <w:bookmarkStart w:id="8079" w:name="_Caption7823"/>
      <w:bookmarkStart w:id="8080" w:name="_Caption5064"/>
      <w:bookmarkStart w:id="8081" w:name="_Caption1916"/>
      <w:bookmarkStart w:id="8082" w:name="_Caption2325"/>
      <w:bookmarkStart w:id="8083" w:name="_Caption9964"/>
      <w:bookmarkStart w:id="8084" w:name="_Caption6239"/>
      <w:bookmarkStart w:id="8085" w:name="_Caption9113"/>
      <w:bookmarkStart w:id="8086" w:name="_Caption4824"/>
      <w:bookmarkStart w:id="8087" w:name="_Caption7288"/>
      <w:bookmarkStart w:id="8088" w:name="_Caption2080"/>
      <w:bookmarkStart w:id="8089" w:name="_Caption6933"/>
      <w:bookmarkStart w:id="8090" w:name="_Caption5079"/>
      <w:bookmarkStart w:id="8091" w:name="_Caption9401"/>
      <w:bookmarkStart w:id="8092" w:name="_Caption3757"/>
      <w:bookmarkStart w:id="8093" w:name="_Caption3882"/>
      <w:bookmarkStart w:id="8094" w:name="_Caption3063"/>
      <w:bookmarkStart w:id="8095" w:name="_Caption3845"/>
      <w:bookmarkStart w:id="8096" w:name="_Caption1181"/>
      <w:bookmarkStart w:id="8097" w:name="_Caption5693"/>
      <w:bookmarkStart w:id="8098" w:name="_Caption5554"/>
      <w:bookmarkStart w:id="8099" w:name="_Caption0592"/>
      <w:bookmarkStart w:id="8100" w:name="_Caption8824"/>
      <w:bookmarkStart w:id="8101" w:name="_Caption3062"/>
      <w:bookmarkStart w:id="8102" w:name="_Caption7012"/>
      <w:bookmarkStart w:id="8103" w:name="_Caption3185"/>
      <w:bookmarkStart w:id="8104" w:name="_Caption0984"/>
      <w:bookmarkStart w:id="8105" w:name="_Caption4352"/>
      <w:bookmarkStart w:id="8106" w:name="_Caption3933"/>
      <w:bookmarkStart w:id="8107" w:name="_Caption7884"/>
      <w:bookmarkStart w:id="8108" w:name="_Caption5866"/>
      <w:bookmarkStart w:id="8109" w:name="_Caption5440"/>
      <w:bookmarkStart w:id="8110" w:name="_Caption7658"/>
      <w:bookmarkStart w:id="8111" w:name="_Caption8361"/>
      <w:bookmarkStart w:id="8112" w:name="_Caption0730"/>
      <w:bookmarkStart w:id="8113" w:name="_Caption9093"/>
      <w:bookmarkStart w:id="8114" w:name="_Caption6203"/>
      <w:bookmarkStart w:id="8115" w:name="_Caption7943"/>
      <w:bookmarkStart w:id="8116" w:name="_Caption5947"/>
      <w:bookmarkStart w:id="8117" w:name="_Caption7047"/>
      <w:bookmarkStart w:id="8118" w:name="_Caption0600"/>
      <w:bookmarkStart w:id="8119" w:name="_Caption0373"/>
      <w:bookmarkStart w:id="8120" w:name="_Caption9021"/>
      <w:bookmarkStart w:id="8121" w:name="_Caption0208"/>
      <w:bookmarkStart w:id="8122" w:name="_Caption0579"/>
      <w:bookmarkStart w:id="8123" w:name="_Caption5249"/>
      <w:bookmarkStart w:id="8124" w:name="_Caption3147"/>
      <w:bookmarkStart w:id="8125" w:name="_Caption2608"/>
      <w:bookmarkStart w:id="8126" w:name="_Toc19275675"/>
      <w:bookmarkStart w:id="8127" w:name="_Toc19276285"/>
      <w:bookmarkStart w:id="8128" w:name="_Toc19280284"/>
      <w:r w:rsidR="00C353B5">
        <w:rPr>
          <w:noProof/>
        </w:rPr>
        <w:t>C</w:t>
      </w:r>
      <w:r w:rsidR="00C353B5" w:rsidRPr="00695C93">
        <w:rPr>
          <w:noProof/>
        </w:rPr>
        <w:t>.</w:t>
      </w:r>
      <w:r w:rsidR="00C353B5">
        <w:rPr>
          <w:noProof/>
        </w:rPr>
        <w:t>2</w:t>
      </w:r>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r w:rsidRPr="00695C93">
        <w:fldChar w:fldCharType="end"/>
      </w:r>
      <w:r w:rsidRPr="00695C93">
        <w:tab/>
      </w:r>
      <w:r>
        <w:t>Change in energy use per m</w:t>
      </w:r>
      <w:r w:rsidRPr="009253DC">
        <w:rPr>
          <w:vertAlign w:val="superscript"/>
        </w:rPr>
        <w:t>2</w:t>
      </w:r>
      <w:bookmarkEnd w:id="8126"/>
      <w:bookmarkEnd w:id="8127"/>
      <w:bookmarkEnd w:id="8128"/>
    </w:p>
    <w:tbl>
      <w:tblPr>
        <w:tblW w:w="7946" w:type="dxa"/>
        <w:tblLook w:val="04A0" w:firstRow="1" w:lastRow="0" w:firstColumn="1" w:lastColumn="0" w:noHBand="0" w:noVBand="1"/>
      </w:tblPr>
      <w:tblGrid>
        <w:gridCol w:w="2067"/>
        <w:gridCol w:w="1029"/>
        <w:gridCol w:w="970"/>
        <w:gridCol w:w="970"/>
        <w:gridCol w:w="970"/>
        <w:gridCol w:w="970"/>
        <w:gridCol w:w="970"/>
      </w:tblGrid>
      <w:tr w:rsidR="00ED0E85" w:rsidRPr="00D17283" w14:paraId="3E93773A" w14:textId="77777777" w:rsidTr="00ED0E85">
        <w:trPr>
          <w:trHeight w:val="250"/>
        </w:trPr>
        <w:tc>
          <w:tcPr>
            <w:tcW w:w="2067" w:type="dxa"/>
            <w:shd w:val="clear" w:color="auto" w:fill="6F6652"/>
            <w:noWrap/>
            <w:tcMar>
              <w:left w:w="57" w:type="dxa"/>
              <w:right w:w="57" w:type="dxa"/>
            </w:tcMar>
            <w:hideMark/>
          </w:tcPr>
          <w:p w14:paraId="0CCED1BC" w14:textId="77777777" w:rsidR="00ED0E85" w:rsidRPr="00D17283" w:rsidRDefault="00ED0E85" w:rsidP="00ED0E85">
            <w:pPr>
              <w:pStyle w:val="TableDataColumnHeading"/>
              <w:jc w:val="left"/>
            </w:pPr>
            <w:r w:rsidRPr="00D17283">
              <w:t>Variable</w:t>
            </w:r>
          </w:p>
        </w:tc>
        <w:tc>
          <w:tcPr>
            <w:tcW w:w="1029" w:type="dxa"/>
            <w:shd w:val="clear" w:color="auto" w:fill="6F6652"/>
            <w:noWrap/>
            <w:tcMar>
              <w:left w:w="57" w:type="dxa"/>
              <w:right w:w="57" w:type="dxa"/>
            </w:tcMar>
            <w:hideMark/>
          </w:tcPr>
          <w:p w14:paraId="7550D310" w14:textId="77777777" w:rsidR="00ED0E85" w:rsidRPr="00D17283" w:rsidRDefault="00ED0E85" w:rsidP="00ED0E85">
            <w:pPr>
              <w:pStyle w:val="TableDataColumnHeading"/>
            </w:pPr>
            <w:r w:rsidRPr="00D17283">
              <w:t>Coefficient</w:t>
            </w:r>
          </w:p>
        </w:tc>
        <w:tc>
          <w:tcPr>
            <w:tcW w:w="970" w:type="dxa"/>
            <w:shd w:val="clear" w:color="auto" w:fill="6F6652"/>
            <w:noWrap/>
            <w:tcMar>
              <w:left w:w="57" w:type="dxa"/>
              <w:right w:w="57" w:type="dxa"/>
            </w:tcMar>
            <w:hideMark/>
          </w:tcPr>
          <w:p w14:paraId="38BE0EBD" w14:textId="77777777" w:rsidR="00ED0E85" w:rsidRPr="00D17283" w:rsidRDefault="00ED0E85" w:rsidP="00ED0E85">
            <w:pPr>
              <w:pStyle w:val="TableDataColumnHeading"/>
            </w:pPr>
            <w:r w:rsidRPr="00D17283">
              <w:t>Standard error</w:t>
            </w:r>
          </w:p>
        </w:tc>
        <w:tc>
          <w:tcPr>
            <w:tcW w:w="970" w:type="dxa"/>
            <w:shd w:val="clear" w:color="auto" w:fill="6F6652"/>
            <w:noWrap/>
            <w:tcMar>
              <w:left w:w="57" w:type="dxa"/>
              <w:right w:w="57" w:type="dxa"/>
            </w:tcMar>
            <w:hideMark/>
          </w:tcPr>
          <w:p w14:paraId="6E48414C" w14:textId="77777777" w:rsidR="00ED0E85" w:rsidRPr="00D17283" w:rsidRDefault="00ED0E85" w:rsidP="00ED0E85">
            <w:pPr>
              <w:pStyle w:val="TableDataColumnHeading"/>
            </w:pPr>
            <w:r w:rsidRPr="00D17283">
              <w:t>t-value</w:t>
            </w:r>
          </w:p>
        </w:tc>
        <w:tc>
          <w:tcPr>
            <w:tcW w:w="970" w:type="dxa"/>
            <w:shd w:val="clear" w:color="auto" w:fill="6F6652"/>
            <w:noWrap/>
            <w:tcMar>
              <w:left w:w="57" w:type="dxa"/>
              <w:right w:w="57" w:type="dxa"/>
            </w:tcMar>
            <w:hideMark/>
          </w:tcPr>
          <w:p w14:paraId="64FDFC3D" w14:textId="77777777" w:rsidR="00ED0E85" w:rsidRPr="00D17283" w:rsidRDefault="00ED0E85" w:rsidP="00ED0E85">
            <w:pPr>
              <w:pStyle w:val="TableDataColumnHeading"/>
            </w:pPr>
            <w:r w:rsidRPr="00D17283">
              <w:t>P-value</w:t>
            </w:r>
          </w:p>
        </w:tc>
        <w:tc>
          <w:tcPr>
            <w:tcW w:w="970" w:type="dxa"/>
            <w:shd w:val="clear" w:color="auto" w:fill="6F6652"/>
            <w:noWrap/>
            <w:tcMar>
              <w:left w:w="57" w:type="dxa"/>
              <w:right w:w="57" w:type="dxa"/>
            </w:tcMar>
            <w:hideMark/>
          </w:tcPr>
          <w:p w14:paraId="7EC2A545" w14:textId="77777777" w:rsidR="00ED0E85" w:rsidRPr="00D17283" w:rsidRDefault="00ED0E85" w:rsidP="00ED0E85">
            <w:pPr>
              <w:pStyle w:val="TableDataColumnHeading"/>
            </w:pPr>
            <w:r w:rsidRPr="00D17283">
              <w:t>95% CI- low</w:t>
            </w:r>
          </w:p>
        </w:tc>
        <w:tc>
          <w:tcPr>
            <w:tcW w:w="970" w:type="dxa"/>
            <w:shd w:val="clear" w:color="auto" w:fill="6F6652"/>
            <w:noWrap/>
            <w:tcMar>
              <w:left w:w="57" w:type="dxa"/>
              <w:right w:w="57" w:type="dxa"/>
            </w:tcMar>
            <w:hideMark/>
          </w:tcPr>
          <w:p w14:paraId="0C4B449A" w14:textId="77777777" w:rsidR="00ED0E85" w:rsidRPr="00D17283" w:rsidRDefault="00ED0E85" w:rsidP="00ED0E85">
            <w:pPr>
              <w:pStyle w:val="TableDataColumnHeading"/>
            </w:pPr>
            <w:r w:rsidRPr="00D17283">
              <w:t>95% CI- high</w:t>
            </w:r>
          </w:p>
        </w:tc>
      </w:tr>
      <w:tr w:rsidR="00ED0E85" w:rsidRPr="00D17283" w14:paraId="61283EAB" w14:textId="77777777" w:rsidTr="00ED0E85">
        <w:trPr>
          <w:trHeight w:val="250"/>
        </w:trPr>
        <w:tc>
          <w:tcPr>
            <w:tcW w:w="2067" w:type="dxa"/>
            <w:tcBorders>
              <w:bottom w:val="single" w:sz="8" w:space="0" w:color="FFFFFF" w:themeColor="background1"/>
            </w:tcBorders>
            <w:shd w:val="clear" w:color="auto" w:fill="auto"/>
            <w:noWrap/>
            <w:tcMar>
              <w:left w:w="57" w:type="dxa"/>
              <w:right w:w="57" w:type="dxa"/>
            </w:tcMar>
            <w:hideMark/>
          </w:tcPr>
          <w:p w14:paraId="3A51B726" w14:textId="77777777" w:rsidR="00ED0E85" w:rsidRPr="00D17283" w:rsidRDefault="00ED0E85" w:rsidP="00ED0E85">
            <w:pPr>
              <w:pStyle w:val="TableUnit"/>
              <w:jc w:val="left"/>
            </w:pPr>
          </w:p>
        </w:tc>
        <w:tc>
          <w:tcPr>
            <w:tcW w:w="1029" w:type="dxa"/>
            <w:tcBorders>
              <w:bottom w:val="single" w:sz="8" w:space="0" w:color="FFFFFF" w:themeColor="background1"/>
            </w:tcBorders>
            <w:shd w:val="clear" w:color="auto" w:fill="auto"/>
            <w:noWrap/>
            <w:tcMar>
              <w:left w:w="57" w:type="dxa"/>
              <w:right w:w="57" w:type="dxa"/>
            </w:tcMar>
            <w:hideMark/>
          </w:tcPr>
          <w:p w14:paraId="6BEC06CB" w14:textId="77777777" w:rsidR="00ED0E85" w:rsidRPr="00D17283" w:rsidRDefault="00ED0E85" w:rsidP="00ED0E85">
            <w:pPr>
              <w:pStyle w:val="TableUnit"/>
            </w:pPr>
            <w:r>
              <w:t>MJ/m</w:t>
            </w:r>
            <w:r w:rsidRPr="009253DC">
              <w:rPr>
                <w:vertAlign w:val="superscript"/>
              </w:rPr>
              <w:t>2</w:t>
            </w:r>
          </w:p>
        </w:tc>
        <w:tc>
          <w:tcPr>
            <w:tcW w:w="970" w:type="dxa"/>
            <w:tcBorders>
              <w:bottom w:val="single" w:sz="8" w:space="0" w:color="FFFFFF" w:themeColor="background1"/>
            </w:tcBorders>
            <w:shd w:val="clear" w:color="auto" w:fill="auto"/>
            <w:noWrap/>
            <w:tcMar>
              <w:left w:w="57" w:type="dxa"/>
              <w:right w:w="57" w:type="dxa"/>
            </w:tcMar>
            <w:hideMark/>
          </w:tcPr>
          <w:p w14:paraId="58CD795A" w14:textId="77777777" w:rsidR="00ED0E85" w:rsidRPr="00D17283" w:rsidRDefault="00ED0E85" w:rsidP="00ED0E85">
            <w:pPr>
              <w:pStyle w:val="TableUnit"/>
            </w:pPr>
            <w:r>
              <w:t>MJ/m</w:t>
            </w:r>
            <w:r w:rsidRPr="009253DC">
              <w:rPr>
                <w:vertAlign w:val="superscript"/>
              </w:rPr>
              <w:t>2</w:t>
            </w:r>
          </w:p>
        </w:tc>
        <w:tc>
          <w:tcPr>
            <w:tcW w:w="970" w:type="dxa"/>
            <w:tcBorders>
              <w:bottom w:val="single" w:sz="8" w:space="0" w:color="FFFFFF" w:themeColor="background1"/>
            </w:tcBorders>
            <w:shd w:val="clear" w:color="auto" w:fill="auto"/>
            <w:noWrap/>
            <w:tcMar>
              <w:left w:w="57" w:type="dxa"/>
              <w:right w:w="57" w:type="dxa"/>
            </w:tcMar>
            <w:hideMark/>
          </w:tcPr>
          <w:p w14:paraId="5DB56934" w14:textId="77777777" w:rsidR="00ED0E85" w:rsidRPr="00D17283" w:rsidRDefault="00ED0E85" w:rsidP="00ED0E85">
            <w:pPr>
              <w:pStyle w:val="TableUnit"/>
            </w:pPr>
            <w:r w:rsidRPr="00D17283">
              <w:t>No.</w:t>
            </w:r>
          </w:p>
        </w:tc>
        <w:tc>
          <w:tcPr>
            <w:tcW w:w="970" w:type="dxa"/>
            <w:tcBorders>
              <w:bottom w:val="single" w:sz="8" w:space="0" w:color="FFFFFF" w:themeColor="background1"/>
            </w:tcBorders>
            <w:shd w:val="clear" w:color="auto" w:fill="auto"/>
            <w:noWrap/>
            <w:tcMar>
              <w:left w:w="57" w:type="dxa"/>
              <w:right w:w="57" w:type="dxa"/>
            </w:tcMar>
            <w:hideMark/>
          </w:tcPr>
          <w:p w14:paraId="1391E53B" w14:textId="77777777" w:rsidR="00ED0E85" w:rsidRPr="00D17283" w:rsidRDefault="00ED0E85" w:rsidP="00ED0E85">
            <w:pPr>
              <w:pStyle w:val="TableUnit"/>
            </w:pPr>
            <w:r w:rsidRPr="00D17283">
              <w:t>No.</w:t>
            </w:r>
          </w:p>
        </w:tc>
        <w:tc>
          <w:tcPr>
            <w:tcW w:w="970" w:type="dxa"/>
            <w:tcBorders>
              <w:bottom w:val="single" w:sz="8" w:space="0" w:color="FFFFFF" w:themeColor="background1"/>
            </w:tcBorders>
            <w:shd w:val="clear" w:color="auto" w:fill="auto"/>
            <w:noWrap/>
            <w:tcMar>
              <w:left w:w="57" w:type="dxa"/>
              <w:right w:w="57" w:type="dxa"/>
            </w:tcMar>
            <w:hideMark/>
          </w:tcPr>
          <w:p w14:paraId="5F13CD24" w14:textId="77777777" w:rsidR="00ED0E85" w:rsidRPr="00D17283" w:rsidRDefault="00ED0E85" w:rsidP="00ED0E85">
            <w:pPr>
              <w:pStyle w:val="TableUnit"/>
            </w:pPr>
            <w:r>
              <w:t>MJ/m</w:t>
            </w:r>
            <w:r w:rsidRPr="009253DC">
              <w:rPr>
                <w:vertAlign w:val="superscript"/>
              </w:rPr>
              <w:t>2</w:t>
            </w:r>
          </w:p>
        </w:tc>
        <w:tc>
          <w:tcPr>
            <w:tcW w:w="970" w:type="dxa"/>
            <w:tcBorders>
              <w:bottom w:val="single" w:sz="8" w:space="0" w:color="FFFFFF" w:themeColor="background1"/>
            </w:tcBorders>
            <w:shd w:val="clear" w:color="auto" w:fill="auto"/>
            <w:noWrap/>
            <w:tcMar>
              <w:left w:w="57" w:type="dxa"/>
              <w:right w:w="57" w:type="dxa"/>
            </w:tcMar>
            <w:hideMark/>
          </w:tcPr>
          <w:p w14:paraId="15B1CD93" w14:textId="77777777" w:rsidR="00ED0E85" w:rsidRPr="00D17283" w:rsidRDefault="00ED0E85" w:rsidP="00ED0E85">
            <w:pPr>
              <w:pStyle w:val="TableUnit"/>
            </w:pPr>
            <w:r>
              <w:t>MJ/m</w:t>
            </w:r>
            <w:r w:rsidRPr="009253DC">
              <w:rPr>
                <w:vertAlign w:val="superscript"/>
              </w:rPr>
              <w:t>2</w:t>
            </w:r>
          </w:p>
        </w:tc>
      </w:tr>
      <w:tr w:rsidR="00ED0E85" w:rsidRPr="00D17283" w14:paraId="70965FAF"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FF8FDC9" w14:textId="77777777" w:rsidR="00ED0E85" w:rsidRPr="00D17283" w:rsidRDefault="00ED0E85" w:rsidP="00ED0E85">
            <w:pPr>
              <w:pStyle w:val="TableDataEntries"/>
              <w:jc w:val="left"/>
            </w:pPr>
            <w:r w:rsidRPr="00D17283">
              <w:t>Change in energy price</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E2CF5C9" w14:textId="77777777" w:rsidR="00ED0E85" w:rsidRDefault="00ED0E85" w:rsidP="00ED0E85">
            <w:pPr>
              <w:pStyle w:val="TableDataEntries"/>
            </w:pPr>
            <w:r>
              <w:t>65.0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DDE2431" w14:textId="77777777" w:rsidR="00ED0E85" w:rsidRDefault="00ED0E85" w:rsidP="00ED0E85">
            <w:pPr>
              <w:pStyle w:val="TableDataEntries"/>
            </w:pPr>
            <w:r>
              <w:t>26.4</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E1F5586" w14:textId="77777777" w:rsidR="00ED0E85" w:rsidRDefault="00ED0E85" w:rsidP="00ED0E85">
            <w:pPr>
              <w:pStyle w:val="TableDataEntries"/>
            </w:pPr>
            <w:r>
              <w:t>2.5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320DAD5" w14:textId="77777777" w:rsidR="00ED0E85" w:rsidRDefault="00ED0E85" w:rsidP="00ED0E85">
            <w:pPr>
              <w:pStyle w:val="TableDataEntries"/>
            </w:pPr>
            <w:r>
              <w:t>0.01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E77FF76" w14:textId="77777777" w:rsidR="00ED0E85" w:rsidRDefault="00ED0E85" w:rsidP="00ED0E85">
            <w:pPr>
              <w:pStyle w:val="TableDataEntries"/>
            </w:pPr>
            <w:r>
              <w:t>13.1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C9022DD" w14:textId="77777777" w:rsidR="00ED0E85" w:rsidRDefault="00ED0E85" w:rsidP="00ED0E85">
            <w:pPr>
              <w:pStyle w:val="TableDataEntries"/>
            </w:pPr>
            <w:r>
              <w:t>116.9</w:t>
            </w:r>
          </w:p>
        </w:tc>
      </w:tr>
      <w:tr w:rsidR="00ED0E85" w:rsidRPr="00D17283" w14:paraId="25555E35"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E1AFE3" w14:textId="77777777" w:rsidR="00ED0E85" w:rsidRPr="00D17283" w:rsidRDefault="00ED0E85" w:rsidP="00ED0E85">
            <w:pPr>
              <w:pStyle w:val="TableDataEntries"/>
              <w:jc w:val="left"/>
            </w:pPr>
            <w:r w:rsidRPr="00D17283">
              <w:t>Rated prior to CBD</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4258649" w14:textId="77777777" w:rsidR="00ED0E85" w:rsidRDefault="00ED0E85" w:rsidP="00ED0E85">
            <w:pPr>
              <w:pStyle w:val="TableDataEntries"/>
            </w:pPr>
            <w:r>
              <w:t>11.6</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E9D6ACB" w14:textId="77777777" w:rsidR="00ED0E85" w:rsidRDefault="00ED0E85" w:rsidP="00ED0E85">
            <w:pPr>
              <w:pStyle w:val="TableDataEntries"/>
            </w:pPr>
            <w:r>
              <w:t>8.5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816EA80" w14:textId="77777777" w:rsidR="00ED0E85" w:rsidRDefault="00ED0E85" w:rsidP="00ED0E85">
            <w:pPr>
              <w:pStyle w:val="TableDataEntries"/>
            </w:pPr>
            <w:r>
              <w:t>1.4</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22F1AFA" w14:textId="77777777" w:rsidR="00ED0E85" w:rsidRDefault="00ED0E85" w:rsidP="00ED0E85">
            <w:pPr>
              <w:pStyle w:val="TableDataEntries"/>
            </w:pPr>
            <w:r>
              <w:t>0.17</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42AA0A5" w14:textId="77777777" w:rsidR="00ED0E85" w:rsidRDefault="00ED0E85" w:rsidP="00ED0E85">
            <w:pPr>
              <w:pStyle w:val="TableDataEntries"/>
            </w:pPr>
            <w:r>
              <w:t>-5.1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26199C7" w14:textId="77777777" w:rsidR="00ED0E85" w:rsidRDefault="00ED0E85" w:rsidP="00ED0E85">
            <w:pPr>
              <w:pStyle w:val="TableDataEntries"/>
            </w:pPr>
            <w:r>
              <w:t>28.3</w:t>
            </w:r>
          </w:p>
        </w:tc>
      </w:tr>
      <w:tr w:rsidR="00ED0E85" w:rsidRPr="00D17283" w14:paraId="58EC38A8"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70BD4EB" w14:textId="77777777" w:rsidR="00ED0E85" w:rsidRPr="00D17283" w:rsidRDefault="00ED0E85" w:rsidP="00ED0E85">
            <w:pPr>
              <w:pStyle w:val="TableDataEntries"/>
              <w:jc w:val="left"/>
            </w:pPr>
            <w:r w:rsidRPr="00D17283">
              <w:t>Premium grade</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BF42804" w14:textId="77777777" w:rsidR="00ED0E85" w:rsidRDefault="00ED0E85" w:rsidP="00ED0E85">
            <w:pPr>
              <w:pStyle w:val="TableDataEntries"/>
            </w:pPr>
            <w:r>
              <w:t>7.2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0B009D4" w14:textId="77777777" w:rsidR="00ED0E85" w:rsidRDefault="00ED0E85" w:rsidP="00ED0E85">
            <w:pPr>
              <w:pStyle w:val="TableDataEntries"/>
            </w:pPr>
            <w:r>
              <w:t>29.1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C75E4E7" w14:textId="77777777" w:rsidR="00ED0E85" w:rsidRDefault="00ED0E85" w:rsidP="00ED0E85">
            <w:pPr>
              <w:pStyle w:val="TableDataEntries"/>
            </w:pPr>
            <w:r>
              <w:t>0.3</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1DB586C" w14:textId="77777777" w:rsidR="00ED0E85" w:rsidRDefault="00ED0E85" w:rsidP="00ED0E85">
            <w:pPr>
              <w:pStyle w:val="TableDataEntries"/>
            </w:pPr>
            <w:r>
              <w:t>0.81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6DBED4B" w14:textId="77777777" w:rsidR="00ED0E85" w:rsidRDefault="00ED0E85" w:rsidP="00ED0E85">
            <w:pPr>
              <w:pStyle w:val="TableDataEntries"/>
            </w:pPr>
            <w:r>
              <w:t>-49.9</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E2B29B6" w14:textId="77777777" w:rsidR="00ED0E85" w:rsidRDefault="00ED0E85" w:rsidP="00ED0E85">
            <w:pPr>
              <w:pStyle w:val="TableDataEntries"/>
            </w:pPr>
            <w:r>
              <w:t>64.3</w:t>
            </w:r>
          </w:p>
        </w:tc>
      </w:tr>
      <w:tr w:rsidR="00ED0E85" w:rsidRPr="00D17283" w14:paraId="5848A801"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9466383" w14:textId="77777777" w:rsidR="00ED0E85" w:rsidRPr="00D17283" w:rsidRDefault="00ED0E85" w:rsidP="00ED0E85">
            <w:pPr>
              <w:pStyle w:val="TableDataEntries"/>
              <w:jc w:val="left"/>
            </w:pPr>
            <w:r w:rsidRPr="00D17283">
              <w:t>A grade</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C649AAB" w14:textId="77777777" w:rsidR="00ED0E85" w:rsidRDefault="00ED0E85" w:rsidP="00ED0E85">
            <w:pPr>
              <w:pStyle w:val="TableDataEntries"/>
            </w:pPr>
            <w:r>
              <w:t>-8.8</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A8E522F" w14:textId="77777777" w:rsidR="00ED0E85" w:rsidRDefault="00ED0E85" w:rsidP="00ED0E85">
            <w:pPr>
              <w:pStyle w:val="TableDataEntries"/>
            </w:pPr>
            <w:r>
              <w:t>10.3</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0F3BA88" w14:textId="77777777" w:rsidR="00ED0E85" w:rsidRDefault="00ED0E85" w:rsidP="00ED0E85">
            <w:pPr>
              <w:pStyle w:val="TableDataEntries"/>
            </w:pPr>
            <w:r>
              <w:t>-0.9</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147A4A2" w14:textId="77777777" w:rsidR="00ED0E85" w:rsidRDefault="00ED0E85" w:rsidP="00ED0E85">
            <w:pPr>
              <w:pStyle w:val="TableDataEntries"/>
            </w:pPr>
            <w:r>
              <w:t>0.40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483C1A6" w14:textId="77777777" w:rsidR="00ED0E85" w:rsidRDefault="00ED0E85" w:rsidP="00ED0E85">
            <w:pPr>
              <w:pStyle w:val="TableDataEntries"/>
            </w:pPr>
            <w:r>
              <w:t>-29.1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DA90599" w14:textId="77777777" w:rsidR="00ED0E85" w:rsidRDefault="00ED0E85" w:rsidP="00ED0E85">
            <w:pPr>
              <w:pStyle w:val="TableDataEntries"/>
            </w:pPr>
            <w:r>
              <w:t>11.5</w:t>
            </w:r>
          </w:p>
        </w:tc>
      </w:tr>
      <w:tr w:rsidR="00ED0E85" w:rsidRPr="00D17283" w14:paraId="6D30A907"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6621E14" w14:textId="77777777" w:rsidR="00ED0E85" w:rsidRPr="00D17283" w:rsidRDefault="00ED0E85" w:rsidP="00ED0E85">
            <w:pPr>
              <w:pStyle w:val="TableDataEntries"/>
              <w:jc w:val="left"/>
            </w:pPr>
            <w:r w:rsidRPr="00D17283">
              <w:t>B-D grade</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D28DECD" w14:textId="77777777" w:rsidR="00ED0E85" w:rsidRDefault="00ED0E85" w:rsidP="00ED0E85">
            <w:pPr>
              <w:pStyle w:val="TableDataEntries"/>
            </w:pPr>
            <w:r>
              <w:t>20.7</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3F829EE" w14:textId="77777777" w:rsidR="00ED0E85" w:rsidRDefault="00ED0E85" w:rsidP="00ED0E85">
            <w:pPr>
              <w:pStyle w:val="TableDataEntries"/>
            </w:pPr>
            <w:r>
              <w:t>10.4</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26D3F91" w14:textId="77777777" w:rsidR="00ED0E85" w:rsidRDefault="00ED0E85" w:rsidP="00ED0E85">
            <w:pPr>
              <w:pStyle w:val="TableDataEntries"/>
            </w:pPr>
            <w:r>
              <w:t>2.0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42C68AE" w14:textId="77777777" w:rsidR="00ED0E85" w:rsidRDefault="00ED0E85" w:rsidP="00ED0E85">
            <w:pPr>
              <w:pStyle w:val="TableDataEntries"/>
            </w:pPr>
            <w:r>
              <w:t>0.05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6B8AE3B" w14:textId="77777777" w:rsidR="00ED0E85" w:rsidRDefault="00ED0E85" w:rsidP="00ED0E85">
            <w:pPr>
              <w:pStyle w:val="TableDataEntries"/>
            </w:pPr>
            <w:r>
              <w:t>0.3</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600F12B" w14:textId="77777777" w:rsidR="00ED0E85" w:rsidRDefault="00ED0E85" w:rsidP="00ED0E85">
            <w:pPr>
              <w:pStyle w:val="TableDataEntries"/>
            </w:pPr>
            <w:r>
              <w:t>41.0</w:t>
            </w:r>
          </w:p>
        </w:tc>
      </w:tr>
      <w:tr w:rsidR="00ED0E85" w:rsidRPr="00D17283" w14:paraId="613343AB"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ED16A66" w14:textId="77777777" w:rsidR="00ED0E85" w:rsidRPr="00D17283" w:rsidRDefault="00ED0E85" w:rsidP="00ED0E85">
            <w:pPr>
              <w:pStyle w:val="TableDataEntries"/>
              <w:jc w:val="left"/>
            </w:pPr>
            <w:r w:rsidRPr="00D17283">
              <w:t>&lt;2000m</w:t>
            </w:r>
            <w:r w:rsidRPr="009253DC">
              <w:rPr>
                <w:vertAlign w:val="superscript"/>
              </w:rPr>
              <w:t>2</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2EBCACF" w14:textId="77777777" w:rsidR="00ED0E85" w:rsidRDefault="00ED0E85" w:rsidP="00ED0E85">
            <w:pPr>
              <w:pStyle w:val="TableDataEntries"/>
            </w:pPr>
            <w:r>
              <w:t>180.2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AD0357F" w14:textId="77777777" w:rsidR="00ED0E85" w:rsidRDefault="00ED0E85" w:rsidP="00ED0E85">
            <w:pPr>
              <w:pStyle w:val="TableDataEntries"/>
            </w:pPr>
            <w:r>
              <w:t>36.3</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0A14238" w14:textId="77777777" w:rsidR="00ED0E85" w:rsidRDefault="00ED0E85" w:rsidP="00ED0E85">
            <w:pPr>
              <w:pStyle w:val="TableDataEntries"/>
            </w:pPr>
            <w:r>
              <w:t>5.0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5764C90" w14:textId="77777777" w:rsidR="00ED0E85" w:rsidRDefault="00ED0E85" w:rsidP="00ED0E85">
            <w:pPr>
              <w:pStyle w:val="TableDataEntries"/>
            </w:pPr>
            <w:r>
              <w:t>0.00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6641192" w14:textId="77777777" w:rsidR="00ED0E85" w:rsidRDefault="00ED0E85" w:rsidP="00ED0E85">
            <w:pPr>
              <w:pStyle w:val="TableDataEntries"/>
            </w:pPr>
            <w:r>
              <w:t>109.0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802DF0A" w14:textId="77777777" w:rsidR="00ED0E85" w:rsidRDefault="00ED0E85" w:rsidP="00ED0E85">
            <w:pPr>
              <w:pStyle w:val="TableDataEntries"/>
            </w:pPr>
            <w:r>
              <w:t>251.4</w:t>
            </w:r>
          </w:p>
        </w:tc>
      </w:tr>
      <w:tr w:rsidR="00ED0E85" w:rsidRPr="00D17283" w14:paraId="3251E571"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6B7EA71" w14:textId="77777777" w:rsidR="00ED0E85" w:rsidRPr="00D17283" w:rsidRDefault="00ED0E85" w:rsidP="00ED0E85">
            <w:pPr>
              <w:pStyle w:val="TableDataEntries"/>
              <w:jc w:val="left"/>
            </w:pPr>
            <w:r w:rsidRPr="00D17283">
              <w:t>2000-6000m</w:t>
            </w:r>
            <w:r w:rsidRPr="009253DC">
              <w:rPr>
                <w:vertAlign w:val="superscript"/>
              </w:rPr>
              <w:t>2</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8A99311" w14:textId="77777777" w:rsidR="00ED0E85" w:rsidRDefault="00ED0E85" w:rsidP="00ED0E85">
            <w:pPr>
              <w:pStyle w:val="TableDataEntries"/>
            </w:pPr>
            <w:r>
              <w:t>59.9</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C7BDED8" w14:textId="77777777" w:rsidR="00ED0E85" w:rsidRDefault="00ED0E85" w:rsidP="00ED0E85">
            <w:pPr>
              <w:pStyle w:val="TableDataEntries"/>
            </w:pPr>
            <w:r>
              <w:t>19.8</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7210559" w14:textId="77777777" w:rsidR="00ED0E85" w:rsidRDefault="00ED0E85" w:rsidP="00ED0E85">
            <w:pPr>
              <w:pStyle w:val="TableDataEntries"/>
            </w:pPr>
            <w:r>
              <w:t>3.0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8D6EAFF" w14:textId="77777777" w:rsidR="00ED0E85" w:rsidRDefault="00ED0E85" w:rsidP="00ED0E85">
            <w:pPr>
              <w:pStyle w:val="TableDataEntries"/>
            </w:pPr>
            <w:r>
              <w:t>0.00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801ECF0" w14:textId="77777777" w:rsidR="00ED0E85" w:rsidRDefault="00ED0E85" w:rsidP="00ED0E85">
            <w:pPr>
              <w:pStyle w:val="TableDataEntries"/>
            </w:pPr>
            <w:r>
              <w:t>21.1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CEB84C9" w14:textId="77777777" w:rsidR="00ED0E85" w:rsidRDefault="00ED0E85" w:rsidP="00ED0E85">
            <w:pPr>
              <w:pStyle w:val="TableDataEntries"/>
            </w:pPr>
            <w:r>
              <w:t>98.7</w:t>
            </w:r>
          </w:p>
        </w:tc>
      </w:tr>
      <w:tr w:rsidR="00ED0E85" w:rsidRPr="00D17283" w14:paraId="43FF3C9D"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ADBF267" w14:textId="77777777" w:rsidR="00ED0E85" w:rsidRPr="00D17283" w:rsidRDefault="00ED0E85" w:rsidP="00ED0E85">
            <w:pPr>
              <w:pStyle w:val="TableDataEntries"/>
              <w:jc w:val="left"/>
            </w:pPr>
            <w:r w:rsidRPr="00D17283">
              <w:t>6000-10,000m</w:t>
            </w:r>
            <w:r w:rsidRPr="009253DC">
              <w:rPr>
                <w:vertAlign w:val="superscript"/>
              </w:rPr>
              <w:t>2</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2EEFE6F" w14:textId="77777777" w:rsidR="00ED0E85" w:rsidRDefault="00ED0E85" w:rsidP="00ED0E85">
            <w:pPr>
              <w:pStyle w:val="TableDataEntries"/>
            </w:pPr>
            <w:r>
              <w:t>49.7</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5A3B7D3" w14:textId="77777777" w:rsidR="00ED0E85" w:rsidRDefault="00ED0E85" w:rsidP="00ED0E85">
            <w:pPr>
              <w:pStyle w:val="TableDataEntries"/>
            </w:pPr>
            <w:r>
              <w:t>19.1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4CFE8C7" w14:textId="77777777" w:rsidR="00ED0E85" w:rsidRDefault="00ED0E85" w:rsidP="00ED0E85">
            <w:pPr>
              <w:pStyle w:val="TableDataEntries"/>
            </w:pPr>
            <w:r>
              <w:t>2.6</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721ECF0" w14:textId="77777777" w:rsidR="00ED0E85" w:rsidRDefault="00ED0E85" w:rsidP="00ED0E85">
            <w:pPr>
              <w:pStyle w:val="TableDataEntries"/>
            </w:pPr>
            <w:r>
              <w:t>0.01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B8B9A70" w14:textId="77777777" w:rsidR="00ED0E85" w:rsidRDefault="00ED0E85" w:rsidP="00ED0E85">
            <w:pPr>
              <w:pStyle w:val="TableDataEntries"/>
            </w:pPr>
            <w:r>
              <w:t>12.4</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5B0A037" w14:textId="77777777" w:rsidR="00ED0E85" w:rsidRDefault="00ED0E85" w:rsidP="00ED0E85">
            <w:pPr>
              <w:pStyle w:val="TableDataEntries"/>
            </w:pPr>
            <w:r>
              <w:t>87.1</w:t>
            </w:r>
          </w:p>
        </w:tc>
      </w:tr>
      <w:tr w:rsidR="00ED0E85" w:rsidRPr="00D17283" w14:paraId="75E1828D"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1C53CAF" w14:textId="77777777" w:rsidR="00ED0E85" w:rsidRPr="00D17283" w:rsidRDefault="00ED0E85" w:rsidP="00ED0E85">
            <w:pPr>
              <w:pStyle w:val="TableDataEntries"/>
              <w:jc w:val="left"/>
            </w:pPr>
            <w:r w:rsidRPr="00D17283">
              <w:t>10,000-20,000m</w:t>
            </w:r>
            <w:r w:rsidRPr="009253DC">
              <w:rPr>
                <w:vertAlign w:val="superscript"/>
              </w:rPr>
              <w:t>2</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6B5E3C2" w14:textId="77777777" w:rsidR="00ED0E85" w:rsidRDefault="00ED0E85" w:rsidP="00ED0E85">
            <w:pPr>
              <w:pStyle w:val="TableDataEntries"/>
            </w:pPr>
            <w:r>
              <w:t>21.5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AEF6FAE" w14:textId="77777777" w:rsidR="00ED0E85" w:rsidRDefault="00ED0E85" w:rsidP="00ED0E85">
            <w:pPr>
              <w:pStyle w:val="TableDataEntries"/>
            </w:pPr>
            <w:r>
              <w:t>18.0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E9C36C3" w14:textId="77777777" w:rsidR="00ED0E85" w:rsidRDefault="00ED0E85" w:rsidP="00ED0E85">
            <w:pPr>
              <w:pStyle w:val="TableDataEntries"/>
            </w:pPr>
            <w:r>
              <w:t>1.2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9ED946F" w14:textId="77777777" w:rsidR="00ED0E85" w:rsidRDefault="00ED0E85" w:rsidP="00ED0E85">
            <w:pPr>
              <w:pStyle w:val="TableDataEntries"/>
            </w:pPr>
            <w:r>
              <w:t>0.23</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A6425A3" w14:textId="77777777" w:rsidR="00ED0E85" w:rsidRDefault="00ED0E85" w:rsidP="00ED0E85">
            <w:pPr>
              <w:pStyle w:val="TableDataEntries"/>
            </w:pPr>
            <w:r>
              <w:t>-13.8</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F04CAB5" w14:textId="77777777" w:rsidR="00ED0E85" w:rsidRDefault="00ED0E85" w:rsidP="00ED0E85">
            <w:pPr>
              <w:pStyle w:val="TableDataEntries"/>
            </w:pPr>
            <w:r>
              <w:t>56.8</w:t>
            </w:r>
          </w:p>
        </w:tc>
      </w:tr>
      <w:tr w:rsidR="00ED0E85" w:rsidRPr="00D17283" w14:paraId="2A526CEF"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675A64B7" w14:textId="77777777" w:rsidR="00ED0E85" w:rsidRPr="00D17283" w:rsidRDefault="00ED0E85" w:rsidP="00ED0E85">
            <w:pPr>
              <w:pStyle w:val="TableDataEntries"/>
              <w:jc w:val="left"/>
            </w:pPr>
            <w:r w:rsidRPr="00D17283">
              <w:t>20,000-40,000m</w:t>
            </w:r>
            <w:r w:rsidRPr="009253DC">
              <w:rPr>
                <w:vertAlign w:val="superscript"/>
              </w:rPr>
              <w:t>2</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1D6A650" w14:textId="77777777" w:rsidR="00ED0E85" w:rsidRDefault="00ED0E85" w:rsidP="00ED0E85">
            <w:pPr>
              <w:pStyle w:val="TableDataEntries"/>
            </w:pPr>
            <w:r>
              <w:t>4.0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2B6F8C4" w14:textId="77777777" w:rsidR="00ED0E85" w:rsidRDefault="00ED0E85" w:rsidP="00ED0E85">
            <w:pPr>
              <w:pStyle w:val="TableDataEntries"/>
            </w:pPr>
            <w:r>
              <w:t>18.5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0726FC3" w14:textId="77777777" w:rsidR="00ED0E85" w:rsidRDefault="00ED0E85" w:rsidP="00ED0E85">
            <w:pPr>
              <w:pStyle w:val="TableDataEntries"/>
            </w:pPr>
            <w:r>
              <w:t>0.2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1366FB7" w14:textId="77777777" w:rsidR="00ED0E85" w:rsidRDefault="00ED0E85" w:rsidP="00ED0E85">
            <w:pPr>
              <w:pStyle w:val="TableDataEntries"/>
            </w:pPr>
            <w:r>
              <w:t>0.83</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068C4A1" w14:textId="77777777" w:rsidR="00ED0E85" w:rsidRDefault="00ED0E85" w:rsidP="00ED0E85">
            <w:pPr>
              <w:pStyle w:val="TableDataEntries"/>
            </w:pPr>
            <w:r>
              <w:t>-32.3</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E4C25C9" w14:textId="77777777" w:rsidR="00ED0E85" w:rsidRDefault="00ED0E85" w:rsidP="00ED0E85">
            <w:pPr>
              <w:pStyle w:val="TableDataEntries"/>
            </w:pPr>
            <w:r>
              <w:t>40.2</w:t>
            </w:r>
          </w:p>
        </w:tc>
      </w:tr>
      <w:tr w:rsidR="00ED0E85" w:rsidRPr="00D17283" w14:paraId="6D93853C"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3729C94B" w14:textId="77777777" w:rsidR="00ED0E85" w:rsidRPr="00D17283" w:rsidRDefault="00ED0E85" w:rsidP="00ED0E85">
            <w:pPr>
              <w:pStyle w:val="TableDataEntries"/>
              <w:jc w:val="left"/>
            </w:pPr>
            <w:r w:rsidRPr="00D17283">
              <w:t>&gt;40,000m</w:t>
            </w:r>
            <w:r w:rsidRPr="009253DC">
              <w:rPr>
                <w:vertAlign w:val="superscript"/>
              </w:rPr>
              <w:t>2</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91C0C20" w14:textId="77777777" w:rsidR="00ED0E85" w:rsidRDefault="00ED0E85" w:rsidP="00ED0E85">
            <w:pPr>
              <w:pStyle w:val="TableDataEntries"/>
            </w:pPr>
            <w:r>
              <w:t>0.0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40A0536" w14:textId="77777777" w:rsidR="00ED0E85" w:rsidRDefault="00ED0E85" w:rsidP="00ED0E85">
            <w:pPr>
              <w:pStyle w:val="TableDataEntries"/>
            </w:pPr>
            <w:r>
              <w:t>(omitted)</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F76BD70" w14:textId="77777777" w:rsidR="00ED0E85" w:rsidRDefault="00ED0E85" w:rsidP="00ED0E85">
            <w:pPr>
              <w:pStyle w:val="TableDataEntries"/>
            </w:pP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94E3CD6" w14:textId="77777777" w:rsidR="00ED0E85" w:rsidRDefault="00ED0E85" w:rsidP="00ED0E85">
            <w:pPr>
              <w:pStyle w:val="TableDataEntries"/>
              <w:rPr>
                <w:sz w:val="20"/>
                <w:szCs w:val="20"/>
              </w:rPr>
            </w:pP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980E510" w14:textId="77777777" w:rsidR="00ED0E85" w:rsidRDefault="00ED0E85" w:rsidP="00ED0E85">
            <w:pPr>
              <w:pStyle w:val="TableDataEntries"/>
              <w:rPr>
                <w:sz w:val="20"/>
                <w:szCs w:val="20"/>
              </w:rPr>
            </w:pP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0E07272" w14:textId="77777777" w:rsidR="00ED0E85" w:rsidRDefault="00ED0E85" w:rsidP="00ED0E85">
            <w:pPr>
              <w:pStyle w:val="TableDataEntries"/>
              <w:rPr>
                <w:sz w:val="20"/>
                <w:szCs w:val="20"/>
              </w:rPr>
            </w:pPr>
          </w:p>
        </w:tc>
      </w:tr>
      <w:tr w:rsidR="00ED0E85" w:rsidRPr="00D17283" w14:paraId="7FD4C3A0"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F6B3885" w14:textId="77777777" w:rsidR="00ED0E85" w:rsidRPr="00D17283" w:rsidRDefault="00ED0E85" w:rsidP="00ED0E85">
            <w:pPr>
              <w:pStyle w:val="TableDataEntries"/>
              <w:jc w:val="left"/>
            </w:pPr>
            <w:r w:rsidRPr="00D17283">
              <w:t>NSW</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F642B8B" w14:textId="77777777" w:rsidR="00ED0E85" w:rsidRDefault="00ED0E85" w:rsidP="00ED0E85">
            <w:pPr>
              <w:pStyle w:val="TableDataEntries"/>
            </w:pPr>
            <w:r>
              <w:t>29.8</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0E75C8C" w14:textId="77777777" w:rsidR="00ED0E85" w:rsidRDefault="00ED0E85" w:rsidP="00ED0E85">
            <w:pPr>
              <w:pStyle w:val="TableDataEntries"/>
            </w:pPr>
            <w:r>
              <w:t>44.8</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6D633A9" w14:textId="77777777" w:rsidR="00ED0E85" w:rsidRDefault="00ED0E85" w:rsidP="00ED0E85">
            <w:pPr>
              <w:pStyle w:val="TableDataEntries"/>
            </w:pPr>
            <w:r>
              <w:t>0.7</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288BB34" w14:textId="77777777" w:rsidR="00ED0E85" w:rsidRDefault="00ED0E85" w:rsidP="00ED0E85">
            <w:pPr>
              <w:pStyle w:val="TableDataEntries"/>
            </w:pPr>
            <w:r>
              <w:t>0.51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2828772" w14:textId="77777777" w:rsidR="00ED0E85" w:rsidRDefault="00ED0E85" w:rsidP="00ED0E85">
            <w:pPr>
              <w:pStyle w:val="TableDataEntries"/>
            </w:pPr>
            <w:r>
              <w:t>-58.0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492D3D1" w14:textId="77777777" w:rsidR="00ED0E85" w:rsidRDefault="00ED0E85" w:rsidP="00ED0E85">
            <w:pPr>
              <w:pStyle w:val="TableDataEntries"/>
            </w:pPr>
            <w:r>
              <w:t>117.7</w:t>
            </w:r>
          </w:p>
        </w:tc>
      </w:tr>
      <w:tr w:rsidR="00ED0E85" w:rsidRPr="00D17283" w14:paraId="2D8F5E88"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061D500" w14:textId="77777777" w:rsidR="00ED0E85" w:rsidRPr="00D17283" w:rsidRDefault="00ED0E85" w:rsidP="00ED0E85">
            <w:pPr>
              <w:pStyle w:val="TableDataEntries"/>
              <w:jc w:val="left"/>
            </w:pPr>
            <w:r w:rsidRPr="00D17283">
              <w:t>VIC</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4352ED9" w14:textId="77777777" w:rsidR="00ED0E85" w:rsidRDefault="00ED0E85" w:rsidP="00ED0E85">
            <w:pPr>
              <w:pStyle w:val="TableDataEntries"/>
            </w:pPr>
            <w:r>
              <w:t>39.1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7533078" w14:textId="77777777" w:rsidR="00ED0E85" w:rsidRDefault="00ED0E85" w:rsidP="00ED0E85">
            <w:pPr>
              <w:pStyle w:val="TableDataEntries"/>
            </w:pPr>
            <w:r>
              <w:t>45.0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D774C2C" w14:textId="77777777" w:rsidR="00ED0E85" w:rsidRDefault="00ED0E85" w:rsidP="00ED0E85">
            <w:pPr>
              <w:pStyle w:val="TableDataEntries"/>
            </w:pPr>
            <w:r>
              <w:t>0.9</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4B2395B" w14:textId="77777777" w:rsidR="00ED0E85" w:rsidRDefault="00ED0E85" w:rsidP="00ED0E85">
            <w:pPr>
              <w:pStyle w:val="TableDataEntries"/>
            </w:pPr>
            <w:r>
              <w:t>0.39</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44F3E30" w14:textId="77777777" w:rsidR="00ED0E85" w:rsidRDefault="00ED0E85" w:rsidP="00ED0E85">
            <w:pPr>
              <w:pStyle w:val="TableDataEntries"/>
            </w:pPr>
            <w:r>
              <w:t>-49.1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F118105" w14:textId="77777777" w:rsidR="00ED0E85" w:rsidRDefault="00ED0E85" w:rsidP="00ED0E85">
            <w:pPr>
              <w:pStyle w:val="TableDataEntries"/>
            </w:pPr>
            <w:r>
              <w:t>127.3</w:t>
            </w:r>
          </w:p>
        </w:tc>
      </w:tr>
      <w:tr w:rsidR="00ED0E85" w:rsidRPr="00D17283" w14:paraId="5D575C16"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02A4658" w14:textId="77777777" w:rsidR="00ED0E85" w:rsidRPr="00D17283" w:rsidRDefault="00ED0E85" w:rsidP="00ED0E85">
            <w:pPr>
              <w:pStyle w:val="TableDataEntries"/>
              <w:jc w:val="left"/>
            </w:pPr>
            <w:r w:rsidRPr="00D17283">
              <w:t>QLD</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0D98DFD" w14:textId="77777777" w:rsidR="00ED0E85" w:rsidRDefault="00ED0E85" w:rsidP="00ED0E85">
            <w:pPr>
              <w:pStyle w:val="TableDataEntries"/>
            </w:pPr>
            <w:r>
              <w:t>49.8</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528EBAA" w14:textId="77777777" w:rsidR="00ED0E85" w:rsidRDefault="00ED0E85" w:rsidP="00ED0E85">
            <w:pPr>
              <w:pStyle w:val="TableDataEntries"/>
            </w:pPr>
            <w:r>
              <w:t>45.1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DE5C0E9" w14:textId="77777777" w:rsidR="00ED0E85" w:rsidRDefault="00ED0E85" w:rsidP="00ED0E85">
            <w:pPr>
              <w:pStyle w:val="TableDataEntries"/>
            </w:pPr>
            <w:r>
              <w:t>1.1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226708E" w14:textId="77777777" w:rsidR="00ED0E85" w:rsidRDefault="00ED0E85" w:rsidP="00ED0E85">
            <w:pPr>
              <w:pStyle w:val="TableDataEntries"/>
            </w:pPr>
            <w:r>
              <w:t>0.27</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7B8BD1E" w14:textId="77777777" w:rsidR="00ED0E85" w:rsidRDefault="00ED0E85" w:rsidP="00ED0E85">
            <w:pPr>
              <w:pStyle w:val="TableDataEntries"/>
            </w:pPr>
            <w:r>
              <w:t>-38.8</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53C1751" w14:textId="77777777" w:rsidR="00ED0E85" w:rsidRDefault="00ED0E85" w:rsidP="00ED0E85">
            <w:pPr>
              <w:pStyle w:val="TableDataEntries"/>
            </w:pPr>
            <w:r>
              <w:t>138.4</w:t>
            </w:r>
          </w:p>
        </w:tc>
      </w:tr>
      <w:tr w:rsidR="00ED0E85" w:rsidRPr="00D17283" w14:paraId="21310F49"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B7493C7" w14:textId="77777777" w:rsidR="00ED0E85" w:rsidRPr="00D17283" w:rsidRDefault="00ED0E85" w:rsidP="00ED0E85">
            <w:pPr>
              <w:pStyle w:val="TableDataEntries"/>
              <w:jc w:val="left"/>
            </w:pPr>
            <w:r w:rsidRPr="00D17283">
              <w:t>WA</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25626B0" w14:textId="77777777" w:rsidR="00ED0E85" w:rsidRDefault="00ED0E85" w:rsidP="00ED0E85">
            <w:pPr>
              <w:pStyle w:val="TableDataEntries"/>
            </w:pPr>
            <w:r>
              <w:t>44.1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E170F44" w14:textId="77777777" w:rsidR="00ED0E85" w:rsidRDefault="00ED0E85" w:rsidP="00ED0E85">
            <w:pPr>
              <w:pStyle w:val="TableDataEntries"/>
            </w:pPr>
            <w:r>
              <w:t>45.2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5B1A208" w14:textId="77777777" w:rsidR="00ED0E85" w:rsidRDefault="00ED0E85" w:rsidP="00ED0E85">
            <w:pPr>
              <w:pStyle w:val="TableDataEntries"/>
            </w:pPr>
            <w:r>
              <w:t>1.0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AA1F057" w14:textId="77777777" w:rsidR="00ED0E85" w:rsidRDefault="00ED0E85" w:rsidP="00ED0E85">
            <w:pPr>
              <w:pStyle w:val="TableDataEntries"/>
            </w:pPr>
            <w:r>
              <w:t>0.33</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18DEE81" w14:textId="77777777" w:rsidR="00ED0E85" w:rsidRDefault="00ED0E85" w:rsidP="00ED0E85">
            <w:pPr>
              <w:pStyle w:val="TableDataEntries"/>
            </w:pPr>
            <w:r>
              <w:t>-44.7</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D03ADD8" w14:textId="77777777" w:rsidR="00ED0E85" w:rsidRDefault="00ED0E85" w:rsidP="00ED0E85">
            <w:pPr>
              <w:pStyle w:val="TableDataEntries"/>
            </w:pPr>
            <w:r>
              <w:t>132.9</w:t>
            </w:r>
          </w:p>
        </w:tc>
      </w:tr>
      <w:tr w:rsidR="00ED0E85" w:rsidRPr="00D17283" w14:paraId="412C29D8"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722438DC" w14:textId="77777777" w:rsidR="00ED0E85" w:rsidRPr="00D17283" w:rsidRDefault="00ED0E85" w:rsidP="00ED0E85">
            <w:pPr>
              <w:pStyle w:val="TableDataEntries"/>
              <w:jc w:val="left"/>
            </w:pPr>
            <w:r w:rsidRPr="00D17283">
              <w:t>SA</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2A64BDA" w14:textId="77777777" w:rsidR="00ED0E85" w:rsidRDefault="00ED0E85" w:rsidP="00ED0E85">
            <w:pPr>
              <w:pStyle w:val="TableDataEntries"/>
            </w:pPr>
            <w:r>
              <w:t>40.3</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0B8D4D1" w14:textId="77777777" w:rsidR="00ED0E85" w:rsidRDefault="00ED0E85" w:rsidP="00ED0E85">
            <w:pPr>
              <w:pStyle w:val="TableDataEntries"/>
            </w:pPr>
            <w:r>
              <w:t>47.1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DC9420B" w14:textId="77777777" w:rsidR="00ED0E85" w:rsidRDefault="00ED0E85" w:rsidP="00ED0E85">
            <w:pPr>
              <w:pStyle w:val="TableDataEntries"/>
            </w:pPr>
            <w:r>
              <w:t>0.9</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CF7A465" w14:textId="77777777" w:rsidR="00ED0E85" w:rsidRDefault="00ED0E85" w:rsidP="00ED0E85">
            <w:pPr>
              <w:pStyle w:val="TableDataEntries"/>
            </w:pPr>
            <w:r>
              <w:t>0.39</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36A8F08" w14:textId="77777777" w:rsidR="00ED0E85" w:rsidRDefault="00ED0E85" w:rsidP="00ED0E85">
            <w:pPr>
              <w:pStyle w:val="TableDataEntries"/>
            </w:pPr>
            <w:r>
              <w:t>-52.2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9FE05AB" w14:textId="77777777" w:rsidR="00ED0E85" w:rsidRDefault="00ED0E85" w:rsidP="00ED0E85">
            <w:pPr>
              <w:pStyle w:val="TableDataEntries"/>
            </w:pPr>
            <w:r>
              <w:t>132.7</w:t>
            </w:r>
          </w:p>
        </w:tc>
      </w:tr>
      <w:tr w:rsidR="00ED0E85" w:rsidRPr="00D17283" w14:paraId="1346B6A6"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64E0A33" w14:textId="77777777" w:rsidR="00ED0E85" w:rsidRPr="00D17283" w:rsidRDefault="00ED0E85" w:rsidP="00ED0E85">
            <w:pPr>
              <w:pStyle w:val="TableDataEntries"/>
              <w:jc w:val="left"/>
            </w:pPr>
            <w:r w:rsidRPr="00D17283">
              <w:t>TAS</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AEA325A" w14:textId="77777777" w:rsidR="00ED0E85" w:rsidRDefault="00ED0E85" w:rsidP="00ED0E85">
            <w:pPr>
              <w:pStyle w:val="TableDataEntries"/>
            </w:pPr>
            <w:r>
              <w:t>93.7</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59A68C8" w14:textId="77777777" w:rsidR="00ED0E85" w:rsidRDefault="00ED0E85" w:rsidP="00ED0E85">
            <w:pPr>
              <w:pStyle w:val="TableDataEntries"/>
            </w:pPr>
            <w:r>
              <w:t>65.9</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FB2A271" w14:textId="77777777" w:rsidR="00ED0E85" w:rsidRDefault="00ED0E85" w:rsidP="00ED0E85">
            <w:pPr>
              <w:pStyle w:val="TableDataEntries"/>
            </w:pPr>
            <w:r>
              <w:t>1.4</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30E7E1A" w14:textId="77777777" w:rsidR="00ED0E85" w:rsidRDefault="00ED0E85" w:rsidP="00ED0E85">
            <w:pPr>
              <w:pStyle w:val="TableDataEntries"/>
            </w:pPr>
            <w:r>
              <w:t>0.16</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E0875FF" w14:textId="77777777" w:rsidR="00ED0E85" w:rsidRDefault="00ED0E85" w:rsidP="00ED0E85">
            <w:pPr>
              <w:pStyle w:val="TableDataEntries"/>
            </w:pPr>
            <w:r>
              <w:t>-35.6</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5A3AD93" w14:textId="77777777" w:rsidR="00ED0E85" w:rsidRDefault="00ED0E85" w:rsidP="00ED0E85">
            <w:pPr>
              <w:pStyle w:val="TableDataEntries"/>
            </w:pPr>
            <w:r>
              <w:t>223.0</w:t>
            </w:r>
          </w:p>
        </w:tc>
      </w:tr>
      <w:tr w:rsidR="00ED0E85" w:rsidRPr="00D17283" w14:paraId="6ACD1F1E"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1AD9B468" w14:textId="77777777" w:rsidR="00ED0E85" w:rsidRPr="00D17283" w:rsidRDefault="00ED0E85" w:rsidP="00ED0E85">
            <w:pPr>
              <w:pStyle w:val="TableDataEntries"/>
              <w:jc w:val="left"/>
            </w:pPr>
            <w:r w:rsidRPr="00D17283">
              <w:t>NT</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CEAB2CE" w14:textId="77777777" w:rsidR="00ED0E85" w:rsidRDefault="00ED0E85" w:rsidP="00ED0E85">
            <w:pPr>
              <w:pStyle w:val="TableDataEntries"/>
            </w:pPr>
            <w:r>
              <w:t>0.0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2DA4514" w14:textId="77777777" w:rsidR="00ED0E85" w:rsidRDefault="00ED0E85" w:rsidP="00ED0E85">
            <w:pPr>
              <w:pStyle w:val="TableDataEntries"/>
            </w:pPr>
            <w:r>
              <w:t>(omitted)</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A98EB9A" w14:textId="77777777" w:rsidR="00ED0E85" w:rsidRDefault="00ED0E85" w:rsidP="00ED0E85">
            <w:pPr>
              <w:pStyle w:val="TableDataEntries"/>
            </w:pP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7935CE4" w14:textId="77777777" w:rsidR="00ED0E85" w:rsidRDefault="00ED0E85" w:rsidP="00ED0E85">
            <w:pPr>
              <w:pStyle w:val="TableDataEntries"/>
              <w:rPr>
                <w:sz w:val="20"/>
                <w:szCs w:val="20"/>
              </w:rPr>
            </w:pP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B5F90E4" w14:textId="77777777" w:rsidR="00ED0E85" w:rsidRDefault="00ED0E85" w:rsidP="00ED0E85">
            <w:pPr>
              <w:pStyle w:val="TableDataEntries"/>
              <w:rPr>
                <w:sz w:val="20"/>
                <w:szCs w:val="20"/>
              </w:rPr>
            </w:pP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C462A2F" w14:textId="77777777" w:rsidR="00ED0E85" w:rsidRDefault="00ED0E85" w:rsidP="00ED0E85">
            <w:pPr>
              <w:pStyle w:val="TableDataEntries"/>
              <w:rPr>
                <w:sz w:val="20"/>
                <w:szCs w:val="20"/>
              </w:rPr>
            </w:pPr>
          </w:p>
        </w:tc>
      </w:tr>
      <w:tr w:rsidR="00ED0E85" w:rsidRPr="00D17283" w14:paraId="2CED81AA"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A2FBE21" w14:textId="77777777" w:rsidR="00ED0E85" w:rsidRPr="00D17283" w:rsidRDefault="00ED0E85" w:rsidP="00ED0E85">
            <w:pPr>
              <w:pStyle w:val="TableDataEntries"/>
              <w:jc w:val="left"/>
            </w:pPr>
            <w:r w:rsidRPr="00D17283">
              <w:t>ACT</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49DD81E" w14:textId="77777777" w:rsidR="00ED0E85" w:rsidRDefault="00ED0E85" w:rsidP="00ED0E85">
            <w:pPr>
              <w:pStyle w:val="TableDataEntries"/>
            </w:pPr>
            <w:r>
              <w:t>22.2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678F8D2" w14:textId="77777777" w:rsidR="00ED0E85" w:rsidRDefault="00ED0E85" w:rsidP="00ED0E85">
            <w:pPr>
              <w:pStyle w:val="TableDataEntries"/>
            </w:pPr>
            <w:r>
              <w:t>45.5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9EE8F4B" w14:textId="77777777" w:rsidR="00ED0E85" w:rsidRDefault="00ED0E85" w:rsidP="00ED0E85">
            <w:pPr>
              <w:pStyle w:val="TableDataEntries"/>
            </w:pPr>
            <w:r>
              <w:t>0.5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FFC0583" w14:textId="77777777" w:rsidR="00ED0E85" w:rsidRDefault="00ED0E85" w:rsidP="00ED0E85">
            <w:pPr>
              <w:pStyle w:val="TableDataEntries"/>
            </w:pPr>
            <w:r>
              <w:t>0.63</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26C678D" w14:textId="77777777" w:rsidR="00ED0E85" w:rsidRDefault="00ED0E85" w:rsidP="00ED0E85">
            <w:pPr>
              <w:pStyle w:val="TableDataEntries"/>
            </w:pPr>
            <w:r>
              <w:t>-67.2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3CD7AD0" w14:textId="77777777" w:rsidR="00ED0E85" w:rsidRDefault="00ED0E85" w:rsidP="00ED0E85">
            <w:pPr>
              <w:pStyle w:val="TableDataEntries"/>
            </w:pPr>
            <w:r>
              <w:t>111.6</w:t>
            </w:r>
          </w:p>
        </w:tc>
      </w:tr>
      <w:tr w:rsidR="00ED0E85" w:rsidRPr="00D17283" w14:paraId="391AC55A"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2E94133A" w14:textId="77777777" w:rsidR="00ED0E85" w:rsidRPr="00D17283" w:rsidRDefault="00ED0E85" w:rsidP="00ED0E85">
            <w:pPr>
              <w:pStyle w:val="TableDataEntries"/>
              <w:jc w:val="left"/>
            </w:pPr>
            <w:r w:rsidRPr="00D17283">
              <w:t>Owner in GRESB</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1B261F4" w14:textId="77777777" w:rsidR="00ED0E85" w:rsidRDefault="00ED0E85" w:rsidP="00ED0E85">
            <w:pPr>
              <w:pStyle w:val="TableDataEntries"/>
            </w:pPr>
            <w:r>
              <w:t>10.1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36484DD" w14:textId="77777777" w:rsidR="00ED0E85" w:rsidRDefault="00ED0E85" w:rsidP="00ED0E85">
            <w:pPr>
              <w:pStyle w:val="TableDataEntries"/>
            </w:pPr>
            <w:r>
              <w:t>8.8</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249E71C" w14:textId="77777777" w:rsidR="00ED0E85" w:rsidRDefault="00ED0E85" w:rsidP="00ED0E85">
            <w:pPr>
              <w:pStyle w:val="TableDataEntries"/>
            </w:pPr>
            <w:r>
              <w:t>1.2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833D8F7" w14:textId="77777777" w:rsidR="00ED0E85" w:rsidRDefault="00ED0E85" w:rsidP="00ED0E85">
            <w:pPr>
              <w:pStyle w:val="TableDataEntries"/>
            </w:pPr>
            <w:r>
              <w:t>0.25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817539F" w14:textId="77777777" w:rsidR="00ED0E85" w:rsidRDefault="00ED0E85" w:rsidP="00ED0E85">
            <w:pPr>
              <w:pStyle w:val="TableDataEntries"/>
            </w:pPr>
            <w:r>
              <w:t>-7.2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1EFD714" w14:textId="77777777" w:rsidR="00ED0E85" w:rsidRDefault="00ED0E85" w:rsidP="00ED0E85">
            <w:pPr>
              <w:pStyle w:val="TableDataEntries"/>
            </w:pPr>
            <w:r>
              <w:t>27.5</w:t>
            </w:r>
          </w:p>
        </w:tc>
      </w:tr>
      <w:tr w:rsidR="00ED0E85" w:rsidRPr="00D17283" w14:paraId="59343FD6"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5311D22E" w14:textId="77777777" w:rsidR="00ED0E85" w:rsidRPr="00D17283" w:rsidRDefault="00ED0E85" w:rsidP="00ED0E85">
            <w:pPr>
              <w:pStyle w:val="TableDataEntries"/>
              <w:jc w:val="left"/>
            </w:pPr>
            <w:r w:rsidRPr="00D17283">
              <w:t>Number of ratings</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DB9094C" w14:textId="77777777" w:rsidR="00ED0E85" w:rsidRDefault="00ED0E85" w:rsidP="00ED0E85">
            <w:pPr>
              <w:pStyle w:val="TableDataEntries"/>
            </w:pPr>
            <w:r>
              <w:t>-23.3</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6EA69999" w14:textId="77777777" w:rsidR="00ED0E85" w:rsidRDefault="00ED0E85" w:rsidP="00ED0E85">
            <w:pPr>
              <w:pStyle w:val="TableDataEntries"/>
            </w:pPr>
            <w:r>
              <w:t>9.1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85F7F7E" w14:textId="77777777" w:rsidR="00ED0E85" w:rsidRDefault="00ED0E85" w:rsidP="00ED0E85">
            <w:pPr>
              <w:pStyle w:val="TableDataEntries"/>
            </w:pPr>
            <w:r>
              <w:t>-2.6</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2AAB075" w14:textId="77777777" w:rsidR="00ED0E85" w:rsidRDefault="00ED0E85" w:rsidP="00ED0E85">
            <w:pPr>
              <w:pStyle w:val="TableDataEntries"/>
            </w:pPr>
            <w:r>
              <w:t>0.01</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9404E5E" w14:textId="77777777" w:rsidR="00ED0E85" w:rsidRDefault="00ED0E85" w:rsidP="00ED0E85">
            <w:pPr>
              <w:pStyle w:val="TableDataEntries"/>
            </w:pPr>
            <w:r>
              <w:t>-41.2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30B727F" w14:textId="77777777" w:rsidR="00ED0E85" w:rsidRDefault="00ED0E85" w:rsidP="00ED0E85">
            <w:pPr>
              <w:pStyle w:val="TableDataEntries"/>
            </w:pPr>
            <w:r>
              <w:t>-5.5</w:t>
            </w:r>
          </w:p>
        </w:tc>
      </w:tr>
      <w:tr w:rsidR="00ED0E85" w:rsidRPr="00D17283" w14:paraId="6D2A1166"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4481DC71" w14:textId="77777777" w:rsidR="00ED0E85" w:rsidRPr="00D17283" w:rsidRDefault="00ED0E85" w:rsidP="00ED0E85">
            <w:pPr>
              <w:pStyle w:val="TableDataEntries"/>
              <w:jc w:val="left"/>
            </w:pPr>
            <w:r w:rsidRPr="00D17283">
              <w:t>Number of ratings squared</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44F2C3E0" w14:textId="77777777" w:rsidR="00ED0E85" w:rsidRDefault="00ED0E85" w:rsidP="00ED0E85">
            <w:pPr>
              <w:pStyle w:val="TableDataEntries"/>
            </w:pPr>
            <w:r>
              <w:t>0.9</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05146A3" w14:textId="77777777" w:rsidR="00ED0E85" w:rsidRDefault="00ED0E85" w:rsidP="00ED0E85">
            <w:pPr>
              <w:pStyle w:val="TableDataEntries"/>
            </w:pPr>
            <w:r>
              <w:t>0.9</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90FA206" w14:textId="77777777" w:rsidR="00ED0E85" w:rsidRDefault="00ED0E85" w:rsidP="00ED0E85">
            <w:pPr>
              <w:pStyle w:val="TableDataEntries"/>
            </w:pPr>
            <w:r>
              <w:t>1.0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7C78C9C" w14:textId="77777777" w:rsidR="00ED0E85" w:rsidRDefault="00ED0E85" w:rsidP="00ED0E85">
            <w:pPr>
              <w:pStyle w:val="TableDataEntries"/>
            </w:pPr>
            <w:r>
              <w:t>0.32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D69FAA4" w14:textId="77777777" w:rsidR="00ED0E85" w:rsidRDefault="00ED0E85" w:rsidP="00ED0E85">
            <w:pPr>
              <w:pStyle w:val="TableDataEntries"/>
            </w:pPr>
            <w:r>
              <w:t>-0.9</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55C1215F" w14:textId="77777777" w:rsidR="00ED0E85" w:rsidRDefault="00ED0E85" w:rsidP="00ED0E85">
            <w:pPr>
              <w:pStyle w:val="TableDataEntries"/>
            </w:pPr>
            <w:r>
              <w:t>2.7</w:t>
            </w:r>
          </w:p>
        </w:tc>
      </w:tr>
      <w:tr w:rsidR="00ED0E85" w:rsidRPr="00D17283" w14:paraId="2F978F4F" w14:textId="77777777" w:rsidTr="00ED0E85">
        <w:trPr>
          <w:trHeight w:val="250"/>
        </w:trPr>
        <w:tc>
          <w:tcPr>
            <w:tcW w:w="2067"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hideMark/>
          </w:tcPr>
          <w:p w14:paraId="01EA78BC" w14:textId="77777777" w:rsidR="00ED0E85" w:rsidRPr="00D17283" w:rsidRDefault="00ED0E85" w:rsidP="00ED0E85">
            <w:pPr>
              <w:pStyle w:val="TableDataEntries"/>
              <w:jc w:val="left"/>
            </w:pPr>
            <w:r w:rsidRPr="00D17283">
              <w:t xml:space="preserve">First rating in CBD </w:t>
            </w:r>
            <w:r>
              <w:t>P</w:t>
            </w:r>
            <w:r w:rsidRPr="00D17283">
              <w:t>rogram</w:t>
            </w:r>
          </w:p>
        </w:tc>
        <w:tc>
          <w:tcPr>
            <w:tcW w:w="1029"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1B266F62" w14:textId="77777777" w:rsidR="00ED0E85" w:rsidRDefault="00ED0E85" w:rsidP="00ED0E85">
            <w:pPr>
              <w:pStyle w:val="TableDataEntries"/>
            </w:pPr>
            <w:r>
              <w:t>50.8</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2C8BC717" w14:textId="77777777" w:rsidR="00ED0E85" w:rsidRDefault="00ED0E85" w:rsidP="00ED0E85">
            <w:pPr>
              <w:pStyle w:val="TableDataEntries"/>
            </w:pPr>
            <w:r>
              <w:t>3.2</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9618896" w14:textId="77777777" w:rsidR="00ED0E85" w:rsidRDefault="00ED0E85" w:rsidP="00ED0E85">
            <w:pPr>
              <w:pStyle w:val="TableDataEntries"/>
            </w:pPr>
            <w:r>
              <w:t>15.9</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7DC1A40D" w14:textId="77777777" w:rsidR="00ED0E85" w:rsidRDefault="00ED0E85" w:rsidP="00ED0E85">
            <w:pPr>
              <w:pStyle w:val="TableDataEntries"/>
            </w:pPr>
            <w:r>
              <w:t>0.00</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08BF8475" w14:textId="77777777" w:rsidR="00ED0E85" w:rsidRDefault="00ED0E85" w:rsidP="00ED0E85">
            <w:pPr>
              <w:pStyle w:val="TableDataEntries"/>
            </w:pPr>
            <w:r>
              <w:t>44.5</w:t>
            </w:r>
          </w:p>
        </w:tc>
        <w:tc>
          <w:tcPr>
            <w:tcW w:w="970" w:type="dxa"/>
            <w:tcBorders>
              <w:top w:val="single" w:sz="8" w:space="0" w:color="FFFFFF" w:themeColor="background1"/>
              <w:bottom w:val="single" w:sz="8" w:space="0" w:color="FFFFFF" w:themeColor="background1"/>
            </w:tcBorders>
            <w:shd w:val="clear" w:color="auto" w:fill="E9E8E5" w:themeFill="background2"/>
            <w:noWrap/>
            <w:tcMar>
              <w:left w:w="57" w:type="dxa"/>
              <w:right w:w="57" w:type="dxa"/>
            </w:tcMar>
            <w:vAlign w:val="bottom"/>
            <w:hideMark/>
          </w:tcPr>
          <w:p w14:paraId="36492830" w14:textId="77777777" w:rsidR="00ED0E85" w:rsidRDefault="00ED0E85" w:rsidP="00ED0E85">
            <w:pPr>
              <w:pStyle w:val="TableDataEntries"/>
            </w:pPr>
            <w:r>
              <w:t>57.1</w:t>
            </w:r>
          </w:p>
        </w:tc>
      </w:tr>
      <w:tr w:rsidR="00ED0E85" w:rsidRPr="00D17283" w14:paraId="0215B8CC" w14:textId="77777777" w:rsidTr="00ED0E85">
        <w:trPr>
          <w:trHeight w:val="250"/>
        </w:trPr>
        <w:tc>
          <w:tcPr>
            <w:tcW w:w="2067" w:type="dxa"/>
            <w:tcBorders>
              <w:top w:val="single" w:sz="8" w:space="0" w:color="FFFFFF" w:themeColor="background1"/>
              <w:bottom w:val="single" w:sz="6" w:space="0" w:color="6F6652"/>
            </w:tcBorders>
            <w:shd w:val="clear" w:color="auto" w:fill="E9E8E5" w:themeFill="background2"/>
            <w:noWrap/>
            <w:tcMar>
              <w:left w:w="57" w:type="dxa"/>
              <w:right w:w="57" w:type="dxa"/>
            </w:tcMar>
            <w:hideMark/>
          </w:tcPr>
          <w:p w14:paraId="64618351" w14:textId="77777777" w:rsidR="00ED0E85" w:rsidRPr="00D17283" w:rsidRDefault="00ED0E85" w:rsidP="00ED0E85">
            <w:pPr>
              <w:pStyle w:val="TableDataEntries"/>
              <w:jc w:val="left"/>
            </w:pPr>
            <w:r w:rsidRPr="00D17283">
              <w:t>Constant</w:t>
            </w:r>
          </w:p>
        </w:tc>
        <w:tc>
          <w:tcPr>
            <w:tcW w:w="1029"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0BF7AE6B" w14:textId="77777777" w:rsidR="00ED0E85" w:rsidRDefault="00ED0E85" w:rsidP="00ED0E85">
            <w:pPr>
              <w:pStyle w:val="TableDataEntries"/>
            </w:pPr>
            <w:r>
              <w:t>-256.0</w:t>
            </w:r>
          </w:p>
        </w:tc>
        <w:tc>
          <w:tcPr>
            <w:tcW w:w="970"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37EAF93E" w14:textId="77777777" w:rsidR="00ED0E85" w:rsidRDefault="00ED0E85" w:rsidP="00ED0E85">
            <w:pPr>
              <w:pStyle w:val="TableDataEntries"/>
            </w:pPr>
            <w:r>
              <w:t>53.5</w:t>
            </w:r>
          </w:p>
        </w:tc>
        <w:tc>
          <w:tcPr>
            <w:tcW w:w="970"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4C68861B" w14:textId="77777777" w:rsidR="00ED0E85" w:rsidRDefault="00ED0E85" w:rsidP="00ED0E85">
            <w:pPr>
              <w:pStyle w:val="TableDataEntries"/>
            </w:pPr>
            <w:r>
              <w:t>-4.8</w:t>
            </w:r>
          </w:p>
        </w:tc>
        <w:tc>
          <w:tcPr>
            <w:tcW w:w="970"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60ED97B1" w14:textId="77777777" w:rsidR="00ED0E85" w:rsidRDefault="00ED0E85" w:rsidP="00ED0E85">
            <w:pPr>
              <w:pStyle w:val="TableDataEntries"/>
            </w:pPr>
            <w:r>
              <w:t>0.00</w:t>
            </w:r>
          </w:p>
        </w:tc>
        <w:tc>
          <w:tcPr>
            <w:tcW w:w="970"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15E151FF" w14:textId="77777777" w:rsidR="00ED0E85" w:rsidRDefault="00ED0E85" w:rsidP="00ED0E85">
            <w:pPr>
              <w:pStyle w:val="TableDataEntries"/>
            </w:pPr>
            <w:r>
              <w:t>-361.0</w:t>
            </w:r>
          </w:p>
        </w:tc>
        <w:tc>
          <w:tcPr>
            <w:tcW w:w="970" w:type="dxa"/>
            <w:tcBorders>
              <w:top w:val="single" w:sz="8" w:space="0" w:color="FFFFFF" w:themeColor="background1"/>
              <w:bottom w:val="single" w:sz="6" w:space="0" w:color="6F6652"/>
            </w:tcBorders>
            <w:shd w:val="clear" w:color="auto" w:fill="E9E8E5" w:themeFill="background2"/>
            <w:noWrap/>
            <w:tcMar>
              <w:left w:w="57" w:type="dxa"/>
              <w:right w:w="57" w:type="dxa"/>
            </w:tcMar>
            <w:vAlign w:val="bottom"/>
            <w:hideMark/>
          </w:tcPr>
          <w:p w14:paraId="00135E4F" w14:textId="77777777" w:rsidR="00ED0E85" w:rsidRDefault="00ED0E85" w:rsidP="00ED0E85">
            <w:pPr>
              <w:pStyle w:val="TableDataEntries"/>
            </w:pPr>
            <w:r>
              <w:t>-151.0</w:t>
            </w:r>
          </w:p>
        </w:tc>
      </w:tr>
    </w:tbl>
    <w:p w14:paraId="165F1127" w14:textId="77777777" w:rsidR="00ED0E85" w:rsidRDefault="00ED0E85" w:rsidP="00ED0E85">
      <w:pPr>
        <w:pStyle w:val="Note"/>
      </w:pPr>
      <w:r w:rsidRPr="007D1B4F">
        <w:rPr>
          <w:i/>
        </w:rPr>
        <w:t>Note:</w:t>
      </w:r>
      <w:r w:rsidRPr="00E879B8">
        <w:t xml:space="preserve"> </w:t>
      </w:r>
      <w:r>
        <w:t>There are 1050 observations and the adjusted R2 is 26 per cent. Where a buildings grade is not known then it is not included in any category. The change in energy price is a percentage change based on 75 per cent electricity and 25 per cent gas.</w:t>
      </w:r>
    </w:p>
    <w:p w14:paraId="5821B849" w14:textId="77777777" w:rsidR="00ED0E85" w:rsidRDefault="00ED0E85" w:rsidP="00ED0E85">
      <w:pPr>
        <w:pStyle w:val="Source"/>
      </w:pPr>
      <w:r>
        <w:rPr>
          <w:i/>
        </w:rPr>
        <w:t>Source</w:t>
      </w:r>
      <w:r w:rsidRPr="00E4232C">
        <w:rPr>
          <w:i/>
        </w:rPr>
        <w:t>:</w:t>
      </w:r>
      <w:r>
        <w:t xml:space="preserve"> The CIE.</w:t>
      </w:r>
    </w:p>
    <w:p w14:paraId="20A7BC3B" w14:textId="77777777" w:rsidR="00ED0E85" w:rsidRDefault="00ED0E85" w:rsidP="00ED0E85">
      <w:pPr>
        <w:pStyle w:val="BodyText"/>
      </w:pPr>
    </w:p>
    <w:p w14:paraId="5DECE06C" w14:textId="77777777" w:rsidR="00ED0E85" w:rsidRDefault="00ED0E85" w:rsidP="00ED0E85">
      <w:pPr>
        <w:pStyle w:val="Heading6"/>
        <w:numPr>
          <w:ilvl w:val="5"/>
          <w:numId w:val="5"/>
        </w:numPr>
      </w:pPr>
      <w:bookmarkStart w:id="8129" w:name="_Toc19275556"/>
      <w:bookmarkStart w:id="8130" w:name="_Toc19276166"/>
      <w:bookmarkStart w:id="8131" w:name="_Toc19280165"/>
      <w:r>
        <w:t>Buildings entering the NABERS system</w:t>
      </w:r>
      <w:bookmarkEnd w:id="8129"/>
      <w:bookmarkEnd w:id="8130"/>
      <w:bookmarkEnd w:id="8131"/>
    </w:p>
    <w:p w14:paraId="636A89E4" w14:textId="77777777" w:rsidR="00ED0E85" w:rsidRDefault="00ED0E85" w:rsidP="00ED0E85">
      <w:pPr>
        <w:pStyle w:val="Heading7"/>
        <w:numPr>
          <w:ilvl w:val="6"/>
          <w:numId w:val="5"/>
        </w:numPr>
      </w:pPr>
      <w:r>
        <w:t>Floor space</w:t>
      </w:r>
    </w:p>
    <w:p w14:paraId="0938D6EF" w14:textId="10A1E65D" w:rsidR="00ED0E85" w:rsidRDefault="00ED0E85" w:rsidP="00ED0E85">
      <w:pPr>
        <w:pStyle w:val="BodyText"/>
      </w:pPr>
      <w:r>
        <w:t>The total floor space entering the NABERS system for the first time by state and star rating is shown in table </w:t>
      </w:r>
      <w:r w:rsidR="004550CB">
        <w:rPr>
          <w:noProof/>
        </w:rPr>
        <w:fldChar w:fldCharType="begin"/>
      </w:r>
      <w:r w:rsidR="004550CB">
        <w:rPr>
          <w:noProof/>
        </w:rPr>
        <w:instrText xml:space="preserve"> REF _Caption7291 </w:instrText>
      </w:r>
      <w:r w:rsidR="004550CB">
        <w:rPr>
          <w:noProof/>
        </w:rPr>
        <w:fldChar w:fldCharType="separate"/>
      </w:r>
      <w:r w:rsidR="00AD3561">
        <w:rPr>
          <w:noProof/>
        </w:rPr>
        <w:t>D</w:t>
      </w:r>
      <w:r w:rsidR="00AD3561" w:rsidRPr="00695C93">
        <w:rPr>
          <w:noProof/>
        </w:rPr>
        <w:t>.</w:t>
      </w:r>
      <w:r w:rsidR="00AD3561">
        <w:rPr>
          <w:noProof/>
        </w:rPr>
        <w:t>1</w:t>
      </w:r>
      <w:r w:rsidR="004550CB">
        <w:rPr>
          <w:noProof/>
        </w:rPr>
        <w:fldChar w:fldCharType="end"/>
      </w:r>
      <w:r>
        <w:t>. This includes both base building and whole building ratings.</w:t>
      </w:r>
    </w:p>
    <w:p w14:paraId="649A3FE6" w14:textId="126F815A"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D</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0</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2</w:instrText>
      </w:r>
      <w:r w:rsidR="004550CB">
        <w:rPr>
          <w:noProof/>
        </w:rPr>
        <w:fldChar w:fldCharType="end"/>
      </w:r>
      <w:r w:rsidRPr="00695C93">
        <w:instrText xml:space="preserve">." </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D</w:instrText>
      </w:r>
      <w:r w:rsidR="004550CB">
        <w:rPr>
          <w:noProof/>
        </w:rPr>
        <w:fldChar w:fldCharType="end"/>
      </w:r>
      <w:r w:rsidRPr="00695C93">
        <w:instrText xml:space="preserve">." </w:instrText>
      </w:r>
      <w:r w:rsidRPr="00695C93">
        <w:fldChar w:fldCharType="separate"/>
      </w:r>
      <w:r w:rsidR="00AD3561">
        <w:rPr>
          <w:noProof/>
        </w:rPr>
        <w:instrText>D</w:instrText>
      </w:r>
      <w:r w:rsidR="00AD356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D</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0</w:instrText>
      </w:r>
      <w:r w:rsidR="004550CB">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00AD3561" w:rsidRPr="00695C93">
        <w:rPr>
          <w:noProof/>
        </w:rPr>
        <w:instrText>6</w:instrText>
      </w:r>
      <w:r w:rsidRPr="00695C93">
        <w:fldChar w:fldCharType="end"/>
      </w:r>
      <w:r w:rsidRPr="00695C93">
        <w:instrText xml:space="preserve"> </w:instrText>
      </w:r>
      <w:r w:rsidRPr="00695C93">
        <w:fldChar w:fldCharType="separate"/>
      </w:r>
      <w:r w:rsidR="00AD3561">
        <w:rPr>
          <w:noProof/>
        </w:rPr>
        <w:instrText>1</w:instrText>
      </w:r>
      <w:r w:rsidRPr="00695C93">
        <w:fldChar w:fldCharType="end"/>
      </w:r>
      <w:r w:rsidRPr="00695C93">
        <w:instrText xml:space="preserve">" "" </w:instrText>
      </w:r>
      <w:r w:rsidRPr="00695C93">
        <w:fldChar w:fldCharType="separate"/>
      </w:r>
      <w:bookmarkStart w:id="8132" w:name="_Caption7913"/>
      <w:bookmarkStart w:id="8133" w:name="_Caption0398"/>
      <w:bookmarkStart w:id="8134" w:name="_Caption7291"/>
      <w:bookmarkStart w:id="8135" w:name="_Caption8566"/>
      <w:bookmarkStart w:id="8136" w:name="_Caption0514"/>
      <w:bookmarkStart w:id="8137" w:name="_Caption2884"/>
      <w:bookmarkStart w:id="8138" w:name="_Caption2633"/>
      <w:bookmarkStart w:id="8139" w:name="_Toc19275676"/>
      <w:bookmarkStart w:id="8140" w:name="_Toc19276286"/>
      <w:bookmarkStart w:id="8141" w:name="_Toc19280285"/>
      <w:r w:rsidR="00C353B5">
        <w:rPr>
          <w:noProof/>
        </w:rPr>
        <w:t>D</w:t>
      </w:r>
      <w:r w:rsidR="00C353B5" w:rsidRPr="00695C93">
        <w:rPr>
          <w:noProof/>
        </w:rPr>
        <w:t>.</w:t>
      </w:r>
      <w:r w:rsidR="00C353B5">
        <w:rPr>
          <w:noProof/>
        </w:rPr>
        <w:t>1</w:t>
      </w:r>
      <w:bookmarkEnd w:id="8132"/>
      <w:bookmarkEnd w:id="8133"/>
      <w:bookmarkEnd w:id="8134"/>
      <w:bookmarkEnd w:id="8135"/>
      <w:bookmarkEnd w:id="8136"/>
      <w:bookmarkEnd w:id="8137"/>
      <w:bookmarkEnd w:id="8138"/>
      <w:r w:rsidRPr="00695C93">
        <w:fldChar w:fldCharType="end"/>
      </w:r>
      <w:r w:rsidRPr="00695C93">
        <w:tab/>
      </w:r>
      <w:r>
        <w:t>Floor space entering the NABERS system for the first time</w:t>
      </w:r>
      <w:bookmarkEnd w:id="8139"/>
      <w:bookmarkEnd w:id="8140"/>
      <w:bookmarkEnd w:id="8141"/>
    </w:p>
    <w:tbl>
      <w:tblPr>
        <w:tblW w:w="7936" w:type="dxa"/>
        <w:tblLayout w:type="fixed"/>
        <w:tblLook w:val="0000" w:firstRow="0" w:lastRow="0" w:firstColumn="0" w:lastColumn="0" w:noHBand="0" w:noVBand="0"/>
      </w:tblPr>
      <w:tblGrid>
        <w:gridCol w:w="851"/>
        <w:gridCol w:w="736"/>
        <w:gridCol w:w="794"/>
        <w:gridCol w:w="793"/>
        <w:gridCol w:w="794"/>
        <w:gridCol w:w="794"/>
        <w:gridCol w:w="793"/>
        <w:gridCol w:w="794"/>
        <w:gridCol w:w="793"/>
        <w:gridCol w:w="794"/>
      </w:tblGrid>
      <w:tr w:rsidR="00ED0E85" w14:paraId="04652555" w14:textId="77777777" w:rsidTr="00ED0E85">
        <w:trPr>
          <w:trHeight w:val="230"/>
          <w:tblHeader/>
        </w:trPr>
        <w:tc>
          <w:tcPr>
            <w:tcW w:w="851" w:type="dxa"/>
            <w:shd w:val="clear" w:color="auto" w:fill="6F6652"/>
            <w:tcMar>
              <w:left w:w="57" w:type="dxa"/>
              <w:right w:w="57" w:type="dxa"/>
            </w:tcMar>
          </w:tcPr>
          <w:p w14:paraId="0C9259C9" w14:textId="77777777" w:rsidR="00ED0E85" w:rsidRDefault="00ED0E85" w:rsidP="00ED0E85">
            <w:pPr>
              <w:pStyle w:val="TableDataColumnHeading"/>
              <w:jc w:val="left"/>
              <w:rPr>
                <w:lang w:val="en-GB"/>
              </w:rPr>
            </w:pPr>
            <w:r>
              <w:rPr>
                <w:lang w:val="en-GB"/>
              </w:rPr>
              <w:t>Star rating</w:t>
            </w:r>
          </w:p>
        </w:tc>
        <w:tc>
          <w:tcPr>
            <w:tcW w:w="736" w:type="dxa"/>
            <w:shd w:val="clear" w:color="auto" w:fill="6F6652"/>
            <w:tcMar>
              <w:left w:w="57" w:type="dxa"/>
              <w:right w:w="57" w:type="dxa"/>
            </w:tcMar>
          </w:tcPr>
          <w:p w14:paraId="658B37D4" w14:textId="77777777" w:rsidR="00ED0E85" w:rsidRDefault="00ED0E85" w:rsidP="00ED0E85">
            <w:pPr>
              <w:pStyle w:val="TableDataColumnHeading"/>
              <w:rPr>
                <w:lang w:val="en-GB"/>
              </w:rPr>
            </w:pPr>
            <w:r>
              <w:rPr>
                <w:lang w:val="en-GB"/>
              </w:rPr>
              <w:t>2010-11</w:t>
            </w:r>
          </w:p>
        </w:tc>
        <w:tc>
          <w:tcPr>
            <w:tcW w:w="794" w:type="dxa"/>
            <w:shd w:val="clear" w:color="auto" w:fill="6F6652"/>
            <w:tcMar>
              <w:left w:w="57" w:type="dxa"/>
              <w:right w:w="57" w:type="dxa"/>
            </w:tcMar>
          </w:tcPr>
          <w:p w14:paraId="28E9A89E" w14:textId="77777777" w:rsidR="00ED0E85" w:rsidRDefault="00ED0E85" w:rsidP="00ED0E85">
            <w:pPr>
              <w:pStyle w:val="TableDataColumnHeading"/>
              <w:rPr>
                <w:lang w:val="en-GB"/>
              </w:rPr>
            </w:pPr>
            <w:r>
              <w:rPr>
                <w:lang w:val="en-GB"/>
              </w:rPr>
              <w:t>2011-12</w:t>
            </w:r>
          </w:p>
        </w:tc>
        <w:tc>
          <w:tcPr>
            <w:tcW w:w="793" w:type="dxa"/>
            <w:shd w:val="clear" w:color="auto" w:fill="6F6652"/>
            <w:tcMar>
              <w:left w:w="57" w:type="dxa"/>
              <w:right w:w="57" w:type="dxa"/>
            </w:tcMar>
          </w:tcPr>
          <w:p w14:paraId="26F67EC1" w14:textId="77777777" w:rsidR="00ED0E85" w:rsidRDefault="00ED0E85" w:rsidP="00ED0E85">
            <w:pPr>
              <w:pStyle w:val="TableDataColumnHeading"/>
              <w:rPr>
                <w:lang w:val="en-GB"/>
              </w:rPr>
            </w:pPr>
            <w:r>
              <w:rPr>
                <w:lang w:val="en-GB"/>
              </w:rPr>
              <w:t>2012-13</w:t>
            </w:r>
          </w:p>
        </w:tc>
        <w:tc>
          <w:tcPr>
            <w:tcW w:w="794" w:type="dxa"/>
            <w:shd w:val="clear" w:color="auto" w:fill="6F6652"/>
            <w:tcMar>
              <w:left w:w="57" w:type="dxa"/>
              <w:right w:w="57" w:type="dxa"/>
            </w:tcMar>
          </w:tcPr>
          <w:p w14:paraId="59698548" w14:textId="77777777" w:rsidR="00ED0E85" w:rsidRDefault="00ED0E85" w:rsidP="00ED0E85">
            <w:pPr>
              <w:pStyle w:val="TableDataColumnHeading"/>
              <w:rPr>
                <w:lang w:val="en-GB"/>
              </w:rPr>
            </w:pPr>
            <w:r>
              <w:rPr>
                <w:lang w:val="en-GB"/>
              </w:rPr>
              <w:t>2013-14</w:t>
            </w:r>
          </w:p>
        </w:tc>
        <w:tc>
          <w:tcPr>
            <w:tcW w:w="794" w:type="dxa"/>
            <w:shd w:val="clear" w:color="auto" w:fill="6F6652"/>
            <w:tcMar>
              <w:left w:w="57" w:type="dxa"/>
              <w:right w:w="57" w:type="dxa"/>
            </w:tcMar>
          </w:tcPr>
          <w:p w14:paraId="402B0CD3" w14:textId="77777777" w:rsidR="00ED0E85" w:rsidRDefault="00ED0E85" w:rsidP="00ED0E85">
            <w:pPr>
              <w:pStyle w:val="TableDataColumnHeading"/>
              <w:rPr>
                <w:lang w:val="en-GB"/>
              </w:rPr>
            </w:pPr>
            <w:r>
              <w:rPr>
                <w:lang w:val="en-GB"/>
              </w:rPr>
              <w:t>2014-15</w:t>
            </w:r>
          </w:p>
        </w:tc>
        <w:tc>
          <w:tcPr>
            <w:tcW w:w="793" w:type="dxa"/>
            <w:shd w:val="clear" w:color="auto" w:fill="6F6652"/>
            <w:tcMar>
              <w:left w:w="57" w:type="dxa"/>
              <w:right w:w="57" w:type="dxa"/>
            </w:tcMar>
          </w:tcPr>
          <w:p w14:paraId="4E97C32F" w14:textId="77777777" w:rsidR="00ED0E85" w:rsidRDefault="00ED0E85" w:rsidP="00ED0E85">
            <w:pPr>
              <w:pStyle w:val="TableDataColumnHeading"/>
              <w:rPr>
                <w:lang w:val="en-GB"/>
              </w:rPr>
            </w:pPr>
            <w:r>
              <w:rPr>
                <w:lang w:val="en-GB"/>
              </w:rPr>
              <w:t>2015-16</w:t>
            </w:r>
          </w:p>
        </w:tc>
        <w:tc>
          <w:tcPr>
            <w:tcW w:w="794" w:type="dxa"/>
            <w:shd w:val="clear" w:color="auto" w:fill="6F6652"/>
            <w:tcMar>
              <w:left w:w="57" w:type="dxa"/>
              <w:right w:w="57" w:type="dxa"/>
            </w:tcMar>
          </w:tcPr>
          <w:p w14:paraId="2F27B552" w14:textId="77777777" w:rsidR="00ED0E85" w:rsidRDefault="00ED0E85" w:rsidP="00ED0E85">
            <w:pPr>
              <w:pStyle w:val="TableDataColumnHeading"/>
              <w:rPr>
                <w:lang w:val="en-GB"/>
              </w:rPr>
            </w:pPr>
            <w:r>
              <w:rPr>
                <w:lang w:val="en-GB"/>
              </w:rPr>
              <w:t>2016-17</w:t>
            </w:r>
          </w:p>
        </w:tc>
        <w:tc>
          <w:tcPr>
            <w:tcW w:w="793" w:type="dxa"/>
            <w:shd w:val="clear" w:color="auto" w:fill="6F6652"/>
            <w:tcMar>
              <w:left w:w="57" w:type="dxa"/>
              <w:right w:w="57" w:type="dxa"/>
            </w:tcMar>
          </w:tcPr>
          <w:p w14:paraId="2163DD10" w14:textId="77777777" w:rsidR="00ED0E85" w:rsidRDefault="00ED0E85" w:rsidP="00ED0E85">
            <w:pPr>
              <w:pStyle w:val="TableDataColumnHeading"/>
              <w:rPr>
                <w:lang w:val="en-GB"/>
              </w:rPr>
            </w:pPr>
            <w:r>
              <w:rPr>
                <w:lang w:val="en-GB"/>
              </w:rPr>
              <w:t>2017-18</w:t>
            </w:r>
          </w:p>
        </w:tc>
        <w:tc>
          <w:tcPr>
            <w:tcW w:w="794" w:type="dxa"/>
            <w:shd w:val="clear" w:color="auto" w:fill="6F6652"/>
            <w:tcMar>
              <w:left w:w="57" w:type="dxa"/>
              <w:right w:w="57" w:type="dxa"/>
            </w:tcMar>
          </w:tcPr>
          <w:p w14:paraId="0F24733A" w14:textId="77777777" w:rsidR="00ED0E85" w:rsidRDefault="00ED0E85" w:rsidP="00ED0E85">
            <w:pPr>
              <w:pStyle w:val="TableDataColumnHeading"/>
              <w:rPr>
                <w:lang w:val="en-GB"/>
              </w:rPr>
            </w:pPr>
            <w:r>
              <w:rPr>
                <w:lang w:val="en-GB"/>
              </w:rPr>
              <w:t>2018-19</w:t>
            </w:r>
          </w:p>
        </w:tc>
      </w:tr>
      <w:tr w:rsidR="00ED0E85" w14:paraId="102E522E" w14:textId="77777777" w:rsidTr="00ED0E85">
        <w:trPr>
          <w:trHeight w:val="230"/>
          <w:tblHeader/>
        </w:trPr>
        <w:tc>
          <w:tcPr>
            <w:tcW w:w="851" w:type="dxa"/>
            <w:tcBorders>
              <w:bottom w:val="single" w:sz="8" w:space="0" w:color="FFFFFF" w:themeColor="background1"/>
            </w:tcBorders>
            <w:shd w:val="clear" w:color="auto" w:fill="auto"/>
            <w:tcMar>
              <w:left w:w="57" w:type="dxa"/>
              <w:right w:w="57" w:type="dxa"/>
            </w:tcMar>
          </w:tcPr>
          <w:p w14:paraId="3755D644" w14:textId="77777777" w:rsidR="00ED0E85" w:rsidRDefault="00ED0E85" w:rsidP="00ED0E85">
            <w:pPr>
              <w:pStyle w:val="TableUnit"/>
              <w:jc w:val="left"/>
              <w:rPr>
                <w:lang w:val="en-GB"/>
              </w:rPr>
            </w:pPr>
          </w:p>
        </w:tc>
        <w:tc>
          <w:tcPr>
            <w:tcW w:w="736" w:type="dxa"/>
            <w:tcBorders>
              <w:bottom w:val="single" w:sz="8" w:space="0" w:color="FFFFFF" w:themeColor="background1"/>
            </w:tcBorders>
            <w:shd w:val="clear" w:color="auto" w:fill="auto"/>
            <w:tcMar>
              <w:left w:w="57" w:type="dxa"/>
              <w:right w:w="57" w:type="dxa"/>
            </w:tcMar>
          </w:tcPr>
          <w:p w14:paraId="7309C4DE" w14:textId="77777777" w:rsidR="00ED0E85" w:rsidRDefault="00ED0E85" w:rsidP="00ED0E85">
            <w:pPr>
              <w:pStyle w:val="TableUnit"/>
              <w:rPr>
                <w:lang w:val="en-GB"/>
              </w:rPr>
            </w:pPr>
            <w:r>
              <w:rPr>
                <w:lang w:val="en-GB"/>
              </w:rPr>
              <w:t>‘000 m</w:t>
            </w:r>
            <w:r w:rsidRPr="00916F49">
              <w:rPr>
                <w:vertAlign w:val="superscript"/>
                <w:lang w:val="en-GB"/>
              </w:rPr>
              <w:t>2</w:t>
            </w:r>
          </w:p>
        </w:tc>
        <w:tc>
          <w:tcPr>
            <w:tcW w:w="794" w:type="dxa"/>
            <w:tcBorders>
              <w:bottom w:val="single" w:sz="8" w:space="0" w:color="FFFFFF" w:themeColor="background1"/>
            </w:tcBorders>
            <w:shd w:val="clear" w:color="auto" w:fill="auto"/>
            <w:tcMar>
              <w:left w:w="57" w:type="dxa"/>
              <w:right w:w="57" w:type="dxa"/>
            </w:tcMar>
          </w:tcPr>
          <w:p w14:paraId="58D27481" w14:textId="77777777" w:rsidR="00ED0E85" w:rsidRDefault="00ED0E85" w:rsidP="00ED0E85">
            <w:pPr>
              <w:pStyle w:val="TableUnit"/>
              <w:rPr>
                <w:lang w:val="en-GB"/>
              </w:rPr>
            </w:pPr>
            <w:r>
              <w:rPr>
                <w:lang w:val="en-GB"/>
              </w:rPr>
              <w:t>‘000 m</w:t>
            </w:r>
            <w:r w:rsidRPr="00916F49">
              <w:rPr>
                <w:vertAlign w:val="superscript"/>
                <w:lang w:val="en-GB"/>
              </w:rPr>
              <w:t>2</w:t>
            </w:r>
          </w:p>
        </w:tc>
        <w:tc>
          <w:tcPr>
            <w:tcW w:w="793" w:type="dxa"/>
            <w:tcBorders>
              <w:bottom w:val="single" w:sz="8" w:space="0" w:color="FFFFFF" w:themeColor="background1"/>
            </w:tcBorders>
            <w:shd w:val="clear" w:color="auto" w:fill="auto"/>
            <w:tcMar>
              <w:left w:w="57" w:type="dxa"/>
              <w:right w:w="57" w:type="dxa"/>
            </w:tcMar>
          </w:tcPr>
          <w:p w14:paraId="1CCC5C72" w14:textId="77777777" w:rsidR="00ED0E85" w:rsidRDefault="00ED0E85" w:rsidP="00ED0E85">
            <w:pPr>
              <w:pStyle w:val="TableUnit"/>
              <w:rPr>
                <w:lang w:val="en-GB"/>
              </w:rPr>
            </w:pPr>
            <w:r>
              <w:rPr>
                <w:lang w:val="en-GB"/>
              </w:rPr>
              <w:t>‘000 m</w:t>
            </w:r>
            <w:r w:rsidRPr="00916F49">
              <w:rPr>
                <w:vertAlign w:val="superscript"/>
                <w:lang w:val="en-GB"/>
              </w:rPr>
              <w:t>2</w:t>
            </w:r>
          </w:p>
        </w:tc>
        <w:tc>
          <w:tcPr>
            <w:tcW w:w="794" w:type="dxa"/>
            <w:tcBorders>
              <w:bottom w:val="single" w:sz="8" w:space="0" w:color="FFFFFF" w:themeColor="background1"/>
            </w:tcBorders>
            <w:shd w:val="clear" w:color="auto" w:fill="auto"/>
            <w:tcMar>
              <w:left w:w="57" w:type="dxa"/>
              <w:right w:w="57" w:type="dxa"/>
            </w:tcMar>
          </w:tcPr>
          <w:p w14:paraId="6703443F" w14:textId="77777777" w:rsidR="00ED0E85" w:rsidRDefault="00ED0E85" w:rsidP="00ED0E85">
            <w:pPr>
              <w:pStyle w:val="TableUnit"/>
              <w:rPr>
                <w:lang w:val="en-GB"/>
              </w:rPr>
            </w:pPr>
            <w:r>
              <w:rPr>
                <w:lang w:val="en-GB"/>
              </w:rPr>
              <w:t>‘000 m</w:t>
            </w:r>
            <w:r w:rsidRPr="00916F49">
              <w:rPr>
                <w:vertAlign w:val="superscript"/>
                <w:lang w:val="en-GB"/>
              </w:rPr>
              <w:t>2</w:t>
            </w:r>
          </w:p>
        </w:tc>
        <w:tc>
          <w:tcPr>
            <w:tcW w:w="794" w:type="dxa"/>
            <w:tcBorders>
              <w:bottom w:val="single" w:sz="8" w:space="0" w:color="FFFFFF" w:themeColor="background1"/>
            </w:tcBorders>
            <w:shd w:val="clear" w:color="auto" w:fill="auto"/>
            <w:tcMar>
              <w:left w:w="57" w:type="dxa"/>
              <w:right w:w="57" w:type="dxa"/>
            </w:tcMar>
          </w:tcPr>
          <w:p w14:paraId="035E25FE" w14:textId="77777777" w:rsidR="00ED0E85" w:rsidRDefault="00ED0E85" w:rsidP="00ED0E85">
            <w:pPr>
              <w:pStyle w:val="TableUnit"/>
              <w:rPr>
                <w:lang w:val="en-GB"/>
              </w:rPr>
            </w:pPr>
            <w:r>
              <w:rPr>
                <w:lang w:val="en-GB"/>
              </w:rPr>
              <w:t>‘000 m</w:t>
            </w:r>
            <w:r w:rsidRPr="00916F49">
              <w:rPr>
                <w:vertAlign w:val="superscript"/>
                <w:lang w:val="en-GB"/>
              </w:rPr>
              <w:t>2</w:t>
            </w:r>
          </w:p>
        </w:tc>
        <w:tc>
          <w:tcPr>
            <w:tcW w:w="793" w:type="dxa"/>
            <w:tcBorders>
              <w:bottom w:val="single" w:sz="8" w:space="0" w:color="FFFFFF" w:themeColor="background1"/>
            </w:tcBorders>
            <w:shd w:val="clear" w:color="auto" w:fill="auto"/>
            <w:tcMar>
              <w:left w:w="57" w:type="dxa"/>
              <w:right w:w="57" w:type="dxa"/>
            </w:tcMar>
          </w:tcPr>
          <w:p w14:paraId="4DE4337A" w14:textId="77777777" w:rsidR="00ED0E85" w:rsidRDefault="00ED0E85" w:rsidP="00ED0E85">
            <w:pPr>
              <w:pStyle w:val="TableUnit"/>
              <w:rPr>
                <w:lang w:val="en-GB"/>
              </w:rPr>
            </w:pPr>
            <w:r>
              <w:rPr>
                <w:lang w:val="en-GB"/>
              </w:rPr>
              <w:t>‘000 m</w:t>
            </w:r>
            <w:r w:rsidRPr="00916F49">
              <w:rPr>
                <w:vertAlign w:val="superscript"/>
                <w:lang w:val="en-GB"/>
              </w:rPr>
              <w:t>2</w:t>
            </w:r>
          </w:p>
        </w:tc>
        <w:tc>
          <w:tcPr>
            <w:tcW w:w="794" w:type="dxa"/>
            <w:tcBorders>
              <w:bottom w:val="single" w:sz="8" w:space="0" w:color="FFFFFF" w:themeColor="background1"/>
            </w:tcBorders>
            <w:shd w:val="clear" w:color="auto" w:fill="auto"/>
            <w:tcMar>
              <w:left w:w="57" w:type="dxa"/>
              <w:right w:w="57" w:type="dxa"/>
            </w:tcMar>
          </w:tcPr>
          <w:p w14:paraId="46979D9F" w14:textId="77777777" w:rsidR="00ED0E85" w:rsidRDefault="00ED0E85" w:rsidP="00ED0E85">
            <w:pPr>
              <w:pStyle w:val="TableUnit"/>
              <w:rPr>
                <w:lang w:val="en-GB"/>
              </w:rPr>
            </w:pPr>
            <w:r>
              <w:rPr>
                <w:lang w:val="en-GB"/>
              </w:rPr>
              <w:t>‘000 m</w:t>
            </w:r>
            <w:r w:rsidRPr="00916F49">
              <w:rPr>
                <w:vertAlign w:val="superscript"/>
                <w:lang w:val="en-GB"/>
              </w:rPr>
              <w:t>2</w:t>
            </w:r>
          </w:p>
        </w:tc>
        <w:tc>
          <w:tcPr>
            <w:tcW w:w="793" w:type="dxa"/>
            <w:tcBorders>
              <w:bottom w:val="single" w:sz="8" w:space="0" w:color="FFFFFF" w:themeColor="background1"/>
            </w:tcBorders>
            <w:shd w:val="clear" w:color="auto" w:fill="auto"/>
            <w:tcMar>
              <w:left w:w="57" w:type="dxa"/>
              <w:right w:w="57" w:type="dxa"/>
            </w:tcMar>
          </w:tcPr>
          <w:p w14:paraId="4186AF7C" w14:textId="77777777" w:rsidR="00ED0E85" w:rsidRDefault="00ED0E85" w:rsidP="00ED0E85">
            <w:pPr>
              <w:pStyle w:val="TableUnit"/>
              <w:rPr>
                <w:lang w:val="en-GB"/>
              </w:rPr>
            </w:pPr>
            <w:r>
              <w:rPr>
                <w:lang w:val="en-GB"/>
              </w:rPr>
              <w:t>‘000 m</w:t>
            </w:r>
            <w:r w:rsidRPr="00916F49">
              <w:rPr>
                <w:vertAlign w:val="superscript"/>
                <w:lang w:val="en-GB"/>
              </w:rPr>
              <w:t>2</w:t>
            </w:r>
          </w:p>
        </w:tc>
        <w:tc>
          <w:tcPr>
            <w:tcW w:w="794" w:type="dxa"/>
            <w:tcBorders>
              <w:bottom w:val="single" w:sz="8" w:space="0" w:color="FFFFFF" w:themeColor="background1"/>
            </w:tcBorders>
            <w:shd w:val="clear" w:color="auto" w:fill="auto"/>
            <w:tcMar>
              <w:left w:w="57" w:type="dxa"/>
              <w:right w:w="57" w:type="dxa"/>
            </w:tcMar>
          </w:tcPr>
          <w:p w14:paraId="6706EFE7" w14:textId="77777777" w:rsidR="00ED0E85" w:rsidRDefault="00ED0E85" w:rsidP="00ED0E85">
            <w:pPr>
              <w:pStyle w:val="TableUnit"/>
              <w:rPr>
                <w:lang w:val="en-GB"/>
              </w:rPr>
            </w:pPr>
            <w:r>
              <w:rPr>
                <w:lang w:val="en-GB"/>
              </w:rPr>
              <w:t>‘000 m</w:t>
            </w:r>
            <w:r w:rsidRPr="00916F49">
              <w:rPr>
                <w:vertAlign w:val="superscript"/>
                <w:lang w:val="en-GB"/>
              </w:rPr>
              <w:t>2</w:t>
            </w:r>
          </w:p>
        </w:tc>
      </w:tr>
      <w:tr w:rsidR="00ED0E85" w14:paraId="5BC4964C"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C135958" w14:textId="77777777" w:rsidR="00ED0E85" w:rsidRDefault="00ED0E85" w:rsidP="00ED0E85">
            <w:pPr>
              <w:pStyle w:val="TableHeading1"/>
              <w:rPr>
                <w:lang w:val="en-GB"/>
              </w:rPr>
            </w:pPr>
            <w:r>
              <w:rPr>
                <w:lang w:val="en-GB"/>
              </w:rPr>
              <w:t>NSW</w:t>
            </w:r>
          </w:p>
        </w:tc>
        <w:tc>
          <w:tcPr>
            <w:tcW w:w="73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D576C5E"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DE54576"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FA6AEAF"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8886236"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32CAE86"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4301CA6"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4C80191"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7F0FBDB"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2FAD4DB" w14:textId="77777777" w:rsidR="00ED0E85" w:rsidRDefault="00ED0E85" w:rsidP="00ED0E85">
            <w:pPr>
              <w:pStyle w:val="TableHeading1"/>
              <w:rPr>
                <w:lang w:val="en-GB"/>
              </w:rPr>
            </w:pPr>
          </w:p>
        </w:tc>
      </w:tr>
      <w:tr w:rsidR="00ED0E85" w14:paraId="23F135CF"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C6B90E" w14:textId="77777777" w:rsidR="00ED0E85" w:rsidRDefault="00ED0E85" w:rsidP="00ED0E85">
            <w:pPr>
              <w:pStyle w:val="TableDataEntries"/>
              <w:jc w:val="left"/>
              <w:rPr>
                <w:lang w:val="en-GB"/>
              </w:rPr>
            </w:pPr>
            <w:r>
              <w:rPr>
                <w:lang w:val="en-GB"/>
              </w:rPr>
              <w:t>0</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B60097" w14:textId="77777777" w:rsidR="00ED0E85" w:rsidRDefault="00ED0E85" w:rsidP="00ED0E85">
            <w:pPr>
              <w:pStyle w:val="TableDataEntries"/>
              <w:rPr>
                <w:lang w:val="en-GB"/>
              </w:rPr>
            </w:pPr>
            <w:r>
              <w:rPr>
                <w:lang w:val="en-GB"/>
              </w:rPr>
              <w:t xml:space="preserve"> 174.1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4164AA" w14:textId="77777777" w:rsidR="00ED0E85" w:rsidRDefault="00ED0E85" w:rsidP="00ED0E85">
            <w:pPr>
              <w:pStyle w:val="TableDataEntries"/>
              <w:rPr>
                <w:lang w:val="en-GB"/>
              </w:rPr>
            </w:pPr>
            <w:r>
              <w:rPr>
                <w:lang w:val="en-GB"/>
              </w:rPr>
              <w:t xml:space="preserve"> 71.6</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BFB65C" w14:textId="77777777" w:rsidR="00ED0E85" w:rsidRDefault="00ED0E85" w:rsidP="00ED0E85">
            <w:pPr>
              <w:pStyle w:val="TableDataEntries"/>
              <w:rPr>
                <w:lang w:val="en-GB"/>
              </w:rPr>
            </w:pPr>
            <w:r>
              <w:rPr>
                <w:lang w:val="en-GB"/>
              </w:rPr>
              <w:t xml:space="preserve"> 29.9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C3B0C7" w14:textId="77777777" w:rsidR="00ED0E85" w:rsidRDefault="00ED0E85" w:rsidP="00ED0E85">
            <w:pPr>
              <w:pStyle w:val="TableDataEntries"/>
              <w:rPr>
                <w:lang w:val="en-GB"/>
              </w:rPr>
            </w:pPr>
            <w:r>
              <w:rPr>
                <w:lang w:val="en-GB"/>
              </w:rPr>
              <w:t xml:space="preserve"> 27.4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619577" w14:textId="77777777" w:rsidR="00ED0E85" w:rsidRDefault="00ED0E85" w:rsidP="00ED0E85">
            <w:pPr>
              <w:pStyle w:val="TableDataEntries"/>
              <w:rPr>
                <w:lang w:val="en-GB"/>
              </w:rPr>
            </w:pPr>
            <w:r>
              <w:rPr>
                <w:lang w:val="en-GB"/>
              </w:rPr>
              <w:t xml:space="preserve"> 32.6</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AFC188"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A06D4E" w14:textId="77777777" w:rsidR="00ED0E85" w:rsidRDefault="00ED0E85" w:rsidP="00ED0E85">
            <w:pPr>
              <w:pStyle w:val="TableDataEntries"/>
              <w:rPr>
                <w:lang w:val="en-GB"/>
              </w:rPr>
            </w:pPr>
            <w:r>
              <w:rPr>
                <w:lang w:val="en-GB"/>
              </w:rPr>
              <w:t xml:space="preserve"> 5.5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8DF638" w14:textId="77777777" w:rsidR="00ED0E85" w:rsidRDefault="00ED0E85" w:rsidP="00ED0E85">
            <w:pPr>
              <w:pStyle w:val="TableDataEntries"/>
              <w:rPr>
                <w:lang w:val="en-GB"/>
              </w:rPr>
            </w:pPr>
            <w:r>
              <w:rPr>
                <w:lang w:val="en-GB"/>
              </w:rPr>
              <w:t xml:space="preserve"> 17.7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2B949D" w14:textId="77777777" w:rsidR="00ED0E85" w:rsidRDefault="00ED0E85" w:rsidP="00ED0E85">
            <w:pPr>
              <w:pStyle w:val="TableDataEntries"/>
              <w:rPr>
                <w:lang w:val="en-GB"/>
              </w:rPr>
            </w:pPr>
            <w:r>
              <w:rPr>
                <w:lang w:val="en-GB"/>
              </w:rPr>
              <w:t xml:space="preserve"> 0.9</w:t>
            </w:r>
          </w:p>
        </w:tc>
      </w:tr>
      <w:tr w:rsidR="00ED0E85" w14:paraId="0B516A70"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AA19E4" w14:textId="77777777" w:rsidR="00ED0E85" w:rsidRDefault="00ED0E85" w:rsidP="00ED0E85">
            <w:pPr>
              <w:pStyle w:val="TableDataEntries"/>
              <w:jc w:val="left"/>
              <w:rPr>
                <w:lang w:val="en-GB"/>
              </w:rPr>
            </w:pPr>
            <w:r>
              <w:rPr>
                <w:lang w:val="en-GB"/>
              </w:rPr>
              <w:t>1</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B03BE9" w14:textId="77777777" w:rsidR="00ED0E85" w:rsidRDefault="00ED0E85" w:rsidP="00ED0E85">
            <w:pPr>
              <w:pStyle w:val="TableDataEntries"/>
              <w:rPr>
                <w:lang w:val="en-GB"/>
              </w:rPr>
            </w:pPr>
            <w:r>
              <w:rPr>
                <w:lang w:val="en-GB"/>
              </w:rPr>
              <w:t xml:space="preserve"> 56.1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F72BB1" w14:textId="77777777" w:rsidR="00ED0E85" w:rsidRDefault="00ED0E85" w:rsidP="00ED0E85">
            <w:pPr>
              <w:pStyle w:val="TableDataEntries"/>
              <w:rPr>
                <w:lang w:val="en-GB"/>
              </w:rPr>
            </w:pPr>
            <w:r>
              <w:rPr>
                <w:lang w:val="en-GB"/>
              </w:rPr>
              <w:t xml:space="preserve"> 6.6</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53FB2B" w14:textId="77777777" w:rsidR="00ED0E85" w:rsidRDefault="00ED0E85" w:rsidP="00ED0E85">
            <w:pPr>
              <w:pStyle w:val="TableDataEntries"/>
              <w:rPr>
                <w:lang w:val="en-GB"/>
              </w:rPr>
            </w:pPr>
            <w:r>
              <w:rPr>
                <w:lang w:val="en-GB"/>
              </w:rPr>
              <w:t xml:space="preserve"> 24.0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D7809B" w14:textId="77777777" w:rsidR="00ED0E85" w:rsidRDefault="00ED0E85" w:rsidP="00ED0E85">
            <w:pPr>
              <w:pStyle w:val="TableDataEntries"/>
              <w:rPr>
                <w:lang w:val="en-GB"/>
              </w:rPr>
            </w:pPr>
            <w:r>
              <w:rPr>
                <w:lang w:val="en-GB"/>
              </w:rPr>
              <w:t xml:space="preserve"> 3.2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6D87EF" w14:textId="77777777" w:rsidR="00ED0E85" w:rsidRDefault="00ED0E85" w:rsidP="00ED0E85">
            <w:pPr>
              <w:pStyle w:val="TableDataEntries"/>
              <w:rPr>
                <w:lang w:val="en-GB"/>
              </w:rPr>
            </w:pPr>
            <w:r>
              <w:rPr>
                <w:lang w:val="en-GB"/>
              </w:rPr>
              <w:t xml:space="preserve"> 4.2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04BC8E"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C28088" w14:textId="77777777" w:rsidR="00ED0E85" w:rsidRDefault="00ED0E85" w:rsidP="00ED0E85">
            <w:pPr>
              <w:pStyle w:val="TableDataEntries"/>
              <w:rPr>
                <w:lang w:val="en-GB"/>
              </w:rPr>
            </w:pPr>
            <w:r>
              <w:rPr>
                <w:lang w:val="en-GB"/>
              </w:rPr>
              <w:t xml:space="preserve"> 18.0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C9BF4B" w14:textId="77777777" w:rsidR="00ED0E85" w:rsidRDefault="00ED0E85" w:rsidP="00ED0E85">
            <w:pPr>
              <w:pStyle w:val="TableDataEntries"/>
              <w:rPr>
                <w:lang w:val="en-GB"/>
              </w:rPr>
            </w:pPr>
            <w:r>
              <w:rPr>
                <w:lang w:val="en-GB"/>
              </w:rPr>
              <w:t xml:space="preserve"> 4.5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BC6A93" w14:textId="77777777" w:rsidR="00ED0E85" w:rsidRDefault="00ED0E85" w:rsidP="00ED0E85">
            <w:pPr>
              <w:pStyle w:val="TableDataEntries"/>
              <w:rPr>
                <w:lang w:val="en-GB"/>
              </w:rPr>
            </w:pPr>
            <w:r>
              <w:rPr>
                <w:lang w:val="en-GB"/>
              </w:rPr>
              <w:t xml:space="preserve"> 0.0</w:t>
            </w:r>
          </w:p>
        </w:tc>
      </w:tr>
      <w:tr w:rsidR="00ED0E85" w14:paraId="3607C0F4"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6D06C8" w14:textId="77777777" w:rsidR="00ED0E85" w:rsidRDefault="00ED0E85" w:rsidP="00ED0E85">
            <w:pPr>
              <w:pStyle w:val="TableDataEntries"/>
              <w:jc w:val="left"/>
              <w:rPr>
                <w:lang w:val="en-GB"/>
              </w:rPr>
            </w:pPr>
            <w:r>
              <w:rPr>
                <w:lang w:val="en-GB"/>
              </w:rPr>
              <w:t>1.5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A9F40E" w14:textId="77777777" w:rsidR="00ED0E85" w:rsidRDefault="00ED0E85" w:rsidP="00ED0E85">
            <w:pPr>
              <w:pStyle w:val="TableDataEntries"/>
              <w:rPr>
                <w:lang w:val="en-GB"/>
              </w:rPr>
            </w:pPr>
            <w:r>
              <w:rPr>
                <w:lang w:val="en-GB"/>
              </w:rPr>
              <w:t xml:space="preserve"> 89.7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04AF48" w14:textId="77777777" w:rsidR="00ED0E85" w:rsidRDefault="00ED0E85" w:rsidP="00ED0E85">
            <w:pPr>
              <w:pStyle w:val="TableDataEntries"/>
              <w:rPr>
                <w:lang w:val="en-GB"/>
              </w:rPr>
            </w:pPr>
            <w:r>
              <w:rPr>
                <w:lang w:val="en-GB"/>
              </w:rPr>
              <w:t xml:space="preserve"> 74.8</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C509BC" w14:textId="77777777" w:rsidR="00ED0E85" w:rsidRDefault="00ED0E85" w:rsidP="00ED0E85">
            <w:pPr>
              <w:pStyle w:val="TableDataEntries"/>
              <w:rPr>
                <w:lang w:val="en-GB"/>
              </w:rPr>
            </w:pPr>
            <w:r>
              <w:rPr>
                <w:lang w:val="en-GB"/>
              </w:rPr>
              <w:t xml:space="preserve"> 54.6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13746B" w14:textId="77777777" w:rsidR="00ED0E85" w:rsidRDefault="00ED0E85" w:rsidP="00ED0E85">
            <w:pPr>
              <w:pStyle w:val="TableDataEntries"/>
              <w:rPr>
                <w:lang w:val="en-GB"/>
              </w:rPr>
            </w:pPr>
            <w:r>
              <w:rPr>
                <w:lang w:val="en-GB"/>
              </w:rPr>
              <w:t xml:space="preserve"> 7.3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662848" w14:textId="77777777" w:rsidR="00ED0E85" w:rsidRDefault="00ED0E85" w:rsidP="00ED0E85">
            <w:pPr>
              <w:pStyle w:val="TableDataEntries"/>
              <w:rPr>
                <w:lang w:val="en-GB"/>
              </w:rPr>
            </w:pPr>
            <w:r>
              <w:rPr>
                <w:lang w:val="en-GB"/>
              </w:rPr>
              <w:t xml:space="preserve"> 7.0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240BEE" w14:textId="77777777" w:rsidR="00ED0E85" w:rsidRDefault="00ED0E85" w:rsidP="00ED0E85">
            <w:pPr>
              <w:pStyle w:val="TableDataEntries"/>
              <w:rPr>
                <w:lang w:val="en-GB"/>
              </w:rPr>
            </w:pPr>
            <w:r>
              <w:rPr>
                <w:lang w:val="en-GB"/>
              </w:rPr>
              <w:t xml:space="preserve"> 2.3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EA5EA9" w14:textId="77777777" w:rsidR="00ED0E85" w:rsidRDefault="00ED0E85" w:rsidP="00ED0E85">
            <w:pPr>
              <w:pStyle w:val="TableDataEntries"/>
              <w:rPr>
                <w:lang w:val="en-GB"/>
              </w:rPr>
            </w:pPr>
            <w:r>
              <w:rPr>
                <w:lang w:val="en-GB"/>
              </w:rPr>
              <w:t xml:space="preserve"> 1.9</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3E51E2" w14:textId="77777777" w:rsidR="00ED0E85" w:rsidRDefault="00ED0E85" w:rsidP="00ED0E85">
            <w:pPr>
              <w:pStyle w:val="TableDataEntries"/>
              <w:rPr>
                <w:lang w:val="en-GB"/>
              </w:rPr>
            </w:pPr>
            <w:r>
              <w:rPr>
                <w:lang w:val="en-GB"/>
              </w:rPr>
              <w:t xml:space="preserve"> 4.3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D838CC" w14:textId="77777777" w:rsidR="00ED0E85" w:rsidRDefault="00ED0E85" w:rsidP="00ED0E85">
            <w:pPr>
              <w:pStyle w:val="TableDataEntries"/>
              <w:rPr>
                <w:lang w:val="en-GB"/>
              </w:rPr>
            </w:pPr>
            <w:r>
              <w:rPr>
                <w:lang w:val="en-GB"/>
              </w:rPr>
              <w:t xml:space="preserve"> 1.6</w:t>
            </w:r>
          </w:p>
        </w:tc>
      </w:tr>
      <w:tr w:rsidR="00ED0E85" w14:paraId="743D49C7"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82181F" w14:textId="77777777" w:rsidR="00ED0E85" w:rsidRDefault="00ED0E85" w:rsidP="00ED0E85">
            <w:pPr>
              <w:pStyle w:val="TableDataEntries"/>
              <w:jc w:val="left"/>
              <w:rPr>
                <w:lang w:val="en-GB"/>
              </w:rPr>
            </w:pPr>
            <w:r>
              <w:rPr>
                <w:lang w:val="en-GB"/>
              </w:rPr>
              <w:t>2</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E4420B" w14:textId="77777777" w:rsidR="00ED0E85" w:rsidRDefault="00ED0E85" w:rsidP="00ED0E85">
            <w:pPr>
              <w:pStyle w:val="TableDataEntries"/>
              <w:rPr>
                <w:lang w:val="en-GB"/>
              </w:rPr>
            </w:pPr>
            <w:r>
              <w:rPr>
                <w:lang w:val="en-GB"/>
              </w:rPr>
              <w:t xml:space="preserve"> 130.3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C65F3C" w14:textId="77777777" w:rsidR="00ED0E85" w:rsidRDefault="00ED0E85" w:rsidP="00ED0E85">
            <w:pPr>
              <w:pStyle w:val="TableDataEntries"/>
              <w:rPr>
                <w:lang w:val="en-GB"/>
              </w:rPr>
            </w:pPr>
            <w:r>
              <w:rPr>
                <w:lang w:val="en-GB"/>
              </w:rPr>
              <w:t xml:space="preserve"> 62.7</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406654" w14:textId="77777777" w:rsidR="00ED0E85" w:rsidRDefault="00ED0E85" w:rsidP="00ED0E85">
            <w:pPr>
              <w:pStyle w:val="TableDataEntries"/>
              <w:rPr>
                <w:lang w:val="en-GB"/>
              </w:rPr>
            </w:pPr>
            <w:r>
              <w:rPr>
                <w:lang w:val="en-GB"/>
              </w:rPr>
              <w:t xml:space="preserve"> 16.5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A25CB7" w14:textId="77777777" w:rsidR="00ED0E85" w:rsidRDefault="00ED0E85" w:rsidP="00ED0E85">
            <w:pPr>
              <w:pStyle w:val="TableDataEntries"/>
              <w:rPr>
                <w:lang w:val="en-GB"/>
              </w:rPr>
            </w:pPr>
            <w:r>
              <w:rPr>
                <w:lang w:val="en-GB"/>
              </w:rPr>
              <w:t xml:space="preserve"> 6.8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CB94CB"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18386A" w14:textId="77777777" w:rsidR="00ED0E85" w:rsidRDefault="00ED0E85" w:rsidP="00ED0E85">
            <w:pPr>
              <w:pStyle w:val="TableDataEntries"/>
              <w:rPr>
                <w:lang w:val="en-GB"/>
              </w:rPr>
            </w:pPr>
            <w:r>
              <w:rPr>
                <w:lang w:val="en-GB"/>
              </w:rPr>
              <w:t xml:space="preserve"> 6.8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392056" w14:textId="77777777" w:rsidR="00ED0E85" w:rsidRDefault="00ED0E85" w:rsidP="00ED0E85">
            <w:pPr>
              <w:pStyle w:val="TableDataEntries"/>
              <w:rPr>
                <w:lang w:val="en-GB"/>
              </w:rPr>
            </w:pPr>
            <w:r>
              <w:rPr>
                <w:lang w:val="en-GB"/>
              </w:rPr>
              <w:t xml:space="preserve"> 19.6</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9A5751" w14:textId="77777777" w:rsidR="00ED0E85" w:rsidRDefault="00ED0E85" w:rsidP="00ED0E85">
            <w:pPr>
              <w:pStyle w:val="TableDataEntries"/>
              <w:rPr>
                <w:lang w:val="en-GB"/>
              </w:rPr>
            </w:pPr>
            <w:r>
              <w:rPr>
                <w:lang w:val="en-GB"/>
              </w:rPr>
              <w:t xml:space="preserve"> 5.1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146A42" w14:textId="77777777" w:rsidR="00ED0E85" w:rsidRDefault="00ED0E85" w:rsidP="00ED0E85">
            <w:pPr>
              <w:pStyle w:val="TableDataEntries"/>
              <w:rPr>
                <w:lang w:val="en-GB"/>
              </w:rPr>
            </w:pPr>
            <w:r>
              <w:rPr>
                <w:lang w:val="en-GB"/>
              </w:rPr>
              <w:t xml:space="preserve"> 12.6</w:t>
            </w:r>
          </w:p>
        </w:tc>
      </w:tr>
      <w:tr w:rsidR="00ED0E85" w14:paraId="164E6B20"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445565" w14:textId="77777777" w:rsidR="00ED0E85" w:rsidRDefault="00ED0E85" w:rsidP="00ED0E85">
            <w:pPr>
              <w:pStyle w:val="TableDataEntries"/>
              <w:jc w:val="left"/>
              <w:rPr>
                <w:lang w:val="en-GB"/>
              </w:rPr>
            </w:pPr>
            <w:r>
              <w:rPr>
                <w:lang w:val="en-GB"/>
              </w:rPr>
              <w:t>2.5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8CF881" w14:textId="77777777" w:rsidR="00ED0E85" w:rsidRDefault="00ED0E85" w:rsidP="00ED0E85">
            <w:pPr>
              <w:pStyle w:val="TableDataEntries"/>
              <w:rPr>
                <w:lang w:val="en-GB"/>
              </w:rPr>
            </w:pPr>
            <w:r>
              <w:rPr>
                <w:lang w:val="en-GB"/>
              </w:rPr>
              <w:t xml:space="preserve"> 155.6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264D99" w14:textId="77777777" w:rsidR="00ED0E85" w:rsidRDefault="00ED0E85" w:rsidP="00ED0E85">
            <w:pPr>
              <w:pStyle w:val="TableDataEntries"/>
              <w:rPr>
                <w:lang w:val="en-GB"/>
              </w:rPr>
            </w:pPr>
            <w:r>
              <w:rPr>
                <w:lang w:val="en-GB"/>
              </w:rPr>
              <w:t xml:space="preserve"> 77.8</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7BAD2B" w14:textId="77777777" w:rsidR="00ED0E85" w:rsidRDefault="00ED0E85" w:rsidP="00ED0E85">
            <w:pPr>
              <w:pStyle w:val="TableDataEntries"/>
              <w:rPr>
                <w:lang w:val="en-GB"/>
              </w:rPr>
            </w:pPr>
            <w:r>
              <w:rPr>
                <w:lang w:val="en-GB"/>
              </w:rPr>
              <w:t xml:space="preserve"> 98.2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AF0224" w14:textId="77777777" w:rsidR="00ED0E85" w:rsidRDefault="00ED0E85" w:rsidP="00ED0E85">
            <w:pPr>
              <w:pStyle w:val="TableDataEntries"/>
              <w:rPr>
                <w:lang w:val="en-GB"/>
              </w:rPr>
            </w:pPr>
            <w:r>
              <w:rPr>
                <w:lang w:val="en-GB"/>
              </w:rPr>
              <w:t xml:space="preserve"> 45.3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F20FC4" w14:textId="77777777" w:rsidR="00ED0E85" w:rsidRDefault="00ED0E85" w:rsidP="00ED0E85">
            <w:pPr>
              <w:pStyle w:val="TableDataEntries"/>
              <w:rPr>
                <w:lang w:val="en-GB"/>
              </w:rPr>
            </w:pPr>
            <w:r>
              <w:rPr>
                <w:lang w:val="en-GB"/>
              </w:rPr>
              <w:t xml:space="preserve"> 12.2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53D998" w14:textId="77777777" w:rsidR="00ED0E85" w:rsidRDefault="00ED0E85" w:rsidP="00ED0E85">
            <w:pPr>
              <w:pStyle w:val="TableDataEntries"/>
              <w:rPr>
                <w:lang w:val="en-GB"/>
              </w:rPr>
            </w:pPr>
            <w:r>
              <w:rPr>
                <w:lang w:val="en-GB"/>
              </w:rPr>
              <w:t xml:space="preserve"> 7.0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CFA51D" w14:textId="77777777" w:rsidR="00ED0E85" w:rsidRDefault="00ED0E85" w:rsidP="00ED0E85">
            <w:pPr>
              <w:pStyle w:val="TableDataEntries"/>
              <w:rPr>
                <w:lang w:val="en-GB"/>
              </w:rPr>
            </w:pPr>
            <w:r>
              <w:rPr>
                <w:lang w:val="en-GB"/>
              </w:rPr>
              <w:t xml:space="preserve"> 3.4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FE1DFA" w14:textId="77777777" w:rsidR="00ED0E85" w:rsidRDefault="00ED0E85" w:rsidP="00ED0E85">
            <w:pPr>
              <w:pStyle w:val="TableDataEntries"/>
              <w:rPr>
                <w:lang w:val="en-GB"/>
              </w:rPr>
            </w:pPr>
            <w:r>
              <w:rPr>
                <w:lang w:val="en-GB"/>
              </w:rPr>
              <w:t xml:space="preserve"> 4.6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D0F4DC" w14:textId="77777777" w:rsidR="00ED0E85" w:rsidRDefault="00ED0E85" w:rsidP="00ED0E85">
            <w:pPr>
              <w:pStyle w:val="TableDataEntries"/>
              <w:rPr>
                <w:lang w:val="en-GB"/>
              </w:rPr>
            </w:pPr>
            <w:r>
              <w:rPr>
                <w:lang w:val="en-GB"/>
              </w:rPr>
              <w:t xml:space="preserve"> 1.2</w:t>
            </w:r>
          </w:p>
        </w:tc>
      </w:tr>
      <w:tr w:rsidR="00ED0E85" w14:paraId="2FF746A3"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705DE0" w14:textId="77777777" w:rsidR="00ED0E85" w:rsidRDefault="00ED0E85" w:rsidP="00ED0E85">
            <w:pPr>
              <w:pStyle w:val="TableDataEntries"/>
              <w:jc w:val="left"/>
              <w:rPr>
                <w:lang w:val="en-GB"/>
              </w:rPr>
            </w:pPr>
            <w:r>
              <w:rPr>
                <w:lang w:val="en-GB"/>
              </w:rPr>
              <w:t>3</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CE3D81" w14:textId="77777777" w:rsidR="00ED0E85" w:rsidRDefault="00ED0E85" w:rsidP="00ED0E85">
            <w:pPr>
              <w:pStyle w:val="TableDataEntries"/>
              <w:rPr>
                <w:lang w:val="en-GB"/>
              </w:rPr>
            </w:pPr>
            <w:r>
              <w:rPr>
                <w:lang w:val="en-GB"/>
              </w:rPr>
              <w:t xml:space="preserve"> 127.9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1A639D" w14:textId="77777777" w:rsidR="00ED0E85" w:rsidRDefault="00ED0E85" w:rsidP="00ED0E85">
            <w:pPr>
              <w:pStyle w:val="TableDataEntries"/>
              <w:rPr>
                <w:lang w:val="en-GB"/>
              </w:rPr>
            </w:pPr>
            <w:r>
              <w:rPr>
                <w:lang w:val="en-GB"/>
              </w:rPr>
              <w:t xml:space="preserve"> 61.7</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6C7181" w14:textId="77777777" w:rsidR="00ED0E85" w:rsidRDefault="00ED0E85" w:rsidP="00ED0E85">
            <w:pPr>
              <w:pStyle w:val="TableDataEntries"/>
              <w:rPr>
                <w:lang w:val="en-GB"/>
              </w:rPr>
            </w:pPr>
            <w:r>
              <w:rPr>
                <w:lang w:val="en-GB"/>
              </w:rPr>
              <w:t xml:space="preserve"> 76.5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4B11E5" w14:textId="77777777" w:rsidR="00ED0E85" w:rsidRDefault="00ED0E85" w:rsidP="00ED0E85">
            <w:pPr>
              <w:pStyle w:val="TableDataEntries"/>
              <w:rPr>
                <w:lang w:val="en-GB"/>
              </w:rPr>
            </w:pPr>
            <w:r>
              <w:rPr>
                <w:lang w:val="en-GB"/>
              </w:rPr>
              <w:t xml:space="preserve"> 41.8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FA4239" w14:textId="77777777" w:rsidR="00ED0E85" w:rsidRDefault="00ED0E85" w:rsidP="00ED0E85">
            <w:pPr>
              <w:pStyle w:val="TableDataEntries"/>
              <w:rPr>
                <w:lang w:val="en-GB"/>
              </w:rPr>
            </w:pPr>
            <w:r>
              <w:rPr>
                <w:lang w:val="en-GB"/>
              </w:rPr>
              <w:t xml:space="preserve"> 12.2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CB8236" w14:textId="77777777" w:rsidR="00ED0E85" w:rsidRDefault="00ED0E85" w:rsidP="00ED0E85">
            <w:pPr>
              <w:pStyle w:val="TableDataEntries"/>
              <w:rPr>
                <w:lang w:val="en-GB"/>
              </w:rPr>
            </w:pPr>
            <w:r>
              <w:rPr>
                <w:lang w:val="en-GB"/>
              </w:rPr>
              <w:t xml:space="preserve"> 5.0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4F34F9"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B008C1" w14:textId="77777777" w:rsidR="00ED0E85" w:rsidRDefault="00ED0E85" w:rsidP="00ED0E85">
            <w:pPr>
              <w:pStyle w:val="TableDataEntries"/>
              <w:rPr>
                <w:lang w:val="en-GB"/>
              </w:rPr>
            </w:pPr>
            <w:r>
              <w:rPr>
                <w:lang w:val="en-GB"/>
              </w:rPr>
              <w:t xml:space="preserve"> 17.2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4C94DA" w14:textId="77777777" w:rsidR="00ED0E85" w:rsidRDefault="00ED0E85" w:rsidP="00ED0E85">
            <w:pPr>
              <w:pStyle w:val="TableDataEntries"/>
              <w:rPr>
                <w:lang w:val="en-GB"/>
              </w:rPr>
            </w:pPr>
            <w:r>
              <w:rPr>
                <w:lang w:val="en-GB"/>
              </w:rPr>
              <w:t xml:space="preserve"> 9.6</w:t>
            </w:r>
          </w:p>
        </w:tc>
      </w:tr>
      <w:tr w:rsidR="00ED0E85" w14:paraId="46A85691"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5DB415" w14:textId="77777777" w:rsidR="00ED0E85" w:rsidRDefault="00ED0E85" w:rsidP="00ED0E85">
            <w:pPr>
              <w:pStyle w:val="TableDataEntries"/>
              <w:jc w:val="left"/>
              <w:rPr>
                <w:lang w:val="en-GB"/>
              </w:rPr>
            </w:pPr>
            <w:r>
              <w:rPr>
                <w:lang w:val="en-GB"/>
              </w:rPr>
              <w:t>3.5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D24D70" w14:textId="77777777" w:rsidR="00ED0E85" w:rsidRDefault="00ED0E85" w:rsidP="00ED0E85">
            <w:pPr>
              <w:pStyle w:val="TableDataEntries"/>
              <w:rPr>
                <w:lang w:val="en-GB"/>
              </w:rPr>
            </w:pPr>
            <w:r>
              <w:rPr>
                <w:lang w:val="en-GB"/>
              </w:rPr>
              <w:t xml:space="preserve"> 151.4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F1AA4A" w14:textId="77777777" w:rsidR="00ED0E85" w:rsidRDefault="00ED0E85" w:rsidP="00ED0E85">
            <w:pPr>
              <w:pStyle w:val="TableDataEntries"/>
              <w:rPr>
                <w:lang w:val="en-GB"/>
              </w:rPr>
            </w:pPr>
            <w:r>
              <w:rPr>
                <w:lang w:val="en-GB"/>
              </w:rPr>
              <w:t xml:space="preserve"> 51.5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1EA23C" w14:textId="77777777" w:rsidR="00ED0E85" w:rsidRDefault="00ED0E85" w:rsidP="00ED0E85">
            <w:pPr>
              <w:pStyle w:val="TableDataEntries"/>
              <w:rPr>
                <w:lang w:val="en-GB"/>
              </w:rPr>
            </w:pPr>
            <w:r>
              <w:rPr>
                <w:lang w:val="en-GB"/>
              </w:rPr>
              <w:t xml:space="preserve"> 24.9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42D155" w14:textId="77777777" w:rsidR="00ED0E85" w:rsidRDefault="00ED0E85" w:rsidP="00ED0E85">
            <w:pPr>
              <w:pStyle w:val="TableDataEntries"/>
              <w:rPr>
                <w:lang w:val="en-GB"/>
              </w:rPr>
            </w:pPr>
            <w:r>
              <w:rPr>
                <w:lang w:val="en-GB"/>
              </w:rPr>
              <w:t xml:space="preserve"> 34.9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657556" w14:textId="77777777" w:rsidR="00ED0E85" w:rsidRDefault="00ED0E85" w:rsidP="00ED0E85">
            <w:pPr>
              <w:pStyle w:val="TableDataEntries"/>
              <w:rPr>
                <w:lang w:val="en-GB"/>
              </w:rPr>
            </w:pPr>
            <w:r>
              <w:rPr>
                <w:lang w:val="en-GB"/>
              </w:rPr>
              <w:t xml:space="preserve"> 50.1</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531459" w14:textId="77777777" w:rsidR="00ED0E85" w:rsidRDefault="00ED0E85" w:rsidP="00ED0E85">
            <w:pPr>
              <w:pStyle w:val="TableDataEntries"/>
              <w:rPr>
                <w:lang w:val="en-GB"/>
              </w:rPr>
            </w:pPr>
            <w:r>
              <w:rPr>
                <w:lang w:val="en-GB"/>
              </w:rPr>
              <w:t xml:space="preserve"> 8.4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406557" w14:textId="77777777" w:rsidR="00ED0E85" w:rsidRDefault="00ED0E85" w:rsidP="00ED0E85">
            <w:pPr>
              <w:pStyle w:val="TableDataEntries"/>
              <w:rPr>
                <w:lang w:val="en-GB"/>
              </w:rPr>
            </w:pPr>
            <w:r>
              <w:rPr>
                <w:lang w:val="en-GB"/>
              </w:rPr>
              <w:t xml:space="preserve"> 15.9</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7C72C3" w14:textId="77777777" w:rsidR="00ED0E85" w:rsidRDefault="00ED0E85" w:rsidP="00ED0E85">
            <w:pPr>
              <w:pStyle w:val="TableDataEntries"/>
              <w:rPr>
                <w:lang w:val="en-GB"/>
              </w:rPr>
            </w:pPr>
            <w:r>
              <w:rPr>
                <w:lang w:val="en-GB"/>
              </w:rPr>
              <w:t xml:space="preserve"> 27.2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4B9538" w14:textId="77777777" w:rsidR="00ED0E85" w:rsidRDefault="00ED0E85" w:rsidP="00ED0E85">
            <w:pPr>
              <w:pStyle w:val="TableDataEntries"/>
              <w:rPr>
                <w:lang w:val="en-GB"/>
              </w:rPr>
            </w:pPr>
            <w:r>
              <w:rPr>
                <w:lang w:val="en-GB"/>
              </w:rPr>
              <w:t xml:space="preserve"> 0.0</w:t>
            </w:r>
          </w:p>
        </w:tc>
      </w:tr>
      <w:tr w:rsidR="00ED0E85" w14:paraId="30CBFA3B"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0DCE9E" w14:textId="77777777" w:rsidR="00ED0E85" w:rsidRDefault="00ED0E85" w:rsidP="00ED0E85">
            <w:pPr>
              <w:pStyle w:val="TableDataEntries"/>
              <w:jc w:val="left"/>
              <w:rPr>
                <w:lang w:val="en-GB"/>
              </w:rPr>
            </w:pPr>
            <w:r>
              <w:rPr>
                <w:lang w:val="en-GB"/>
              </w:rPr>
              <w:t>4</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BC6A5B" w14:textId="77777777" w:rsidR="00ED0E85" w:rsidRDefault="00ED0E85" w:rsidP="00ED0E85">
            <w:pPr>
              <w:pStyle w:val="TableDataEntries"/>
              <w:rPr>
                <w:lang w:val="en-GB"/>
              </w:rPr>
            </w:pPr>
            <w:r>
              <w:rPr>
                <w:lang w:val="en-GB"/>
              </w:rPr>
              <w:t xml:space="preserve"> 128.9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48C833" w14:textId="77777777" w:rsidR="00ED0E85" w:rsidRDefault="00ED0E85" w:rsidP="00ED0E85">
            <w:pPr>
              <w:pStyle w:val="TableDataEntries"/>
              <w:rPr>
                <w:lang w:val="en-GB"/>
              </w:rPr>
            </w:pPr>
            <w:r>
              <w:rPr>
                <w:lang w:val="en-GB"/>
              </w:rPr>
              <w:t xml:space="preserve"> 55.5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352DA2" w14:textId="77777777" w:rsidR="00ED0E85" w:rsidRDefault="00ED0E85" w:rsidP="00ED0E85">
            <w:pPr>
              <w:pStyle w:val="TableDataEntries"/>
              <w:rPr>
                <w:lang w:val="en-GB"/>
              </w:rPr>
            </w:pPr>
            <w:r>
              <w:rPr>
                <w:lang w:val="en-GB"/>
              </w:rPr>
              <w:t xml:space="preserve"> 41.5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248948" w14:textId="77777777" w:rsidR="00ED0E85" w:rsidRDefault="00ED0E85" w:rsidP="00ED0E85">
            <w:pPr>
              <w:pStyle w:val="TableDataEntries"/>
              <w:rPr>
                <w:lang w:val="en-GB"/>
              </w:rPr>
            </w:pPr>
            <w:r>
              <w:rPr>
                <w:lang w:val="en-GB"/>
              </w:rPr>
              <w:t xml:space="preserve"> 73.4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B33225" w14:textId="77777777" w:rsidR="00ED0E85" w:rsidRDefault="00ED0E85" w:rsidP="00ED0E85">
            <w:pPr>
              <w:pStyle w:val="TableDataEntries"/>
              <w:rPr>
                <w:lang w:val="en-GB"/>
              </w:rPr>
            </w:pPr>
            <w:r>
              <w:rPr>
                <w:lang w:val="en-GB"/>
              </w:rPr>
              <w:t xml:space="preserve"> 37.3</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97AEFB" w14:textId="77777777" w:rsidR="00ED0E85" w:rsidRDefault="00ED0E85" w:rsidP="00ED0E85">
            <w:pPr>
              <w:pStyle w:val="TableDataEntries"/>
              <w:rPr>
                <w:lang w:val="en-GB"/>
              </w:rPr>
            </w:pPr>
            <w:r>
              <w:rPr>
                <w:lang w:val="en-GB"/>
              </w:rPr>
              <w:t xml:space="preserve"> 8.9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207846" w14:textId="77777777" w:rsidR="00ED0E85" w:rsidRDefault="00ED0E85" w:rsidP="00ED0E85">
            <w:pPr>
              <w:pStyle w:val="TableDataEntries"/>
              <w:rPr>
                <w:lang w:val="en-GB"/>
              </w:rPr>
            </w:pPr>
            <w:r>
              <w:rPr>
                <w:lang w:val="en-GB"/>
              </w:rPr>
              <w:t xml:space="preserve"> 8.6</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B2EBE5" w14:textId="77777777" w:rsidR="00ED0E85" w:rsidRDefault="00ED0E85" w:rsidP="00ED0E85">
            <w:pPr>
              <w:pStyle w:val="TableDataEntries"/>
              <w:rPr>
                <w:lang w:val="en-GB"/>
              </w:rPr>
            </w:pPr>
            <w:r>
              <w:rPr>
                <w:lang w:val="en-GB"/>
              </w:rPr>
              <w:t xml:space="preserve"> 31.3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10AD10" w14:textId="77777777" w:rsidR="00ED0E85" w:rsidRDefault="00ED0E85" w:rsidP="00ED0E85">
            <w:pPr>
              <w:pStyle w:val="TableDataEntries"/>
              <w:rPr>
                <w:lang w:val="en-GB"/>
              </w:rPr>
            </w:pPr>
            <w:r>
              <w:rPr>
                <w:lang w:val="en-GB"/>
              </w:rPr>
              <w:t xml:space="preserve"> 23.2</w:t>
            </w:r>
          </w:p>
        </w:tc>
      </w:tr>
      <w:tr w:rsidR="00ED0E85" w14:paraId="5E9C41D2"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4B84D9" w14:textId="77777777" w:rsidR="00ED0E85" w:rsidRDefault="00ED0E85" w:rsidP="00ED0E85">
            <w:pPr>
              <w:pStyle w:val="TableDataEntries"/>
              <w:jc w:val="left"/>
              <w:rPr>
                <w:lang w:val="en-GB"/>
              </w:rPr>
            </w:pPr>
            <w:r>
              <w:rPr>
                <w:lang w:val="en-GB"/>
              </w:rPr>
              <w:t>4.5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344363" w14:textId="77777777" w:rsidR="00ED0E85" w:rsidRDefault="00ED0E85" w:rsidP="00ED0E85">
            <w:pPr>
              <w:pStyle w:val="TableDataEntries"/>
              <w:rPr>
                <w:lang w:val="en-GB"/>
              </w:rPr>
            </w:pPr>
            <w:r>
              <w:rPr>
                <w:lang w:val="en-GB"/>
              </w:rPr>
              <w:t xml:space="preserve"> 65.0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09FC8A" w14:textId="77777777" w:rsidR="00ED0E85" w:rsidRDefault="00ED0E85" w:rsidP="00ED0E85">
            <w:pPr>
              <w:pStyle w:val="TableDataEntries"/>
              <w:rPr>
                <w:lang w:val="en-GB"/>
              </w:rPr>
            </w:pPr>
            <w:r>
              <w:rPr>
                <w:lang w:val="en-GB"/>
              </w:rPr>
              <w:t xml:space="preserve"> 49.9</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2A103A" w14:textId="77777777" w:rsidR="00ED0E85" w:rsidRDefault="00ED0E85" w:rsidP="00ED0E85">
            <w:pPr>
              <w:pStyle w:val="TableDataEntries"/>
              <w:rPr>
                <w:lang w:val="en-GB"/>
              </w:rPr>
            </w:pPr>
            <w:r>
              <w:rPr>
                <w:lang w:val="en-GB"/>
              </w:rPr>
              <w:t xml:space="preserve"> 122.5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BD4F98" w14:textId="77777777" w:rsidR="00ED0E85" w:rsidRDefault="00ED0E85" w:rsidP="00ED0E85">
            <w:pPr>
              <w:pStyle w:val="TableDataEntries"/>
              <w:rPr>
                <w:lang w:val="en-GB"/>
              </w:rPr>
            </w:pPr>
            <w:r>
              <w:rPr>
                <w:lang w:val="en-GB"/>
              </w:rPr>
              <w:t xml:space="preserve"> 229.7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A361D7" w14:textId="77777777" w:rsidR="00ED0E85" w:rsidRDefault="00ED0E85" w:rsidP="00ED0E85">
            <w:pPr>
              <w:pStyle w:val="TableDataEntries"/>
              <w:rPr>
                <w:lang w:val="en-GB"/>
              </w:rPr>
            </w:pPr>
            <w:r>
              <w:rPr>
                <w:lang w:val="en-GB"/>
              </w:rPr>
              <w:t xml:space="preserve"> 76.5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ED7D53" w14:textId="77777777" w:rsidR="00ED0E85" w:rsidRDefault="00ED0E85" w:rsidP="00ED0E85">
            <w:pPr>
              <w:pStyle w:val="TableDataEntries"/>
              <w:rPr>
                <w:lang w:val="en-GB"/>
              </w:rPr>
            </w:pPr>
            <w:r>
              <w:rPr>
                <w:lang w:val="en-GB"/>
              </w:rPr>
              <w:t xml:space="preserve"> 21.5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EDBBAE" w14:textId="77777777" w:rsidR="00ED0E85" w:rsidRDefault="00ED0E85" w:rsidP="00ED0E85">
            <w:pPr>
              <w:pStyle w:val="TableDataEntries"/>
              <w:rPr>
                <w:lang w:val="en-GB"/>
              </w:rPr>
            </w:pPr>
            <w:r>
              <w:rPr>
                <w:lang w:val="en-GB"/>
              </w:rPr>
              <w:t xml:space="preserve"> 40.8</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45FCF2" w14:textId="77777777" w:rsidR="00ED0E85" w:rsidRDefault="00ED0E85" w:rsidP="00ED0E85">
            <w:pPr>
              <w:pStyle w:val="TableDataEntries"/>
              <w:rPr>
                <w:lang w:val="en-GB"/>
              </w:rPr>
            </w:pPr>
            <w:r>
              <w:rPr>
                <w:lang w:val="en-GB"/>
              </w:rPr>
              <w:t xml:space="preserve"> 42.2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0597C5" w14:textId="77777777" w:rsidR="00ED0E85" w:rsidRDefault="00ED0E85" w:rsidP="00ED0E85">
            <w:pPr>
              <w:pStyle w:val="TableDataEntries"/>
              <w:rPr>
                <w:lang w:val="en-GB"/>
              </w:rPr>
            </w:pPr>
            <w:r>
              <w:rPr>
                <w:lang w:val="en-GB"/>
              </w:rPr>
              <w:t xml:space="preserve"> 43.9</w:t>
            </w:r>
          </w:p>
        </w:tc>
      </w:tr>
      <w:tr w:rsidR="00ED0E85" w14:paraId="76BDAECA"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960CA7" w14:textId="77777777" w:rsidR="00ED0E85" w:rsidRDefault="00ED0E85" w:rsidP="00ED0E85">
            <w:pPr>
              <w:pStyle w:val="TableDataEntries"/>
              <w:jc w:val="left"/>
              <w:rPr>
                <w:lang w:val="en-GB"/>
              </w:rPr>
            </w:pPr>
            <w:r>
              <w:rPr>
                <w:lang w:val="en-GB"/>
              </w:rPr>
              <w:t>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7023B5" w14:textId="77777777" w:rsidR="00ED0E85" w:rsidRDefault="00ED0E85" w:rsidP="00ED0E85">
            <w:pPr>
              <w:pStyle w:val="TableDataEntries"/>
              <w:rPr>
                <w:lang w:val="en-GB"/>
              </w:rPr>
            </w:pPr>
            <w:r>
              <w:rPr>
                <w:lang w:val="en-GB"/>
              </w:rPr>
              <w:t xml:space="preserve"> 135.8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16A3B6" w14:textId="77777777" w:rsidR="00ED0E85" w:rsidRDefault="00ED0E85" w:rsidP="00ED0E85">
            <w:pPr>
              <w:pStyle w:val="TableDataEntries"/>
              <w:rPr>
                <w:lang w:val="en-GB"/>
              </w:rPr>
            </w:pPr>
            <w:r>
              <w:rPr>
                <w:lang w:val="en-GB"/>
              </w:rPr>
              <w:t xml:space="preserve"> 104.2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931F23" w14:textId="77777777" w:rsidR="00ED0E85" w:rsidRDefault="00ED0E85" w:rsidP="00ED0E85">
            <w:pPr>
              <w:pStyle w:val="TableDataEntries"/>
              <w:rPr>
                <w:lang w:val="en-GB"/>
              </w:rPr>
            </w:pPr>
            <w:r>
              <w:rPr>
                <w:lang w:val="en-GB"/>
              </w:rPr>
              <w:t xml:space="preserve"> 101.5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1E4706" w14:textId="77777777" w:rsidR="00ED0E85" w:rsidRDefault="00ED0E85" w:rsidP="00ED0E85">
            <w:pPr>
              <w:pStyle w:val="TableDataEntries"/>
              <w:rPr>
                <w:lang w:val="en-GB"/>
              </w:rPr>
            </w:pPr>
            <w:r>
              <w:rPr>
                <w:lang w:val="en-GB"/>
              </w:rPr>
              <w:t xml:space="preserve"> 160.7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978BB2" w14:textId="77777777" w:rsidR="00ED0E85" w:rsidRDefault="00ED0E85" w:rsidP="00ED0E85">
            <w:pPr>
              <w:pStyle w:val="TableDataEntries"/>
              <w:rPr>
                <w:lang w:val="en-GB"/>
              </w:rPr>
            </w:pPr>
            <w:r>
              <w:rPr>
                <w:lang w:val="en-GB"/>
              </w:rPr>
              <w:t xml:space="preserve"> 168.8</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D6EF53" w14:textId="77777777" w:rsidR="00ED0E85" w:rsidRDefault="00ED0E85" w:rsidP="00ED0E85">
            <w:pPr>
              <w:pStyle w:val="TableDataEntries"/>
              <w:rPr>
                <w:lang w:val="en-GB"/>
              </w:rPr>
            </w:pPr>
            <w:r>
              <w:rPr>
                <w:lang w:val="en-GB"/>
              </w:rPr>
              <w:t xml:space="preserve"> 38.8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A81DD2" w14:textId="77777777" w:rsidR="00ED0E85" w:rsidRDefault="00ED0E85" w:rsidP="00ED0E85">
            <w:pPr>
              <w:pStyle w:val="TableDataEntries"/>
              <w:rPr>
                <w:lang w:val="en-GB"/>
              </w:rPr>
            </w:pPr>
            <w:r>
              <w:rPr>
                <w:lang w:val="en-GB"/>
              </w:rPr>
              <w:t xml:space="preserve"> 41.2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8CAC85" w14:textId="77777777" w:rsidR="00ED0E85" w:rsidRDefault="00ED0E85" w:rsidP="00ED0E85">
            <w:pPr>
              <w:pStyle w:val="TableDataEntries"/>
              <w:rPr>
                <w:lang w:val="en-GB"/>
              </w:rPr>
            </w:pPr>
            <w:r>
              <w:rPr>
                <w:lang w:val="en-GB"/>
              </w:rPr>
              <w:t xml:space="preserve"> 212.9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C3631A" w14:textId="77777777" w:rsidR="00ED0E85" w:rsidRDefault="00ED0E85" w:rsidP="00ED0E85">
            <w:pPr>
              <w:pStyle w:val="TableDataEntries"/>
              <w:rPr>
                <w:lang w:val="en-GB"/>
              </w:rPr>
            </w:pPr>
            <w:r>
              <w:rPr>
                <w:lang w:val="en-GB"/>
              </w:rPr>
              <w:t xml:space="preserve"> 114.7</w:t>
            </w:r>
          </w:p>
        </w:tc>
      </w:tr>
      <w:tr w:rsidR="00ED0E85" w14:paraId="5EE1BBC8"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E76D1F" w14:textId="77777777" w:rsidR="00ED0E85" w:rsidRDefault="00ED0E85" w:rsidP="00ED0E85">
            <w:pPr>
              <w:pStyle w:val="TableDataEntries"/>
              <w:jc w:val="left"/>
              <w:rPr>
                <w:lang w:val="en-GB"/>
              </w:rPr>
            </w:pPr>
            <w:r>
              <w:rPr>
                <w:lang w:val="en-GB"/>
              </w:rPr>
              <w:t>5.5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523445" w14:textId="77777777" w:rsidR="00ED0E85" w:rsidRDefault="00ED0E85" w:rsidP="00ED0E85">
            <w:pPr>
              <w:pStyle w:val="TableDataEntries"/>
              <w:rPr>
                <w:lang w:val="en-GB"/>
              </w:rPr>
            </w:pPr>
            <w:r>
              <w:rPr>
                <w:lang w:val="en-GB"/>
              </w:rPr>
              <w:t xml:space="preserve"> 23.9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AC3E7E" w14:textId="77777777" w:rsidR="00ED0E85" w:rsidRDefault="00ED0E85" w:rsidP="00ED0E85">
            <w:pPr>
              <w:pStyle w:val="TableDataEntries"/>
              <w:rPr>
                <w:lang w:val="en-GB"/>
              </w:rPr>
            </w:pPr>
            <w:r>
              <w:rPr>
                <w:lang w:val="en-GB"/>
              </w:rPr>
              <w:t xml:space="preserve"> 37.6</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E63253" w14:textId="77777777" w:rsidR="00ED0E85" w:rsidRDefault="00ED0E85" w:rsidP="00ED0E85">
            <w:pPr>
              <w:pStyle w:val="TableDataEntries"/>
              <w:rPr>
                <w:lang w:val="en-GB"/>
              </w:rPr>
            </w:pPr>
            <w:r>
              <w:rPr>
                <w:lang w:val="en-GB"/>
              </w:rPr>
              <w:t xml:space="preserve"> 31.3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259017" w14:textId="77777777" w:rsidR="00ED0E85" w:rsidRDefault="00ED0E85" w:rsidP="00ED0E85">
            <w:pPr>
              <w:pStyle w:val="TableDataEntries"/>
              <w:rPr>
                <w:lang w:val="en-GB"/>
              </w:rPr>
            </w:pPr>
            <w:r>
              <w:rPr>
                <w:lang w:val="en-GB"/>
              </w:rPr>
              <w:t xml:space="preserve"> 65.3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15989A" w14:textId="77777777" w:rsidR="00ED0E85" w:rsidRDefault="00ED0E85" w:rsidP="00ED0E85">
            <w:pPr>
              <w:pStyle w:val="TableDataEntries"/>
              <w:rPr>
                <w:lang w:val="en-GB"/>
              </w:rPr>
            </w:pPr>
            <w:r>
              <w:rPr>
                <w:lang w:val="en-GB"/>
              </w:rPr>
              <w:t xml:space="preserve"> 38.2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8C020B" w14:textId="77777777" w:rsidR="00ED0E85" w:rsidRDefault="00ED0E85" w:rsidP="00ED0E85">
            <w:pPr>
              <w:pStyle w:val="TableDataEntries"/>
              <w:rPr>
                <w:lang w:val="en-GB"/>
              </w:rPr>
            </w:pPr>
            <w:r>
              <w:rPr>
                <w:lang w:val="en-GB"/>
              </w:rPr>
              <w:t xml:space="preserve"> 1.9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373F61" w14:textId="77777777" w:rsidR="00ED0E85" w:rsidRDefault="00ED0E85" w:rsidP="00ED0E85">
            <w:pPr>
              <w:pStyle w:val="TableDataEntries"/>
              <w:rPr>
                <w:lang w:val="en-GB"/>
              </w:rPr>
            </w:pPr>
            <w:r>
              <w:rPr>
                <w:lang w:val="en-GB"/>
              </w:rPr>
              <w:t xml:space="preserve"> 18.6</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874ED8" w14:textId="77777777" w:rsidR="00ED0E85" w:rsidRDefault="00ED0E85" w:rsidP="00ED0E85">
            <w:pPr>
              <w:pStyle w:val="TableDataEntries"/>
              <w:rPr>
                <w:lang w:val="en-GB"/>
              </w:rPr>
            </w:pPr>
            <w:r>
              <w:rPr>
                <w:lang w:val="en-GB"/>
              </w:rPr>
              <w:t xml:space="preserve"> 63.4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E88FCE" w14:textId="77777777" w:rsidR="00ED0E85" w:rsidRDefault="00ED0E85" w:rsidP="00ED0E85">
            <w:pPr>
              <w:pStyle w:val="TableDataEntries"/>
              <w:rPr>
                <w:lang w:val="en-GB"/>
              </w:rPr>
            </w:pPr>
            <w:r>
              <w:rPr>
                <w:lang w:val="en-GB"/>
              </w:rPr>
              <w:t xml:space="preserve"> 12.4</w:t>
            </w:r>
          </w:p>
        </w:tc>
      </w:tr>
      <w:tr w:rsidR="00ED0E85" w14:paraId="3C47AA90"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EDE1DE" w14:textId="77777777" w:rsidR="00ED0E85" w:rsidRDefault="00ED0E85" w:rsidP="00ED0E85">
            <w:pPr>
              <w:pStyle w:val="TableDataEntries"/>
              <w:jc w:val="left"/>
              <w:rPr>
                <w:lang w:val="en-GB"/>
              </w:rPr>
            </w:pPr>
            <w:r>
              <w:rPr>
                <w:lang w:val="en-GB"/>
              </w:rPr>
              <w:t>6</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FEBEF2" w14:textId="77777777" w:rsidR="00ED0E85" w:rsidRDefault="00ED0E85" w:rsidP="00ED0E85">
            <w:pPr>
              <w:pStyle w:val="TableDataEntries"/>
              <w:rPr>
                <w:lang w:val="en-GB"/>
              </w:rPr>
            </w:pPr>
            <w:r>
              <w:rPr>
                <w:lang w:val="en-GB"/>
              </w:rPr>
              <w:t xml:space="preserve"> 4.6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EFED5B"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7192AC" w14:textId="77777777" w:rsidR="00ED0E85" w:rsidRDefault="00ED0E85" w:rsidP="00ED0E85">
            <w:pPr>
              <w:pStyle w:val="TableDataEntries"/>
              <w:rPr>
                <w:lang w:val="en-GB"/>
              </w:rPr>
            </w:pPr>
            <w:r>
              <w:rPr>
                <w:lang w:val="en-GB"/>
              </w:rPr>
              <w:t xml:space="preserve"> 11.7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14CFC9" w14:textId="77777777" w:rsidR="00ED0E85" w:rsidRDefault="00ED0E85" w:rsidP="00ED0E85">
            <w:pPr>
              <w:pStyle w:val="TableDataEntries"/>
              <w:rPr>
                <w:lang w:val="en-GB"/>
              </w:rPr>
            </w:pPr>
            <w:r>
              <w:rPr>
                <w:lang w:val="en-GB"/>
              </w:rPr>
              <w:t xml:space="preserve"> 0.3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74433C" w14:textId="77777777" w:rsidR="00ED0E85" w:rsidRDefault="00ED0E85" w:rsidP="00ED0E85">
            <w:pPr>
              <w:pStyle w:val="TableDataEntries"/>
              <w:rPr>
                <w:lang w:val="en-GB"/>
              </w:rPr>
            </w:pPr>
            <w:r>
              <w:rPr>
                <w:lang w:val="en-GB"/>
              </w:rPr>
              <w:t xml:space="preserve"> 2.1</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44403E" w14:textId="77777777" w:rsidR="00ED0E85" w:rsidRDefault="00ED0E85" w:rsidP="00ED0E85">
            <w:pPr>
              <w:pStyle w:val="TableDataEntries"/>
              <w:rPr>
                <w:lang w:val="en-GB"/>
              </w:rPr>
            </w:pPr>
            <w:r>
              <w:rPr>
                <w:lang w:val="en-GB"/>
              </w:rPr>
              <w:t xml:space="preserve"> 3.6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61767F" w14:textId="77777777" w:rsidR="00ED0E85" w:rsidRDefault="00ED0E85" w:rsidP="00ED0E85">
            <w:pPr>
              <w:pStyle w:val="TableDataEntries"/>
              <w:rPr>
                <w:lang w:val="en-GB"/>
              </w:rPr>
            </w:pPr>
            <w:r>
              <w:rPr>
                <w:lang w:val="en-GB"/>
              </w:rPr>
              <w:t xml:space="preserve"> 13.4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0BB628"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581C6F" w14:textId="77777777" w:rsidR="00ED0E85" w:rsidRDefault="00ED0E85" w:rsidP="00ED0E85">
            <w:pPr>
              <w:pStyle w:val="TableDataEntries"/>
              <w:rPr>
                <w:lang w:val="en-GB"/>
              </w:rPr>
            </w:pPr>
            <w:r>
              <w:rPr>
                <w:lang w:val="en-GB"/>
              </w:rPr>
              <w:t xml:space="preserve"> 2.4</w:t>
            </w:r>
          </w:p>
        </w:tc>
      </w:tr>
      <w:tr w:rsidR="001540E1" w:rsidRPr="001540E1" w14:paraId="5015D9EE"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6720CB" w14:textId="77777777" w:rsidR="00ED0E85" w:rsidRPr="001540E1" w:rsidRDefault="00ED0E85" w:rsidP="00ED0E85">
            <w:pPr>
              <w:pStyle w:val="TableDataEntries"/>
              <w:jc w:val="left"/>
              <w:rPr>
                <w:rFonts w:ascii="Franklin Gothic Demi" w:hAnsi="Franklin Gothic Demi"/>
                <w:lang w:val="en-GB"/>
              </w:rPr>
            </w:pPr>
            <w:r w:rsidRPr="001540E1">
              <w:rPr>
                <w:rFonts w:ascii="Franklin Gothic Demi" w:hAnsi="Franklin Gothic Demi"/>
                <w:lang w:val="en-GB"/>
              </w:rPr>
              <w:t>Total</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61D45B"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1 243.3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1C5AE8"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653.8</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D86ACC"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633.3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85D8F8"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696.1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E17928"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441.1</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F1F649"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104.2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8200A5"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187.0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5FA7A3"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430.4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AEEF0F"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222.5</w:t>
            </w:r>
          </w:p>
        </w:tc>
      </w:tr>
      <w:tr w:rsidR="00ED0E85" w14:paraId="3BD2C551"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156643D" w14:textId="77777777" w:rsidR="00ED0E85" w:rsidRDefault="00ED0E85" w:rsidP="00ED0E85">
            <w:pPr>
              <w:pStyle w:val="TableHeading1"/>
              <w:rPr>
                <w:lang w:val="en-GB"/>
              </w:rPr>
            </w:pPr>
            <w:r>
              <w:rPr>
                <w:lang w:val="en-GB"/>
              </w:rPr>
              <w:t>Victoria</w:t>
            </w:r>
          </w:p>
        </w:tc>
        <w:tc>
          <w:tcPr>
            <w:tcW w:w="73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A505DC4"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829E75F"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A9DDFB6"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59C056F"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D8955A1"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8A6E751"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604E280"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471F455"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2B744AF" w14:textId="77777777" w:rsidR="00ED0E85" w:rsidRDefault="00ED0E85" w:rsidP="00ED0E85">
            <w:pPr>
              <w:pStyle w:val="TableHeading1"/>
              <w:rPr>
                <w:lang w:val="en-GB"/>
              </w:rPr>
            </w:pPr>
          </w:p>
        </w:tc>
      </w:tr>
      <w:tr w:rsidR="00ED0E85" w14:paraId="58BFFEC9"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E882CE" w14:textId="77777777" w:rsidR="00ED0E85" w:rsidRDefault="00ED0E85" w:rsidP="00ED0E85">
            <w:pPr>
              <w:pStyle w:val="TableDataEntries"/>
              <w:jc w:val="left"/>
              <w:rPr>
                <w:lang w:val="en-GB"/>
              </w:rPr>
            </w:pPr>
            <w:r>
              <w:rPr>
                <w:lang w:val="en-GB"/>
              </w:rPr>
              <w:t>0</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EECC2A" w14:textId="77777777" w:rsidR="00ED0E85" w:rsidRDefault="00ED0E85" w:rsidP="00ED0E85">
            <w:pPr>
              <w:pStyle w:val="TableDataEntries"/>
              <w:rPr>
                <w:lang w:val="en-GB"/>
              </w:rPr>
            </w:pPr>
            <w:r>
              <w:rPr>
                <w:lang w:val="en-GB"/>
              </w:rPr>
              <w:t xml:space="preserve"> 151.1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1B2AFF" w14:textId="77777777" w:rsidR="00ED0E85" w:rsidRDefault="00ED0E85" w:rsidP="00ED0E85">
            <w:pPr>
              <w:pStyle w:val="TableDataEntries"/>
              <w:rPr>
                <w:lang w:val="en-GB"/>
              </w:rPr>
            </w:pPr>
            <w:r>
              <w:rPr>
                <w:lang w:val="en-GB"/>
              </w:rPr>
              <w:t xml:space="preserve"> 104.1</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4D33E8" w14:textId="77777777" w:rsidR="00ED0E85" w:rsidRDefault="00ED0E85" w:rsidP="00ED0E85">
            <w:pPr>
              <w:pStyle w:val="TableDataEntries"/>
              <w:rPr>
                <w:lang w:val="en-GB"/>
              </w:rPr>
            </w:pPr>
            <w:r>
              <w:rPr>
                <w:lang w:val="en-GB"/>
              </w:rPr>
              <w:t xml:space="preserve"> 32.1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CD18C3" w14:textId="77777777" w:rsidR="00ED0E85" w:rsidRDefault="00ED0E85" w:rsidP="00ED0E85">
            <w:pPr>
              <w:pStyle w:val="TableDataEntries"/>
              <w:rPr>
                <w:lang w:val="en-GB"/>
              </w:rPr>
            </w:pPr>
            <w:r>
              <w:rPr>
                <w:lang w:val="en-GB"/>
              </w:rPr>
              <w:t xml:space="preserve"> 12.9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3B9D45" w14:textId="77777777" w:rsidR="00ED0E85" w:rsidRDefault="00ED0E85" w:rsidP="00ED0E85">
            <w:pPr>
              <w:pStyle w:val="TableDataEntries"/>
              <w:rPr>
                <w:lang w:val="en-GB"/>
              </w:rPr>
            </w:pPr>
            <w:r>
              <w:rPr>
                <w:lang w:val="en-GB"/>
              </w:rPr>
              <w:t xml:space="preserve"> 12.5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0D5541" w14:textId="77777777" w:rsidR="00ED0E85" w:rsidRDefault="00ED0E85" w:rsidP="00ED0E85">
            <w:pPr>
              <w:pStyle w:val="TableDataEntries"/>
              <w:rPr>
                <w:lang w:val="en-GB"/>
              </w:rPr>
            </w:pPr>
            <w:r>
              <w:rPr>
                <w:lang w:val="en-GB"/>
              </w:rPr>
              <w:t xml:space="preserve"> 10.0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8C7BBF" w14:textId="77777777" w:rsidR="00ED0E85" w:rsidRDefault="00ED0E85" w:rsidP="00ED0E85">
            <w:pPr>
              <w:pStyle w:val="TableDataEntries"/>
              <w:rPr>
                <w:lang w:val="en-GB"/>
              </w:rPr>
            </w:pPr>
            <w:r>
              <w:rPr>
                <w:lang w:val="en-GB"/>
              </w:rPr>
              <w:t xml:space="preserve"> 15.8</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74461F" w14:textId="77777777" w:rsidR="00ED0E85" w:rsidRDefault="00ED0E85" w:rsidP="00ED0E85">
            <w:pPr>
              <w:pStyle w:val="TableDataEntries"/>
              <w:rPr>
                <w:lang w:val="en-GB"/>
              </w:rPr>
            </w:pPr>
            <w:r>
              <w:rPr>
                <w:lang w:val="en-GB"/>
              </w:rPr>
              <w:t xml:space="preserve"> 33.9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B2F724" w14:textId="77777777" w:rsidR="00ED0E85" w:rsidRDefault="00ED0E85" w:rsidP="00ED0E85">
            <w:pPr>
              <w:pStyle w:val="TableDataEntries"/>
              <w:rPr>
                <w:lang w:val="en-GB"/>
              </w:rPr>
            </w:pPr>
            <w:r>
              <w:rPr>
                <w:lang w:val="en-GB"/>
              </w:rPr>
              <w:t xml:space="preserve"> 3.3</w:t>
            </w:r>
          </w:p>
        </w:tc>
      </w:tr>
      <w:tr w:rsidR="00ED0E85" w14:paraId="1C1147AE"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9E55A3" w14:textId="77777777" w:rsidR="00ED0E85" w:rsidRDefault="00ED0E85" w:rsidP="00ED0E85">
            <w:pPr>
              <w:pStyle w:val="TableDataEntries"/>
              <w:jc w:val="left"/>
              <w:rPr>
                <w:lang w:val="en-GB"/>
              </w:rPr>
            </w:pPr>
            <w:r>
              <w:rPr>
                <w:lang w:val="en-GB"/>
              </w:rPr>
              <w:t>1</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482847" w14:textId="77777777" w:rsidR="00ED0E85" w:rsidRDefault="00ED0E85" w:rsidP="00ED0E85">
            <w:pPr>
              <w:pStyle w:val="TableDataEntries"/>
              <w:rPr>
                <w:lang w:val="en-GB"/>
              </w:rPr>
            </w:pPr>
            <w:r>
              <w:rPr>
                <w:lang w:val="en-GB"/>
              </w:rPr>
              <w:t xml:space="preserve"> 65.7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3E125E" w14:textId="77777777" w:rsidR="00ED0E85" w:rsidRDefault="00ED0E85" w:rsidP="00ED0E85">
            <w:pPr>
              <w:pStyle w:val="TableDataEntries"/>
              <w:rPr>
                <w:lang w:val="en-GB"/>
              </w:rPr>
            </w:pPr>
            <w:r>
              <w:rPr>
                <w:lang w:val="en-GB"/>
              </w:rPr>
              <w:t xml:space="preserve"> 51.8</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53938A" w14:textId="77777777" w:rsidR="00ED0E85" w:rsidRDefault="00ED0E85" w:rsidP="00ED0E85">
            <w:pPr>
              <w:pStyle w:val="TableDataEntries"/>
              <w:rPr>
                <w:lang w:val="en-GB"/>
              </w:rPr>
            </w:pPr>
            <w:r>
              <w:rPr>
                <w:lang w:val="en-GB"/>
              </w:rPr>
              <w:t xml:space="preserve"> 2.0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4FE47B" w14:textId="77777777" w:rsidR="00ED0E85" w:rsidRDefault="00ED0E85" w:rsidP="00ED0E85">
            <w:pPr>
              <w:pStyle w:val="TableDataEntries"/>
              <w:rPr>
                <w:lang w:val="en-GB"/>
              </w:rPr>
            </w:pPr>
            <w:r>
              <w:rPr>
                <w:lang w:val="en-GB"/>
              </w:rPr>
              <w:t xml:space="preserve"> 105.1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FD2A3C" w14:textId="77777777" w:rsidR="00ED0E85" w:rsidRDefault="00ED0E85" w:rsidP="00ED0E85">
            <w:pPr>
              <w:pStyle w:val="TableDataEntries"/>
              <w:rPr>
                <w:lang w:val="en-GB"/>
              </w:rPr>
            </w:pPr>
            <w:r>
              <w:rPr>
                <w:lang w:val="en-GB"/>
              </w:rPr>
              <w:t xml:space="preserve"> 40.3</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4A1AD7" w14:textId="77777777" w:rsidR="00ED0E85" w:rsidRDefault="00ED0E85" w:rsidP="00ED0E85">
            <w:pPr>
              <w:pStyle w:val="TableDataEntries"/>
              <w:rPr>
                <w:lang w:val="en-GB"/>
              </w:rPr>
            </w:pPr>
            <w:r>
              <w:rPr>
                <w:lang w:val="en-GB"/>
              </w:rPr>
              <w:t xml:space="preserve"> 21.8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F451D1" w14:textId="77777777" w:rsidR="00ED0E85" w:rsidRDefault="00ED0E85" w:rsidP="00ED0E85">
            <w:pPr>
              <w:pStyle w:val="TableDataEntries"/>
              <w:rPr>
                <w:lang w:val="en-GB"/>
              </w:rPr>
            </w:pPr>
            <w:r>
              <w:rPr>
                <w:lang w:val="en-GB"/>
              </w:rPr>
              <w:t xml:space="preserve"> 5.4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F3A31A" w14:textId="77777777" w:rsidR="00ED0E85" w:rsidRDefault="00ED0E85" w:rsidP="00ED0E85">
            <w:pPr>
              <w:pStyle w:val="TableDataEntries"/>
              <w:rPr>
                <w:lang w:val="en-GB"/>
              </w:rPr>
            </w:pPr>
            <w:r>
              <w:rPr>
                <w:lang w:val="en-GB"/>
              </w:rPr>
              <w:t xml:space="preserve"> 4.3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C51707" w14:textId="77777777" w:rsidR="00ED0E85" w:rsidRDefault="00ED0E85" w:rsidP="00ED0E85">
            <w:pPr>
              <w:pStyle w:val="TableDataEntries"/>
              <w:rPr>
                <w:lang w:val="en-GB"/>
              </w:rPr>
            </w:pPr>
            <w:r>
              <w:rPr>
                <w:lang w:val="en-GB"/>
              </w:rPr>
              <w:t xml:space="preserve"> 0.0</w:t>
            </w:r>
          </w:p>
        </w:tc>
      </w:tr>
      <w:tr w:rsidR="00ED0E85" w14:paraId="37A9DB52"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F79369" w14:textId="77777777" w:rsidR="00ED0E85" w:rsidRDefault="00ED0E85" w:rsidP="00ED0E85">
            <w:pPr>
              <w:pStyle w:val="TableDataEntries"/>
              <w:jc w:val="left"/>
              <w:rPr>
                <w:lang w:val="en-GB"/>
              </w:rPr>
            </w:pPr>
            <w:r>
              <w:rPr>
                <w:lang w:val="en-GB"/>
              </w:rPr>
              <w:t>1.5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DEFBA2" w14:textId="77777777" w:rsidR="00ED0E85" w:rsidRDefault="00ED0E85" w:rsidP="00ED0E85">
            <w:pPr>
              <w:pStyle w:val="TableDataEntries"/>
              <w:rPr>
                <w:lang w:val="en-GB"/>
              </w:rPr>
            </w:pPr>
            <w:r>
              <w:rPr>
                <w:lang w:val="en-GB"/>
              </w:rPr>
              <w:t xml:space="preserve"> 60.7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68638B" w14:textId="77777777" w:rsidR="00ED0E85" w:rsidRDefault="00ED0E85" w:rsidP="00ED0E85">
            <w:pPr>
              <w:pStyle w:val="TableDataEntries"/>
              <w:rPr>
                <w:lang w:val="en-GB"/>
              </w:rPr>
            </w:pPr>
            <w:r>
              <w:rPr>
                <w:lang w:val="en-GB"/>
              </w:rPr>
              <w:t xml:space="preserve"> 34.2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BFC8B4" w14:textId="77777777" w:rsidR="00ED0E85" w:rsidRDefault="00ED0E85" w:rsidP="00ED0E85">
            <w:pPr>
              <w:pStyle w:val="TableDataEntries"/>
              <w:rPr>
                <w:lang w:val="en-GB"/>
              </w:rPr>
            </w:pPr>
            <w:r>
              <w:rPr>
                <w:lang w:val="en-GB"/>
              </w:rPr>
              <w:t xml:space="preserve"> 14.2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8368F3" w14:textId="77777777" w:rsidR="00ED0E85" w:rsidRDefault="00ED0E85" w:rsidP="00ED0E85">
            <w:pPr>
              <w:pStyle w:val="TableDataEntries"/>
              <w:rPr>
                <w:lang w:val="en-GB"/>
              </w:rPr>
            </w:pPr>
            <w:r>
              <w:rPr>
                <w:lang w:val="en-GB"/>
              </w:rPr>
              <w:t xml:space="preserve"> 8.6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5DF7A9" w14:textId="77777777" w:rsidR="00ED0E85" w:rsidRDefault="00ED0E85" w:rsidP="00ED0E85">
            <w:pPr>
              <w:pStyle w:val="TableDataEntries"/>
              <w:rPr>
                <w:lang w:val="en-GB"/>
              </w:rPr>
            </w:pPr>
            <w:r>
              <w:rPr>
                <w:lang w:val="en-GB"/>
              </w:rPr>
              <w:t xml:space="preserve"> 9.7</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F2EFE0" w14:textId="77777777" w:rsidR="00ED0E85" w:rsidRDefault="00ED0E85" w:rsidP="00ED0E85">
            <w:pPr>
              <w:pStyle w:val="TableDataEntries"/>
              <w:rPr>
                <w:lang w:val="en-GB"/>
              </w:rPr>
            </w:pPr>
            <w:r>
              <w:rPr>
                <w:lang w:val="en-GB"/>
              </w:rPr>
              <w:t xml:space="preserve"> 56.3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E94A47" w14:textId="77777777" w:rsidR="00ED0E85" w:rsidRDefault="00ED0E85" w:rsidP="00ED0E85">
            <w:pPr>
              <w:pStyle w:val="TableDataEntries"/>
              <w:rPr>
                <w:lang w:val="en-GB"/>
              </w:rPr>
            </w:pPr>
            <w:r>
              <w:rPr>
                <w:lang w:val="en-GB"/>
              </w:rPr>
              <w:t xml:space="preserve"> 13.0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D360D5" w14:textId="77777777" w:rsidR="00ED0E85" w:rsidRDefault="00ED0E85" w:rsidP="00ED0E85">
            <w:pPr>
              <w:pStyle w:val="TableDataEntries"/>
              <w:rPr>
                <w:lang w:val="en-GB"/>
              </w:rPr>
            </w:pPr>
            <w:r>
              <w:rPr>
                <w:lang w:val="en-GB"/>
              </w:rPr>
              <w:t xml:space="preserve"> 0.3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369974" w14:textId="77777777" w:rsidR="00ED0E85" w:rsidRDefault="00ED0E85" w:rsidP="00ED0E85">
            <w:pPr>
              <w:pStyle w:val="TableDataEntries"/>
              <w:rPr>
                <w:lang w:val="en-GB"/>
              </w:rPr>
            </w:pPr>
            <w:r>
              <w:rPr>
                <w:lang w:val="en-GB"/>
              </w:rPr>
              <w:t xml:space="preserve"> 0.0</w:t>
            </w:r>
          </w:p>
        </w:tc>
      </w:tr>
      <w:tr w:rsidR="00ED0E85" w14:paraId="56B5B84D"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4FAD03" w14:textId="77777777" w:rsidR="00ED0E85" w:rsidRDefault="00ED0E85" w:rsidP="00ED0E85">
            <w:pPr>
              <w:pStyle w:val="TableDataEntries"/>
              <w:jc w:val="left"/>
              <w:rPr>
                <w:lang w:val="en-GB"/>
              </w:rPr>
            </w:pPr>
            <w:r>
              <w:rPr>
                <w:lang w:val="en-GB"/>
              </w:rPr>
              <w:t>2</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AD05DC" w14:textId="77777777" w:rsidR="00ED0E85" w:rsidRDefault="00ED0E85" w:rsidP="00ED0E85">
            <w:pPr>
              <w:pStyle w:val="TableDataEntries"/>
              <w:rPr>
                <w:lang w:val="en-GB"/>
              </w:rPr>
            </w:pPr>
            <w:r>
              <w:rPr>
                <w:lang w:val="en-GB"/>
              </w:rPr>
              <w:t xml:space="preserve"> 195.5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C6A47C" w14:textId="77777777" w:rsidR="00ED0E85" w:rsidRDefault="00ED0E85" w:rsidP="00ED0E85">
            <w:pPr>
              <w:pStyle w:val="TableDataEntries"/>
              <w:rPr>
                <w:lang w:val="en-GB"/>
              </w:rPr>
            </w:pPr>
            <w:r>
              <w:rPr>
                <w:lang w:val="en-GB"/>
              </w:rPr>
              <w:t xml:space="preserve"> 76.4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A1018A" w14:textId="77777777" w:rsidR="00ED0E85" w:rsidRDefault="00ED0E85" w:rsidP="00ED0E85">
            <w:pPr>
              <w:pStyle w:val="TableDataEntries"/>
              <w:rPr>
                <w:lang w:val="en-GB"/>
              </w:rPr>
            </w:pPr>
            <w:r>
              <w:rPr>
                <w:lang w:val="en-GB"/>
              </w:rPr>
              <w:t xml:space="preserve"> 11.6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C4D276" w14:textId="77777777" w:rsidR="00ED0E85" w:rsidRDefault="00ED0E85" w:rsidP="00ED0E85">
            <w:pPr>
              <w:pStyle w:val="TableDataEntries"/>
              <w:rPr>
                <w:lang w:val="en-GB"/>
              </w:rPr>
            </w:pPr>
            <w:r>
              <w:rPr>
                <w:lang w:val="en-GB"/>
              </w:rPr>
              <w:t xml:space="preserve"> 52.7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CAF614" w14:textId="77777777" w:rsidR="00ED0E85" w:rsidRDefault="00ED0E85" w:rsidP="00ED0E85">
            <w:pPr>
              <w:pStyle w:val="TableDataEntries"/>
              <w:rPr>
                <w:lang w:val="en-GB"/>
              </w:rPr>
            </w:pPr>
            <w:r>
              <w:rPr>
                <w:lang w:val="en-GB"/>
              </w:rPr>
              <w:t xml:space="preserve"> 32.9</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4EFE61" w14:textId="77777777" w:rsidR="00ED0E85" w:rsidRDefault="00ED0E85" w:rsidP="00ED0E85">
            <w:pPr>
              <w:pStyle w:val="TableDataEntries"/>
              <w:rPr>
                <w:lang w:val="en-GB"/>
              </w:rPr>
            </w:pPr>
            <w:r>
              <w:rPr>
                <w:lang w:val="en-GB"/>
              </w:rPr>
              <w:t xml:space="preserve"> 11.0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81DA61" w14:textId="77777777" w:rsidR="00ED0E85" w:rsidRDefault="00ED0E85" w:rsidP="00ED0E85">
            <w:pPr>
              <w:pStyle w:val="TableDataEntries"/>
              <w:rPr>
                <w:lang w:val="en-GB"/>
              </w:rPr>
            </w:pPr>
            <w:r>
              <w:rPr>
                <w:lang w:val="en-GB"/>
              </w:rPr>
              <w:t xml:space="preserve"> 1.5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A3A0EB" w14:textId="77777777" w:rsidR="00ED0E85" w:rsidRDefault="00ED0E85" w:rsidP="00ED0E85">
            <w:pPr>
              <w:pStyle w:val="TableDataEntries"/>
              <w:rPr>
                <w:lang w:val="en-GB"/>
              </w:rPr>
            </w:pPr>
            <w:r>
              <w:rPr>
                <w:lang w:val="en-GB"/>
              </w:rPr>
              <w:t xml:space="preserve"> 5.6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611D82" w14:textId="77777777" w:rsidR="00ED0E85" w:rsidRDefault="00ED0E85" w:rsidP="00ED0E85">
            <w:pPr>
              <w:pStyle w:val="TableDataEntries"/>
              <w:rPr>
                <w:lang w:val="en-GB"/>
              </w:rPr>
            </w:pPr>
            <w:r>
              <w:rPr>
                <w:lang w:val="en-GB"/>
              </w:rPr>
              <w:t xml:space="preserve"> 6.6</w:t>
            </w:r>
          </w:p>
        </w:tc>
      </w:tr>
      <w:tr w:rsidR="00ED0E85" w14:paraId="04E60667"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6C4508" w14:textId="77777777" w:rsidR="00ED0E85" w:rsidRDefault="00ED0E85" w:rsidP="00ED0E85">
            <w:pPr>
              <w:pStyle w:val="TableDataEntries"/>
              <w:jc w:val="left"/>
              <w:rPr>
                <w:lang w:val="en-GB"/>
              </w:rPr>
            </w:pPr>
            <w:r>
              <w:rPr>
                <w:lang w:val="en-GB"/>
              </w:rPr>
              <w:t>2.5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A0FC54" w14:textId="77777777" w:rsidR="00ED0E85" w:rsidRDefault="00ED0E85" w:rsidP="00ED0E85">
            <w:pPr>
              <w:pStyle w:val="TableDataEntries"/>
              <w:rPr>
                <w:lang w:val="en-GB"/>
              </w:rPr>
            </w:pPr>
            <w:r>
              <w:rPr>
                <w:lang w:val="en-GB"/>
              </w:rPr>
              <w:t xml:space="preserve"> 126.1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FCF3BC" w14:textId="77777777" w:rsidR="00ED0E85" w:rsidRDefault="00ED0E85" w:rsidP="00ED0E85">
            <w:pPr>
              <w:pStyle w:val="TableDataEntries"/>
              <w:rPr>
                <w:lang w:val="en-GB"/>
              </w:rPr>
            </w:pPr>
            <w:r>
              <w:rPr>
                <w:lang w:val="en-GB"/>
              </w:rPr>
              <w:t xml:space="preserve"> 48.0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1F6F9A" w14:textId="77777777" w:rsidR="00ED0E85" w:rsidRDefault="00ED0E85" w:rsidP="00ED0E85">
            <w:pPr>
              <w:pStyle w:val="TableDataEntries"/>
              <w:rPr>
                <w:lang w:val="en-GB"/>
              </w:rPr>
            </w:pPr>
            <w:r>
              <w:rPr>
                <w:lang w:val="en-GB"/>
              </w:rPr>
              <w:t xml:space="preserve"> 25.3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094DF8" w14:textId="77777777" w:rsidR="00ED0E85" w:rsidRDefault="00ED0E85" w:rsidP="00ED0E85">
            <w:pPr>
              <w:pStyle w:val="TableDataEntries"/>
              <w:rPr>
                <w:lang w:val="en-GB"/>
              </w:rPr>
            </w:pPr>
            <w:r>
              <w:rPr>
                <w:lang w:val="en-GB"/>
              </w:rPr>
              <w:t xml:space="preserve"> 29.5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011A02" w14:textId="77777777" w:rsidR="00ED0E85" w:rsidRDefault="00ED0E85" w:rsidP="00ED0E85">
            <w:pPr>
              <w:pStyle w:val="TableDataEntries"/>
              <w:rPr>
                <w:lang w:val="en-GB"/>
              </w:rPr>
            </w:pPr>
            <w:r>
              <w:rPr>
                <w:lang w:val="en-GB"/>
              </w:rPr>
              <w:t xml:space="preserve"> 42.5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4F7C50" w14:textId="77777777" w:rsidR="00ED0E85" w:rsidRDefault="00ED0E85" w:rsidP="00ED0E85">
            <w:pPr>
              <w:pStyle w:val="TableDataEntries"/>
              <w:rPr>
                <w:lang w:val="en-GB"/>
              </w:rPr>
            </w:pPr>
            <w:r>
              <w:rPr>
                <w:lang w:val="en-GB"/>
              </w:rPr>
              <w:t xml:space="preserve"> 10.8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61151C" w14:textId="77777777" w:rsidR="00ED0E85" w:rsidRDefault="00ED0E85" w:rsidP="00ED0E85">
            <w:pPr>
              <w:pStyle w:val="TableDataEntries"/>
              <w:rPr>
                <w:lang w:val="en-GB"/>
              </w:rPr>
            </w:pPr>
            <w:r>
              <w:rPr>
                <w:lang w:val="en-GB"/>
              </w:rPr>
              <w:t xml:space="preserve"> 4.1</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7389F2" w14:textId="77777777" w:rsidR="00ED0E85" w:rsidRDefault="00ED0E85" w:rsidP="00ED0E85">
            <w:pPr>
              <w:pStyle w:val="TableDataEntries"/>
              <w:rPr>
                <w:lang w:val="en-GB"/>
              </w:rPr>
            </w:pPr>
            <w:r>
              <w:rPr>
                <w:lang w:val="en-GB"/>
              </w:rPr>
              <w:t xml:space="preserve"> 36.0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7FDA4A" w14:textId="77777777" w:rsidR="00ED0E85" w:rsidRDefault="00ED0E85" w:rsidP="00ED0E85">
            <w:pPr>
              <w:pStyle w:val="TableDataEntries"/>
              <w:rPr>
                <w:lang w:val="en-GB"/>
              </w:rPr>
            </w:pPr>
            <w:r>
              <w:rPr>
                <w:lang w:val="en-GB"/>
              </w:rPr>
              <w:t xml:space="preserve"> 6.5</w:t>
            </w:r>
          </w:p>
        </w:tc>
      </w:tr>
      <w:tr w:rsidR="00ED0E85" w14:paraId="10E5DB0E"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9055C5" w14:textId="77777777" w:rsidR="00ED0E85" w:rsidRDefault="00ED0E85" w:rsidP="00ED0E85">
            <w:pPr>
              <w:pStyle w:val="TableDataEntries"/>
              <w:jc w:val="left"/>
              <w:rPr>
                <w:lang w:val="en-GB"/>
              </w:rPr>
            </w:pPr>
            <w:r>
              <w:rPr>
                <w:lang w:val="en-GB"/>
              </w:rPr>
              <w:t>3</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370A75" w14:textId="77777777" w:rsidR="00ED0E85" w:rsidRDefault="00ED0E85" w:rsidP="00ED0E85">
            <w:pPr>
              <w:pStyle w:val="TableDataEntries"/>
              <w:rPr>
                <w:lang w:val="en-GB"/>
              </w:rPr>
            </w:pPr>
            <w:r>
              <w:rPr>
                <w:lang w:val="en-GB"/>
              </w:rPr>
              <w:t xml:space="preserve"> 220.0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990492" w14:textId="77777777" w:rsidR="00ED0E85" w:rsidRDefault="00ED0E85" w:rsidP="00ED0E85">
            <w:pPr>
              <w:pStyle w:val="TableDataEntries"/>
              <w:rPr>
                <w:lang w:val="en-GB"/>
              </w:rPr>
            </w:pPr>
            <w:r>
              <w:rPr>
                <w:lang w:val="en-GB"/>
              </w:rPr>
              <w:t xml:space="preserve"> 63.0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511540" w14:textId="77777777" w:rsidR="00ED0E85" w:rsidRDefault="00ED0E85" w:rsidP="00ED0E85">
            <w:pPr>
              <w:pStyle w:val="TableDataEntries"/>
              <w:rPr>
                <w:lang w:val="en-GB"/>
              </w:rPr>
            </w:pPr>
            <w:r>
              <w:rPr>
                <w:lang w:val="en-GB"/>
              </w:rPr>
              <w:t xml:space="preserve"> 52.3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A92BA5" w14:textId="77777777" w:rsidR="00ED0E85" w:rsidRDefault="00ED0E85" w:rsidP="00ED0E85">
            <w:pPr>
              <w:pStyle w:val="TableDataEntries"/>
              <w:rPr>
                <w:lang w:val="en-GB"/>
              </w:rPr>
            </w:pPr>
            <w:r>
              <w:rPr>
                <w:lang w:val="en-GB"/>
              </w:rPr>
              <w:t xml:space="preserve"> 30.9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FC01ED" w14:textId="77777777" w:rsidR="00ED0E85" w:rsidRDefault="00ED0E85" w:rsidP="00ED0E85">
            <w:pPr>
              <w:pStyle w:val="TableDataEntries"/>
              <w:rPr>
                <w:lang w:val="en-GB"/>
              </w:rPr>
            </w:pPr>
            <w:r>
              <w:rPr>
                <w:lang w:val="en-GB"/>
              </w:rPr>
              <w:t xml:space="preserve"> 31.1</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E2C8A5" w14:textId="77777777" w:rsidR="00ED0E85" w:rsidRDefault="00ED0E85" w:rsidP="00ED0E85">
            <w:pPr>
              <w:pStyle w:val="TableDataEntries"/>
              <w:rPr>
                <w:lang w:val="en-GB"/>
              </w:rPr>
            </w:pPr>
            <w:r>
              <w:rPr>
                <w:lang w:val="en-GB"/>
              </w:rPr>
              <w:t xml:space="preserve"> 78.2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386332" w14:textId="77777777" w:rsidR="00ED0E85" w:rsidRDefault="00ED0E85" w:rsidP="00ED0E85">
            <w:pPr>
              <w:pStyle w:val="TableDataEntries"/>
              <w:rPr>
                <w:lang w:val="en-GB"/>
              </w:rPr>
            </w:pPr>
            <w:r>
              <w:rPr>
                <w:lang w:val="en-GB"/>
              </w:rPr>
              <w:t xml:space="preserve"> 29.2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423560" w14:textId="77777777" w:rsidR="00ED0E85" w:rsidRDefault="00ED0E85" w:rsidP="00ED0E85">
            <w:pPr>
              <w:pStyle w:val="TableDataEntries"/>
              <w:rPr>
                <w:lang w:val="en-GB"/>
              </w:rPr>
            </w:pPr>
            <w:r>
              <w:rPr>
                <w:lang w:val="en-GB"/>
              </w:rPr>
              <w:t xml:space="preserve"> 16.9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069744" w14:textId="77777777" w:rsidR="00ED0E85" w:rsidRDefault="00ED0E85" w:rsidP="00ED0E85">
            <w:pPr>
              <w:pStyle w:val="TableDataEntries"/>
              <w:rPr>
                <w:lang w:val="en-GB"/>
              </w:rPr>
            </w:pPr>
            <w:r>
              <w:rPr>
                <w:lang w:val="en-GB"/>
              </w:rPr>
              <w:t xml:space="preserve"> 55.3</w:t>
            </w:r>
          </w:p>
        </w:tc>
      </w:tr>
      <w:tr w:rsidR="00ED0E85" w14:paraId="3B10AF56"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116946" w14:textId="77777777" w:rsidR="00ED0E85" w:rsidRDefault="00ED0E85" w:rsidP="00ED0E85">
            <w:pPr>
              <w:pStyle w:val="TableDataEntries"/>
              <w:jc w:val="left"/>
              <w:rPr>
                <w:lang w:val="en-GB"/>
              </w:rPr>
            </w:pPr>
            <w:r>
              <w:rPr>
                <w:lang w:val="en-GB"/>
              </w:rPr>
              <w:t>3.5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007D52" w14:textId="77777777" w:rsidR="00ED0E85" w:rsidRDefault="00ED0E85" w:rsidP="00ED0E85">
            <w:pPr>
              <w:pStyle w:val="TableDataEntries"/>
              <w:rPr>
                <w:lang w:val="en-GB"/>
              </w:rPr>
            </w:pPr>
            <w:r>
              <w:rPr>
                <w:lang w:val="en-GB"/>
              </w:rPr>
              <w:t xml:space="preserve"> 140.2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D472EE" w14:textId="77777777" w:rsidR="00ED0E85" w:rsidRDefault="00ED0E85" w:rsidP="00ED0E85">
            <w:pPr>
              <w:pStyle w:val="TableDataEntries"/>
              <w:rPr>
                <w:lang w:val="en-GB"/>
              </w:rPr>
            </w:pPr>
            <w:r>
              <w:rPr>
                <w:lang w:val="en-GB"/>
              </w:rPr>
              <w:t xml:space="preserve"> 124.2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49DA85" w14:textId="77777777" w:rsidR="00ED0E85" w:rsidRDefault="00ED0E85" w:rsidP="00ED0E85">
            <w:pPr>
              <w:pStyle w:val="TableDataEntries"/>
              <w:rPr>
                <w:lang w:val="en-GB"/>
              </w:rPr>
            </w:pPr>
            <w:r>
              <w:rPr>
                <w:lang w:val="en-GB"/>
              </w:rPr>
              <w:t xml:space="preserve"> 28.6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510194" w14:textId="77777777" w:rsidR="00ED0E85" w:rsidRDefault="00ED0E85" w:rsidP="00ED0E85">
            <w:pPr>
              <w:pStyle w:val="TableDataEntries"/>
              <w:rPr>
                <w:lang w:val="en-GB"/>
              </w:rPr>
            </w:pPr>
            <w:r>
              <w:rPr>
                <w:lang w:val="en-GB"/>
              </w:rPr>
              <w:t xml:space="preserve"> 41.7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B63566" w14:textId="77777777" w:rsidR="00ED0E85" w:rsidRDefault="00ED0E85" w:rsidP="00ED0E85">
            <w:pPr>
              <w:pStyle w:val="TableDataEntries"/>
              <w:rPr>
                <w:lang w:val="en-GB"/>
              </w:rPr>
            </w:pPr>
            <w:r>
              <w:rPr>
                <w:lang w:val="en-GB"/>
              </w:rPr>
              <w:t xml:space="preserve"> 7.3</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2B7174" w14:textId="77777777" w:rsidR="00ED0E85" w:rsidRDefault="00ED0E85" w:rsidP="00ED0E85">
            <w:pPr>
              <w:pStyle w:val="TableDataEntries"/>
              <w:rPr>
                <w:lang w:val="en-GB"/>
              </w:rPr>
            </w:pPr>
            <w:r>
              <w:rPr>
                <w:lang w:val="en-GB"/>
              </w:rPr>
              <w:t xml:space="preserve"> 36.1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AC6275" w14:textId="77777777" w:rsidR="00ED0E85" w:rsidRDefault="00ED0E85" w:rsidP="00ED0E85">
            <w:pPr>
              <w:pStyle w:val="TableDataEntries"/>
              <w:rPr>
                <w:lang w:val="en-GB"/>
              </w:rPr>
            </w:pPr>
            <w:r>
              <w:rPr>
                <w:lang w:val="en-GB"/>
              </w:rPr>
              <w:t xml:space="preserve"> 42.5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49EAF7" w14:textId="77777777" w:rsidR="00ED0E85" w:rsidRDefault="00ED0E85" w:rsidP="00ED0E85">
            <w:pPr>
              <w:pStyle w:val="TableDataEntries"/>
              <w:rPr>
                <w:lang w:val="en-GB"/>
              </w:rPr>
            </w:pPr>
            <w:r>
              <w:rPr>
                <w:lang w:val="en-GB"/>
              </w:rPr>
              <w:t xml:space="preserve"> 35.6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C7ABA5" w14:textId="77777777" w:rsidR="00ED0E85" w:rsidRDefault="00ED0E85" w:rsidP="00ED0E85">
            <w:pPr>
              <w:pStyle w:val="TableDataEntries"/>
              <w:rPr>
                <w:lang w:val="en-GB"/>
              </w:rPr>
            </w:pPr>
            <w:r>
              <w:rPr>
                <w:lang w:val="en-GB"/>
              </w:rPr>
              <w:t xml:space="preserve"> 28.1</w:t>
            </w:r>
          </w:p>
        </w:tc>
      </w:tr>
      <w:tr w:rsidR="00ED0E85" w14:paraId="0A3CE5AB"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233A48" w14:textId="77777777" w:rsidR="00ED0E85" w:rsidRDefault="00ED0E85" w:rsidP="00ED0E85">
            <w:pPr>
              <w:pStyle w:val="TableDataEntries"/>
              <w:jc w:val="left"/>
              <w:rPr>
                <w:lang w:val="en-GB"/>
              </w:rPr>
            </w:pPr>
            <w:r>
              <w:rPr>
                <w:lang w:val="en-GB"/>
              </w:rPr>
              <w:t>4</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7F8CF0" w14:textId="77777777" w:rsidR="00ED0E85" w:rsidRDefault="00ED0E85" w:rsidP="00ED0E85">
            <w:pPr>
              <w:pStyle w:val="TableDataEntries"/>
              <w:rPr>
                <w:lang w:val="en-GB"/>
              </w:rPr>
            </w:pPr>
            <w:r>
              <w:rPr>
                <w:lang w:val="en-GB"/>
              </w:rPr>
              <w:t xml:space="preserve"> 8.5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4E902E" w14:textId="77777777" w:rsidR="00ED0E85" w:rsidRDefault="00ED0E85" w:rsidP="00ED0E85">
            <w:pPr>
              <w:pStyle w:val="TableDataEntries"/>
              <w:rPr>
                <w:lang w:val="en-GB"/>
              </w:rPr>
            </w:pPr>
            <w:r>
              <w:rPr>
                <w:lang w:val="en-GB"/>
              </w:rPr>
              <w:t xml:space="preserve"> 128.2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FE0901" w14:textId="77777777" w:rsidR="00ED0E85" w:rsidRDefault="00ED0E85" w:rsidP="00ED0E85">
            <w:pPr>
              <w:pStyle w:val="TableDataEntries"/>
              <w:rPr>
                <w:lang w:val="en-GB"/>
              </w:rPr>
            </w:pPr>
            <w:r>
              <w:rPr>
                <w:lang w:val="en-GB"/>
              </w:rPr>
              <w:t xml:space="preserve"> 69.8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AC5278" w14:textId="77777777" w:rsidR="00ED0E85" w:rsidRDefault="00ED0E85" w:rsidP="00ED0E85">
            <w:pPr>
              <w:pStyle w:val="TableDataEntries"/>
              <w:rPr>
                <w:lang w:val="en-GB"/>
              </w:rPr>
            </w:pPr>
            <w:r>
              <w:rPr>
                <w:lang w:val="en-GB"/>
              </w:rPr>
              <w:t xml:space="preserve"> 15.8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E476AC" w14:textId="77777777" w:rsidR="00ED0E85" w:rsidRDefault="00ED0E85" w:rsidP="00ED0E85">
            <w:pPr>
              <w:pStyle w:val="TableDataEntries"/>
              <w:rPr>
                <w:lang w:val="en-GB"/>
              </w:rPr>
            </w:pPr>
            <w:r>
              <w:rPr>
                <w:lang w:val="en-GB"/>
              </w:rPr>
              <w:t xml:space="preserve"> 11.7</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A97D59" w14:textId="77777777" w:rsidR="00ED0E85" w:rsidRDefault="00ED0E85" w:rsidP="00ED0E85">
            <w:pPr>
              <w:pStyle w:val="TableDataEntries"/>
              <w:rPr>
                <w:lang w:val="en-GB"/>
              </w:rPr>
            </w:pPr>
            <w:r>
              <w:rPr>
                <w:lang w:val="en-GB"/>
              </w:rPr>
              <w:t xml:space="preserve"> 19.7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3AA982" w14:textId="77777777" w:rsidR="00ED0E85" w:rsidRDefault="00ED0E85" w:rsidP="00ED0E85">
            <w:pPr>
              <w:pStyle w:val="TableDataEntries"/>
              <w:rPr>
                <w:lang w:val="en-GB"/>
              </w:rPr>
            </w:pPr>
            <w:r>
              <w:rPr>
                <w:lang w:val="en-GB"/>
              </w:rPr>
              <w:t xml:space="preserve"> 3.5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85A276" w14:textId="77777777" w:rsidR="00ED0E85" w:rsidRDefault="00ED0E85" w:rsidP="00ED0E85">
            <w:pPr>
              <w:pStyle w:val="TableDataEntries"/>
              <w:rPr>
                <w:lang w:val="en-GB"/>
              </w:rPr>
            </w:pPr>
            <w:r>
              <w:rPr>
                <w:lang w:val="en-GB"/>
              </w:rPr>
              <w:t xml:space="preserve"> 19.9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B67897" w14:textId="77777777" w:rsidR="00ED0E85" w:rsidRDefault="00ED0E85" w:rsidP="00ED0E85">
            <w:pPr>
              <w:pStyle w:val="TableDataEntries"/>
              <w:rPr>
                <w:lang w:val="en-GB"/>
              </w:rPr>
            </w:pPr>
            <w:r>
              <w:rPr>
                <w:lang w:val="en-GB"/>
              </w:rPr>
              <w:t xml:space="preserve"> 24.7</w:t>
            </w:r>
          </w:p>
        </w:tc>
      </w:tr>
      <w:tr w:rsidR="00ED0E85" w14:paraId="19E111AA"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43760F" w14:textId="77777777" w:rsidR="00ED0E85" w:rsidRDefault="00ED0E85" w:rsidP="00ED0E85">
            <w:pPr>
              <w:pStyle w:val="TableDataEntries"/>
              <w:jc w:val="left"/>
              <w:rPr>
                <w:lang w:val="en-GB"/>
              </w:rPr>
            </w:pPr>
            <w:r>
              <w:rPr>
                <w:lang w:val="en-GB"/>
              </w:rPr>
              <w:t>4.5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150C59" w14:textId="77777777" w:rsidR="00ED0E85" w:rsidRDefault="00ED0E85" w:rsidP="00ED0E85">
            <w:pPr>
              <w:pStyle w:val="TableDataEntries"/>
              <w:rPr>
                <w:lang w:val="en-GB"/>
              </w:rPr>
            </w:pPr>
            <w:r>
              <w:rPr>
                <w:lang w:val="en-GB"/>
              </w:rPr>
              <w:t xml:space="preserve"> 138.6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875F37" w14:textId="77777777" w:rsidR="00ED0E85" w:rsidRDefault="00ED0E85" w:rsidP="00ED0E85">
            <w:pPr>
              <w:pStyle w:val="TableDataEntries"/>
              <w:rPr>
                <w:lang w:val="en-GB"/>
              </w:rPr>
            </w:pPr>
            <w:r>
              <w:rPr>
                <w:lang w:val="en-GB"/>
              </w:rPr>
              <w:t xml:space="preserve"> 73.4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5C9340" w14:textId="77777777" w:rsidR="00ED0E85" w:rsidRDefault="00ED0E85" w:rsidP="00ED0E85">
            <w:pPr>
              <w:pStyle w:val="TableDataEntries"/>
              <w:rPr>
                <w:lang w:val="en-GB"/>
              </w:rPr>
            </w:pPr>
            <w:r>
              <w:rPr>
                <w:lang w:val="en-GB"/>
              </w:rPr>
              <w:t xml:space="preserve"> 136.3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89F6A9" w14:textId="77777777" w:rsidR="00ED0E85" w:rsidRDefault="00ED0E85" w:rsidP="00ED0E85">
            <w:pPr>
              <w:pStyle w:val="TableDataEntries"/>
              <w:rPr>
                <w:lang w:val="en-GB"/>
              </w:rPr>
            </w:pPr>
            <w:r>
              <w:rPr>
                <w:lang w:val="en-GB"/>
              </w:rPr>
              <w:t xml:space="preserve"> 174.7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C88743" w14:textId="77777777" w:rsidR="00ED0E85" w:rsidRDefault="00ED0E85" w:rsidP="00ED0E85">
            <w:pPr>
              <w:pStyle w:val="TableDataEntries"/>
              <w:rPr>
                <w:lang w:val="en-GB"/>
              </w:rPr>
            </w:pPr>
            <w:r>
              <w:rPr>
                <w:lang w:val="en-GB"/>
              </w:rPr>
              <w:t xml:space="preserve"> 28.7</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F9F553" w14:textId="77777777" w:rsidR="00ED0E85" w:rsidRDefault="00ED0E85" w:rsidP="00ED0E85">
            <w:pPr>
              <w:pStyle w:val="TableDataEntries"/>
              <w:rPr>
                <w:lang w:val="en-GB"/>
              </w:rPr>
            </w:pPr>
            <w:r>
              <w:rPr>
                <w:lang w:val="en-GB"/>
              </w:rPr>
              <w:t xml:space="preserve"> 54.5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453EC8" w14:textId="77777777" w:rsidR="00ED0E85" w:rsidRDefault="00ED0E85" w:rsidP="00ED0E85">
            <w:pPr>
              <w:pStyle w:val="TableDataEntries"/>
              <w:rPr>
                <w:lang w:val="en-GB"/>
              </w:rPr>
            </w:pPr>
            <w:r>
              <w:rPr>
                <w:lang w:val="en-GB"/>
              </w:rPr>
              <w:t xml:space="preserve"> 24.9</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863906" w14:textId="77777777" w:rsidR="00ED0E85" w:rsidRDefault="00ED0E85" w:rsidP="00ED0E85">
            <w:pPr>
              <w:pStyle w:val="TableDataEntries"/>
              <w:rPr>
                <w:lang w:val="en-GB"/>
              </w:rPr>
            </w:pPr>
            <w:r>
              <w:rPr>
                <w:lang w:val="en-GB"/>
              </w:rPr>
              <w:t xml:space="preserve"> 39.1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468820" w14:textId="77777777" w:rsidR="00ED0E85" w:rsidRDefault="00ED0E85" w:rsidP="00ED0E85">
            <w:pPr>
              <w:pStyle w:val="TableDataEntries"/>
              <w:rPr>
                <w:lang w:val="en-GB"/>
              </w:rPr>
            </w:pPr>
            <w:r>
              <w:rPr>
                <w:lang w:val="en-GB"/>
              </w:rPr>
              <w:t xml:space="preserve"> 25.6</w:t>
            </w:r>
          </w:p>
        </w:tc>
      </w:tr>
      <w:tr w:rsidR="00ED0E85" w14:paraId="775FF464"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6F58A8" w14:textId="77777777" w:rsidR="00ED0E85" w:rsidRDefault="00ED0E85" w:rsidP="00ED0E85">
            <w:pPr>
              <w:pStyle w:val="TableDataEntries"/>
              <w:jc w:val="left"/>
              <w:rPr>
                <w:lang w:val="en-GB"/>
              </w:rPr>
            </w:pPr>
            <w:r>
              <w:rPr>
                <w:lang w:val="en-GB"/>
              </w:rPr>
              <w:t>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A9242F" w14:textId="77777777" w:rsidR="00ED0E85" w:rsidRDefault="00ED0E85" w:rsidP="00ED0E85">
            <w:pPr>
              <w:pStyle w:val="TableDataEntries"/>
              <w:rPr>
                <w:lang w:val="en-GB"/>
              </w:rPr>
            </w:pPr>
            <w:r>
              <w:rPr>
                <w:lang w:val="en-GB"/>
              </w:rPr>
              <w:t xml:space="preserve"> 102.5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DE0248" w14:textId="77777777" w:rsidR="00ED0E85" w:rsidRDefault="00ED0E85" w:rsidP="00ED0E85">
            <w:pPr>
              <w:pStyle w:val="TableDataEntries"/>
              <w:rPr>
                <w:lang w:val="en-GB"/>
              </w:rPr>
            </w:pPr>
            <w:r>
              <w:rPr>
                <w:lang w:val="en-GB"/>
              </w:rPr>
              <w:t xml:space="preserve"> 45.2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0A4A83" w14:textId="77777777" w:rsidR="00ED0E85" w:rsidRDefault="00ED0E85" w:rsidP="00ED0E85">
            <w:pPr>
              <w:pStyle w:val="TableDataEntries"/>
              <w:rPr>
                <w:lang w:val="en-GB"/>
              </w:rPr>
            </w:pPr>
            <w:r>
              <w:rPr>
                <w:lang w:val="en-GB"/>
              </w:rPr>
              <w:t xml:space="preserve"> 12.9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D972EF" w14:textId="77777777" w:rsidR="00ED0E85" w:rsidRDefault="00ED0E85" w:rsidP="00ED0E85">
            <w:pPr>
              <w:pStyle w:val="TableDataEntries"/>
              <w:rPr>
                <w:lang w:val="en-GB"/>
              </w:rPr>
            </w:pPr>
            <w:r>
              <w:rPr>
                <w:lang w:val="en-GB"/>
              </w:rPr>
              <w:t xml:space="preserve"> 45.7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1B1184" w14:textId="77777777" w:rsidR="00ED0E85" w:rsidRDefault="00ED0E85" w:rsidP="00ED0E85">
            <w:pPr>
              <w:pStyle w:val="TableDataEntries"/>
              <w:rPr>
                <w:lang w:val="en-GB"/>
              </w:rPr>
            </w:pPr>
            <w:r>
              <w:rPr>
                <w:lang w:val="en-GB"/>
              </w:rPr>
              <w:t xml:space="preserve"> 124.2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7BD4DD" w14:textId="77777777" w:rsidR="00ED0E85" w:rsidRDefault="00ED0E85" w:rsidP="00ED0E85">
            <w:pPr>
              <w:pStyle w:val="TableDataEntries"/>
              <w:rPr>
                <w:lang w:val="en-GB"/>
              </w:rPr>
            </w:pPr>
            <w:r>
              <w:rPr>
                <w:lang w:val="en-GB"/>
              </w:rPr>
              <w:t xml:space="preserve"> 1.0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A1E8F2" w14:textId="77777777" w:rsidR="00ED0E85" w:rsidRDefault="00ED0E85" w:rsidP="00ED0E85">
            <w:pPr>
              <w:pStyle w:val="TableDataEntries"/>
              <w:rPr>
                <w:lang w:val="en-GB"/>
              </w:rPr>
            </w:pPr>
            <w:r>
              <w:rPr>
                <w:lang w:val="en-GB"/>
              </w:rPr>
              <w:t xml:space="preserve"> 121.4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724A67" w14:textId="77777777" w:rsidR="00ED0E85" w:rsidRDefault="00ED0E85" w:rsidP="00ED0E85">
            <w:pPr>
              <w:pStyle w:val="TableDataEntries"/>
              <w:rPr>
                <w:lang w:val="en-GB"/>
              </w:rPr>
            </w:pPr>
            <w:r>
              <w:rPr>
                <w:lang w:val="en-GB"/>
              </w:rPr>
              <w:t xml:space="preserve"> 183.4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9D3DFD" w14:textId="77777777" w:rsidR="00ED0E85" w:rsidRDefault="00ED0E85" w:rsidP="00ED0E85">
            <w:pPr>
              <w:pStyle w:val="TableDataEntries"/>
              <w:rPr>
                <w:lang w:val="en-GB"/>
              </w:rPr>
            </w:pPr>
            <w:r>
              <w:rPr>
                <w:lang w:val="en-GB"/>
              </w:rPr>
              <w:t xml:space="preserve"> 7.6</w:t>
            </w:r>
          </w:p>
        </w:tc>
      </w:tr>
      <w:tr w:rsidR="00ED0E85" w14:paraId="7DE63175"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2F863B" w14:textId="77777777" w:rsidR="00ED0E85" w:rsidRDefault="00ED0E85" w:rsidP="00ED0E85">
            <w:pPr>
              <w:pStyle w:val="TableDataEntries"/>
              <w:jc w:val="left"/>
              <w:rPr>
                <w:lang w:val="en-GB"/>
              </w:rPr>
            </w:pPr>
            <w:r>
              <w:rPr>
                <w:lang w:val="en-GB"/>
              </w:rPr>
              <w:t>5.5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3D6079" w14:textId="77777777" w:rsidR="00ED0E85" w:rsidRDefault="00ED0E85" w:rsidP="00ED0E85">
            <w:pPr>
              <w:pStyle w:val="TableDataEntries"/>
              <w:rPr>
                <w:lang w:val="en-GB"/>
              </w:rPr>
            </w:pPr>
            <w:r>
              <w:rPr>
                <w:lang w:val="en-GB"/>
              </w:rPr>
              <w:t xml:space="preserve"> 0.8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AAD009" w14:textId="77777777" w:rsidR="00ED0E85" w:rsidRDefault="00ED0E85" w:rsidP="00ED0E85">
            <w:pPr>
              <w:pStyle w:val="TableDataEntries"/>
              <w:rPr>
                <w:lang w:val="en-GB"/>
              </w:rPr>
            </w:pPr>
            <w:r>
              <w:rPr>
                <w:lang w:val="en-GB"/>
              </w:rPr>
              <w:t xml:space="preserve"> 11.9</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FBA716"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45CB36" w14:textId="77777777" w:rsidR="00ED0E85" w:rsidRDefault="00ED0E85" w:rsidP="00ED0E85">
            <w:pPr>
              <w:pStyle w:val="TableDataEntries"/>
              <w:rPr>
                <w:lang w:val="en-GB"/>
              </w:rPr>
            </w:pPr>
            <w:r>
              <w:rPr>
                <w:lang w:val="en-GB"/>
              </w:rPr>
              <w:t xml:space="preserve"> 35.7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91B6C0"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1CBF50" w14:textId="77777777" w:rsidR="00ED0E85" w:rsidRDefault="00ED0E85" w:rsidP="00ED0E85">
            <w:pPr>
              <w:pStyle w:val="TableDataEntries"/>
              <w:rPr>
                <w:lang w:val="en-GB"/>
              </w:rPr>
            </w:pPr>
            <w:r>
              <w:rPr>
                <w:lang w:val="en-GB"/>
              </w:rPr>
              <w:t xml:space="preserve"> 2.7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E4388E" w14:textId="77777777" w:rsidR="00ED0E85" w:rsidRDefault="00ED0E85" w:rsidP="00ED0E85">
            <w:pPr>
              <w:pStyle w:val="TableDataEntries"/>
              <w:rPr>
                <w:lang w:val="en-GB"/>
              </w:rPr>
            </w:pPr>
            <w:r>
              <w:rPr>
                <w:lang w:val="en-GB"/>
              </w:rPr>
              <w:t xml:space="preserve"> 14.9</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5A66EB" w14:textId="77777777" w:rsidR="00ED0E85" w:rsidRDefault="00ED0E85" w:rsidP="00ED0E85">
            <w:pPr>
              <w:pStyle w:val="TableDataEntries"/>
              <w:rPr>
                <w:lang w:val="en-GB"/>
              </w:rPr>
            </w:pPr>
            <w:r>
              <w:rPr>
                <w:lang w:val="en-GB"/>
              </w:rPr>
              <w:t xml:space="preserve"> 12.3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2B1C36" w14:textId="77777777" w:rsidR="00ED0E85" w:rsidRDefault="00ED0E85" w:rsidP="00ED0E85">
            <w:pPr>
              <w:pStyle w:val="TableDataEntries"/>
              <w:rPr>
                <w:lang w:val="en-GB"/>
              </w:rPr>
            </w:pPr>
            <w:r>
              <w:rPr>
                <w:lang w:val="en-GB"/>
              </w:rPr>
              <w:t xml:space="preserve"> 3.3</w:t>
            </w:r>
          </w:p>
        </w:tc>
      </w:tr>
      <w:tr w:rsidR="00ED0E85" w14:paraId="002E2FD8"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0460A6" w14:textId="77777777" w:rsidR="00ED0E85" w:rsidRDefault="00ED0E85" w:rsidP="00ED0E85">
            <w:pPr>
              <w:pStyle w:val="TableDataEntries"/>
              <w:jc w:val="left"/>
              <w:rPr>
                <w:lang w:val="en-GB"/>
              </w:rPr>
            </w:pPr>
            <w:r>
              <w:rPr>
                <w:lang w:val="en-GB"/>
              </w:rPr>
              <w:t>6</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FC7F9E" w14:textId="77777777" w:rsidR="00ED0E85" w:rsidRDefault="00ED0E85" w:rsidP="00ED0E85">
            <w:pPr>
              <w:pStyle w:val="TableDataEntries"/>
              <w:rPr>
                <w:lang w:val="en-GB"/>
              </w:rPr>
            </w:pPr>
            <w:r>
              <w:rPr>
                <w:lang w:val="en-GB"/>
              </w:rPr>
              <w:t xml:space="preserve"> 1.3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B8BCE6" w14:textId="77777777" w:rsidR="00ED0E85" w:rsidRDefault="00ED0E85" w:rsidP="00ED0E85">
            <w:pPr>
              <w:pStyle w:val="TableDataEntries"/>
              <w:rPr>
                <w:lang w:val="en-GB"/>
              </w:rPr>
            </w:pPr>
            <w:r>
              <w:rPr>
                <w:lang w:val="en-GB"/>
              </w:rPr>
              <w:t xml:space="preserve"> 1.7</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338EA2"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F3B6D8"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BA35B7"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AB7EA1"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25B577"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AF5AF1" w14:textId="77777777" w:rsidR="00ED0E85" w:rsidRDefault="00ED0E85" w:rsidP="00ED0E85">
            <w:pPr>
              <w:pStyle w:val="TableDataEntries"/>
              <w:rPr>
                <w:lang w:val="en-GB"/>
              </w:rPr>
            </w:pPr>
            <w:r>
              <w:rPr>
                <w:lang w:val="en-GB"/>
              </w:rPr>
              <w:t xml:space="preserve"> 0.5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4098AF" w14:textId="77777777" w:rsidR="00ED0E85" w:rsidRDefault="00ED0E85" w:rsidP="00ED0E85">
            <w:pPr>
              <w:pStyle w:val="TableDataEntries"/>
              <w:rPr>
                <w:lang w:val="en-GB"/>
              </w:rPr>
            </w:pPr>
            <w:r>
              <w:rPr>
                <w:lang w:val="en-GB"/>
              </w:rPr>
              <w:t xml:space="preserve"> 0.0</w:t>
            </w:r>
          </w:p>
        </w:tc>
      </w:tr>
      <w:tr w:rsidR="001540E1" w:rsidRPr="001540E1" w14:paraId="0ADB4861"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EE22C6" w14:textId="77777777" w:rsidR="00ED0E85" w:rsidRPr="001540E1" w:rsidRDefault="00ED0E85" w:rsidP="00ED0E85">
            <w:pPr>
              <w:pStyle w:val="TableDataEntries"/>
              <w:jc w:val="left"/>
              <w:rPr>
                <w:rFonts w:ascii="Franklin Gothic Demi" w:hAnsi="Franklin Gothic Demi"/>
                <w:lang w:val="en-GB"/>
              </w:rPr>
            </w:pPr>
            <w:r w:rsidRPr="001540E1">
              <w:rPr>
                <w:rFonts w:ascii="Franklin Gothic Demi" w:hAnsi="Franklin Gothic Demi"/>
                <w:lang w:val="en-GB"/>
              </w:rPr>
              <w:t>Total</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B8CD56"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1 210.8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AA486D"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761.9</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A979C0"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385.1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B0BA21"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553.5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E155BC"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340.8</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A2EDA8"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302.2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841023"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276.3</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6BDAD8"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387.6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B758EC"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161.1</w:t>
            </w:r>
          </w:p>
        </w:tc>
      </w:tr>
      <w:tr w:rsidR="00ED0E85" w14:paraId="2A16051D" w14:textId="77777777" w:rsidTr="00ED0E85">
        <w:trPr>
          <w:trHeight w:val="230"/>
        </w:trPr>
        <w:tc>
          <w:tcPr>
            <w:tcW w:w="1587" w:type="dxa"/>
            <w:gridSpan w:val="2"/>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974616B" w14:textId="77777777" w:rsidR="00ED0E85" w:rsidRDefault="00ED0E85" w:rsidP="00ED0E85">
            <w:pPr>
              <w:pStyle w:val="TableHeading1"/>
              <w:rPr>
                <w:lang w:val="en-GB"/>
              </w:rPr>
            </w:pPr>
            <w:r>
              <w:rPr>
                <w:lang w:val="en-GB"/>
              </w:rPr>
              <w:t>Queensland</w:t>
            </w: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0CA17D8"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401885F"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9D96241"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39B24DE"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1E2168A"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9878752"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F5F30CE"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1E00469" w14:textId="77777777" w:rsidR="00ED0E85" w:rsidRDefault="00ED0E85" w:rsidP="00ED0E85">
            <w:pPr>
              <w:pStyle w:val="TableHeading1"/>
              <w:rPr>
                <w:lang w:val="en-GB"/>
              </w:rPr>
            </w:pPr>
          </w:p>
        </w:tc>
      </w:tr>
      <w:tr w:rsidR="00ED0E85" w14:paraId="1F0AA35B"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CF02A0" w14:textId="77777777" w:rsidR="00ED0E85" w:rsidRDefault="00ED0E85" w:rsidP="00ED0E85">
            <w:pPr>
              <w:pStyle w:val="TableDataEntries"/>
              <w:jc w:val="left"/>
              <w:rPr>
                <w:lang w:val="en-GB"/>
              </w:rPr>
            </w:pPr>
            <w:r>
              <w:rPr>
                <w:lang w:val="en-GB"/>
              </w:rPr>
              <w:t>0</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A48CD8" w14:textId="77777777" w:rsidR="00ED0E85" w:rsidRDefault="00ED0E85" w:rsidP="00ED0E85">
            <w:pPr>
              <w:pStyle w:val="TableDataEntries"/>
              <w:rPr>
                <w:lang w:val="en-GB"/>
              </w:rPr>
            </w:pPr>
            <w:r>
              <w:rPr>
                <w:lang w:val="en-GB"/>
              </w:rPr>
              <w:t xml:space="preserve"> 150.5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BBF058" w14:textId="77777777" w:rsidR="00ED0E85" w:rsidRDefault="00ED0E85" w:rsidP="00ED0E85">
            <w:pPr>
              <w:pStyle w:val="TableDataEntries"/>
              <w:rPr>
                <w:lang w:val="en-GB"/>
              </w:rPr>
            </w:pPr>
            <w:r>
              <w:rPr>
                <w:lang w:val="en-GB"/>
              </w:rPr>
              <w:t xml:space="preserve"> 67.2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002A73" w14:textId="77777777" w:rsidR="00ED0E85" w:rsidRDefault="00ED0E85" w:rsidP="00ED0E85">
            <w:pPr>
              <w:pStyle w:val="TableDataEntries"/>
              <w:rPr>
                <w:lang w:val="en-GB"/>
              </w:rPr>
            </w:pPr>
            <w:r>
              <w:rPr>
                <w:lang w:val="en-GB"/>
              </w:rPr>
              <w:t xml:space="preserve"> 52.4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694661"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BDF7D0" w14:textId="77777777" w:rsidR="00ED0E85" w:rsidRDefault="00ED0E85" w:rsidP="00ED0E85">
            <w:pPr>
              <w:pStyle w:val="TableDataEntries"/>
              <w:rPr>
                <w:lang w:val="en-GB"/>
              </w:rPr>
            </w:pPr>
            <w:r>
              <w:rPr>
                <w:lang w:val="en-GB"/>
              </w:rPr>
              <w:t xml:space="preserve"> 20.4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D8DB13" w14:textId="77777777" w:rsidR="00ED0E85" w:rsidRDefault="00ED0E85" w:rsidP="00ED0E85">
            <w:pPr>
              <w:pStyle w:val="TableDataEntries"/>
              <w:rPr>
                <w:lang w:val="en-GB"/>
              </w:rPr>
            </w:pPr>
            <w:r>
              <w:rPr>
                <w:lang w:val="en-GB"/>
              </w:rPr>
              <w:t xml:space="preserve"> 11.1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595320" w14:textId="77777777" w:rsidR="00ED0E85" w:rsidRDefault="00ED0E85" w:rsidP="00ED0E85">
            <w:pPr>
              <w:pStyle w:val="TableDataEntries"/>
              <w:rPr>
                <w:lang w:val="en-GB"/>
              </w:rPr>
            </w:pPr>
            <w:r>
              <w:rPr>
                <w:lang w:val="en-GB"/>
              </w:rPr>
              <w:t xml:space="preserve"> 12.1</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D6C9B1" w14:textId="77777777" w:rsidR="00ED0E85" w:rsidRDefault="00ED0E85" w:rsidP="00ED0E85">
            <w:pPr>
              <w:pStyle w:val="TableDataEntries"/>
              <w:rPr>
                <w:lang w:val="en-GB"/>
              </w:rPr>
            </w:pPr>
            <w:r>
              <w:rPr>
                <w:lang w:val="en-GB"/>
              </w:rPr>
              <w:t xml:space="preserve"> 21.9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0467B1" w14:textId="77777777" w:rsidR="00ED0E85" w:rsidRDefault="00ED0E85" w:rsidP="00ED0E85">
            <w:pPr>
              <w:pStyle w:val="TableDataEntries"/>
              <w:rPr>
                <w:lang w:val="en-GB"/>
              </w:rPr>
            </w:pPr>
            <w:r>
              <w:rPr>
                <w:lang w:val="en-GB"/>
              </w:rPr>
              <w:t xml:space="preserve"> 4.2</w:t>
            </w:r>
          </w:p>
        </w:tc>
      </w:tr>
      <w:tr w:rsidR="00ED0E85" w14:paraId="362BB5ED"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299A6B" w14:textId="77777777" w:rsidR="00ED0E85" w:rsidRDefault="00ED0E85" w:rsidP="00ED0E85">
            <w:pPr>
              <w:pStyle w:val="TableDataEntries"/>
              <w:jc w:val="left"/>
              <w:rPr>
                <w:lang w:val="en-GB"/>
              </w:rPr>
            </w:pPr>
            <w:r>
              <w:rPr>
                <w:lang w:val="en-GB"/>
              </w:rPr>
              <w:t>1</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15FC33" w14:textId="77777777" w:rsidR="00ED0E85" w:rsidRDefault="00ED0E85" w:rsidP="00ED0E85">
            <w:pPr>
              <w:pStyle w:val="TableDataEntries"/>
              <w:rPr>
                <w:lang w:val="en-GB"/>
              </w:rPr>
            </w:pPr>
            <w:r>
              <w:rPr>
                <w:lang w:val="en-GB"/>
              </w:rPr>
              <w:t xml:space="preserve"> 43.4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78F7C9" w14:textId="77777777" w:rsidR="00ED0E85" w:rsidRDefault="00ED0E85" w:rsidP="00ED0E85">
            <w:pPr>
              <w:pStyle w:val="TableDataEntries"/>
              <w:rPr>
                <w:lang w:val="en-GB"/>
              </w:rPr>
            </w:pPr>
            <w:r>
              <w:rPr>
                <w:lang w:val="en-GB"/>
              </w:rPr>
              <w:t xml:space="preserve"> 10.0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C6A9E4" w14:textId="77777777" w:rsidR="00ED0E85" w:rsidRDefault="00ED0E85" w:rsidP="00ED0E85">
            <w:pPr>
              <w:pStyle w:val="TableDataEntries"/>
              <w:rPr>
                <w:lang w:val="en-GB"/>
              </w:rPr>
            </w:pPr>
            <w:r>
              <w:rPr>
                <w:lang w:val="en-GB"/>
              </w:rPr>
              <w:t xml:space="preserve"> 21.7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7081CB" w14:textId="77777777" w:rsidR="00ED0E85" w:rsidRDefault="00ED0E85" w:rsidP="00ED0E85">
            <w:pPr>
              <w:pStyle w:val="TableDataEntries"/>
              <w:rPr>
                <w:lang w:val="en-GB"/>
              </w:rPr>
            </w:pPr>
            <w:r>
              <w:rPr>
                <w:lang w:val="en-GB"/>
              </w:rPr>
              <w:t xml:space="preserve"> 5.8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302D26" w14:textId="77777777" w:rsidR="00ED0E85" w:rsidRDefault="00ED0E85" w:rsidP="00ED0E85">
            <w:pPr>
              <w:pStyle w:val="TableDataEntries"/>
              <w:rPr>
                <w:lang w:val="en-GB"/>
              </w:rPr>
            </w:pPr>
            <w:r>
              <w:rPr>
                <w:lang w:val="en-GB"/>
              </w:rPr>
              <w:t xml:space="preserve"> 3.6</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40F3ED" w14:textId="77777777" w:rsidR="00ED0E85" w:rsidRDefault="00ED0E85" w:rsidP="00ED0E85">
            <w:pPr>
              <w:pStyle w:val="TableDataEntries"/>
              <w:rPr>
                <w:lang w:val="en-GB"/>
              </w:rPr>
            </w:pPr>
            <w:r>
              <w:rPr>
                <w:lang w:val="en-GB"/>
              </w:rPr>
              <w:t xml:space="preserve"> 4.6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DAC54F" w14:textId="77777777" w:rsidR="00ED0E85" w:rsidRDefault="00ED0E85" w:rsidP="00ED0E85">
            <w:pPr>
              <w:pStyle w:val="TableDataEntries"/>
              <w:rPr>
                <w:lang w:val="en-GB"/>
              </w:rPr>
            </w:pPr>
            <w:r>
              <w:rPr>
                <w:lang w:val="en-GB"/>
              </w:rPr>
              <w:t xml:space="preserve"> 4.5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D02510" w14:textId="77777777" w:rsidR="00ED0E85" w:rsidRDefault="00ED0E85" w:rsidP="00ED0E85">
            <w:pPr>
              <w:pStyle w:val="TableDataEntries"/>
              <w:rPr>
                <w:lang w:val="en-GB"/>
              </w:rPr>
            </w:pPr>
            <w:r>
              <w:rPr>
                <w:lang w:val="en-GB"/>
              </w:rPr>
              <w:t xml:space="preserve"> 2.8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2ACDF2" w14:textId="77777777" w:rsidR="00ED0E85" w:rsidRDefault="00ED0E85" w:rsidP="00ED0E85">
            <w:pPr>
              <w:pStyle w:val="TableDataEntries"/>
              <w:rPr>
                <w:lang w:val="en-GB"/>
              </w:rPr>
            </w:pPr>
            <w:r>
              <w:rPr>
                <w:lang w:val="en-GB"/>
              </w:rPr>
              <w:t xml:space="preserve"> 9.2</w:t>
            </w:r>
          </w:p>
        </w:tc>
      </w:tr>
      <w:tr w:rsidR="00ED0E85" w14:paraId="235CEBF0"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EF05FC" w14:textId="77777777" w:rsidR="00ED0E85" w:rsidRDefault="00ED0E85" w:rsidP="00ED0E85">
            <w:pPr>
              <w:pStyle w:val="TableDataEntries"/>
              <w:jc w:val="left"/>
              <w:rPr>
                <w:lang w:val="en-GB"/>
              </w:rPr>
            </w:pPr>
            <w:r>
              <w:rPr>
                <w:lang w:val="en-GB"/>
              </w:rPr>
              <w:t>1.5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C579EC" w14:textId="77777777" w:rsidR="00ED0E85" w:rsidRDefault="00ED0E85" w:rsidP="00ED0E85">
            <w:pPr>
              <w:pStyle w:val="TableDataEntries"/>
              <w:rPr>
                <w:lang w:val="en-GB"/>
              </w:rPr>
            </w:pPr>
            <w:r>
              <w:rPr>
                <w:lang w:val="en-GB"/>
              </w:rPr>
              <w:t xml:space="preserve"> 24.4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E349B9" w14:textId="77777777" w:rsidR="00ED0E85" w:rsidRDefault="00ED0E85" w:rsidP="00ED0E85">
            <w:pPr>
              <w:pStyle w:val="TableDataEntries"/>
              <w:rPr>
                <w:lang w:val="en-GB"/>
              </w:rPr>
            </w:pPr>
            <w:r>
              <w:rPr>
                <w:lang w:val="en-GB"/>
              </w:rPr>
              <w:t xml:space="preserve"> 25.6</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9002C3" w14:textId="77777777" w:rsidR="00ED0E85" w:rsidRDefault="00ED0E85" w:rsidP="00ED0E85">
            <w:pPr>
              <w:pStyle w:val="TableDataEntries"/>
              <w:rPr>
                <w:lang w:val="en-GB"/>
              </w:rPr>
            </w:pPr>
            <w:r>
              <w:rPr>
                <w:lang w:val="en-GB"/>
              </w:rPr>
              <w:t xml:space="preserve"> 9.2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C6FAC3" w14:textId="77777777" w:rsidR="00ED0E85" w:rsidRDefault="00ED0E85" w:rsidP="00ED0E85">
            <w:pPr>
              <w:pStyle w:val="TableDataEntries"/>
              <w:rPr>
                <w:lang w:val="en-GB"/>
              </w:rPr>
            </w:pPr>
            <w:r>
              <w:rPr>
                <w:lang w:val="en-GB"/>
              </w:rPr>
              <w:t xml:space="preserve"> 5.5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8ED180" w14:textId="77777777" w:rsidR="00ED0E85" w:rsidRDefault="00ED0E85" w:rsidP="00ED0E85">
            <w:pPr>
              <w:pStyle w:val="TableDataEntries"/>
              <w:rPr>
                <w:lang w:val="en-GB"/>
              </w:rPr>
            </w:pPr>
            <w:r>
              <w:rPr>
                <w:lang w:val="en-GB"/>
              </w:rPr>
              <w:t xml:space="preserve"> 9.6</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07D9FF"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42AB7D" w14:textId="77777777" w:rsidR="00ED0E85" w:rsidRDefault="00ED0E85" w:rsidP="00ED0E85">
            <w:pPr>
              <w:pStyle w:val="TableDataEntries"/>
              <w:rPr>
                <w:lang w:val="en-GB"/>
              </w:rPr>
            </w:pPr>
            <w:r>
              <w:rPr>
                <w:lang w:val="en-GB"/>
              </w:rPr>
              <w:t xml:space="preserve"> 9.3</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B97A97"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A0C972" w14:textId="77777777" w:rsidR="00ED0E85" w:rsidRDefault="00ED0E85" w:rsidP="00ED0E85">
            <w:pPr>
              <w:pStyle w:val="TableDataEntries"/>
              <w:rPr>
                <w:lang w:val="en-GB"/>
              </w:rPr>
            </w:pPr>
            <w:r>
              <w:rPr>
                <w:lang w:val="en-GB"/>
              </w:rPr>
              <w:t xml:space="preserve"> 0.0</w:t>
            </w:r>
          </w:p>
        </w:tc>
      </w:tr>
      <w:tr w:rsidR="00ED0E85" w14:paraId="582439C0"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D421A4" w14:textId="77777777" w:rsidR="00ED0E85" w:rsidRDefault="00ED0E85" w:rsidP="00ED0E85">
            <w:pPr>
              <w:pStyle w:val="TableDataEntries"/>
              <w:jc w:val="left"/>
              <w:rPr>
                <w:lang w:val="en-GB"/>
              </w:rPr>
            </w:pPr>
            <w:r>
              <w:rPr>
                <w:lang w:val="en-GB"/>
              </w:rPr>
              <w:t>2</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1B670B" w14:textId="77777777" w:rsidR="00ED0E85" w:rsidRDefault="00ED0E85" w:rsidP="00ED0E85">
            <w:pPr>
              <w:pStyle w:val="TableDataEntries"/>
              <w:rPr>
                <w:lang w:val="en-GB"/>
              </w:rPr>
            </w:pPr>
            <w:r>
              <w:rPr>
                <w:lang w:val="en-GB"/>
              </w:rPr>
              <w:t xml:space="preserve"> 90.2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4D025E" w14:textId="77777777" w:rsidR="00ED0E85" w:rsidRDefault="00ED0E85" w:rsidP="00ED0E85">
            <w:pPr>
              <w:pStyle w:val="TableDataEntries"/>
              <w:rPr>
                <w:lang w:val="en-GB"/>
              </w:rPr>
            </w:pPr>
            <w:r>
              <w:rPr>
                <w:lang w:val="en-GB"/>
              </w:rPr>
              <w:t xml:space="preserve"> 31.7</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607CE1" w14:textId="77777777" w:rsidR="00ED0E85" w:rsidRDefault="00ED0E85" w:rsidP="00ED0E85">
            <w:pPr>
              <w:pStyle w:val="TableDataEntries"/>
              <w:rPr>
                <w:lang w:val="en-GB"/>
              </w:rPr>
            </w:pPr>
            <w:r>
              <w:rPr>
                <w:lang w:val="en-GB"/>
              </w:rPr>
              <w:t xml:space="preserve"> 24.0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A3AE6F"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67CB56" w14:textId="77777777" w:rsidR="00ED0E85" w:rsidRDefault="00ED0E85" w:rsidP="00ED0E85">
            <w:pPr>
              <w:pStyle w:val="TableDataEntries"/>
              <w:rPr>
                <w:lang w:val="en-GB"/>
              </w:rPr>
            </w:pPr>
            <w:r>
              <w:rPr>
                <w:lang w:val="en-GB"/>
              </w:rPr>
              <w:t xml:space="preserve"> 2.7</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F09B8C" w14:textId="77777777" w:rsidR="00ED0E85" w:rsidRDefault="00ED0E85" w:rsidP="00ED0E85">
            <w:pPr>
              <w:pStyle w:val="TableDataEntries"/>
              <w:rPr>
                <w:lang w:val="en-GB"/>
              </w:rPr>
            </w:pPr>
            <w:r>
              <w:rPr>
                <w:lang w:val="en-GB"/>
              </w:rPr>
              <w:t xml:space="preserve"> 6.8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8C4CFC" w14:textId="77777777" w:rsidR="00ED0E85" w:rsidRDefault="00ED0E85" w:rsidP="00ED0E85">
            <w:pPr>
              <w:pStyle w:val="TableDataEntries"/>
              <w:rPr>
                <w:lang w:val="en-GB"/>
              </w:rPr>
            </w:pPr>
            <w:r>
              <w:rPr>
                <w:lang w:val="en-GB"/>
              </w:rPr>
              <w:t xml:space="preserve"> 2.9</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723496" w14:textId="77777777" w:rsidR="00ED0E85" w:rsidRDefault="00ED0E85" w:rsidP="00ED0E85">
            <w:pPr>
              <w:pStyle w:val="TableDataEntries"/>
              <w:rPr>
                <w:lang w:val="en-GB"/>
              </w:rPr>
            </w:pPr>
            <w:r>
              <w:rPr>
                <w:lang w:val="en-GB"/>
              </w:rPr>
              <w:t xml:space="preserve"> 4.1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5864EB" w14:textId="77777777" w:rsidR="00ED0E85" w:rsidRDefault="00ED0E85" w:rsidP="00ED0E85">
            <w:pPr>
              <w:pStyle w:val="TableDataEntries"/>
              <w:rPr>
                <w:lang w:val="en-GB"/>
              </w:rPr>
            </w:pPr>
            <w:r>
              <w:rPr>
                <w:lang w:val="en-GB"/>
              </w:rPr>
              <w:t xml:space="preserve"> 15.4</w:t>
            </w:r>
          </w:p>
        </w:tc>
      </w:tr>
      <w:tr w:rsidR="00ED0E85" w14:paraId="22012A12"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C8654D" w14:textId="77777777" w:rsidR="00ED0E85" w:rsidRDefault="00ED0E85" w:rsidP="00ED0E85">
            <w:pPr>
              <w:pStyle w:val="TableDataEntries"/>
              <w:jc w:val="left"/>
              <w:rPr>
                <w:lang w:val="en-GB"/>
              </w:rPr>
            </w:pPr>
            <w:r>
              <w:rPr>
                <w:lang w:val="en-GB"/>
              </w:rPr>
              <w:t>2.5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E2F9B1" w14:textId="77777777" w:rsidR="00ED0E85" w:rsidRDefault="00ED0E85" w:rsidP="00ED0E85">
            <w:pPr>
              <w:pStyle w:val="TableDataEntries"/>
              <w:rPr>
                <w:lang w:val="en-GB"/>
              </w:rPr>
            </w:pPr>
            <w:r>
              <w:rPr>
                <w:lang w:val="en-GB"/>
              </w:rPr>
              <w:t xml:space="preserve"> 49.8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91B00C" w14:textId="77777777" w:rsidR="00ED0E85" w:rsidRDefault="00ED0E85" w:rsidP="00ED0E85">
            <w:pPr>
              <w:pStyle w:val="TableDataEntries"/>
              <w:rPr>
                <w:lang w:val="en-GB"/>
              </w:rPr>
            </w:pPr>
            <w:r>
              <w:rPr>
                <w:lang w:val="en-GB"/>
              </w:rPr>
              <w:t xml:space="preserve"> 17.4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1BC346" w14:textId="77777777" w:rsidR="00ED0E85" w:rsidRDefault="00ED0E85" w:rsidP="00ED0E85">
            <w:pPr>
              <w:pStyle w:val="TableDataEntries"/>
              <w:rPr>
                <w:lang w:val="en-GB"/>
              </w:rPr>
            </w:pPr>
            <w:r>
              <w:rPr>
                <w:lang w:val="en-GB"/>
              </w:rPr>
              <w:t xml:space="preserve"> 7.3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1EF686" w14:textId="77777777" w:rsidR="00ED0E85" w:rsidRDefault="00ED0E85" w:rsidP="00ED0E85">
            <w:pPr>
              <w:pStyle w:val="TableDataEntries"/>
              <w:rPr>
                <w:lang w:val="en-GB"/>
              </w:rPr>
            </w:pPr>
            <w:r>
              <w:rPr>
                <w:lang w:val="en-GB"/>
              </w:rPr>
              <w:t xml:space="preserve"> 5.8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E43EF5" w14:textId="77777777" w:rsidR="00ED0E85" w:rsidRDefault="00ED0E85" w:rsidP="00ED0E85">
            <w:pPr>
              <w:pStyle w:val="TableDataEntries"/>
              <w:rPr>
                <w:lang w:val="en-GB"/>
              </w:rPr>
            </w:pPr>
            <w:r>
              <w:rPr>
                <w:lang w:val="en-GB"/>
              </w:rPr>
              <w:t xml:space="preserve"> 8.8</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501365" w14:textId="77777777" w:rsidR="00ED0E85" w:rsidRDefault="00ED0E85" w:rsidP="00ED0E85">
            <w:pPr>
              <w:pStyle w:val="TableDataEntries"/>
              <w:rPr>
                <w:lang w:val="en-GB"/>
              </w:rPr>
            </w:pPr>
            <w:r>
              <w:rPr>
                <w:lang w:val="en-GB"/>
              </w:rPr>
              <w:t xml:space="preserve"> 4.1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04F417" w14:textId="77777777" w:rsidR="00ED0E85" w:rsidRDefault="00ED0E85" w:rsidP="00ED0E85">
            <w:pPr>
              <w:pStyle w:val="TableDataEntries"/>
              <w:rPr>
                <w:lang w:val="en-GB"/>
              </w:rPr>
            </w:pPr>
            <w:r>
              <w:rPr>
                <w:lang w:val="en-GB"/>
              </w:rPr>
              <w:t xml:space="preserve"> 7.5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14ED7F" w14:textId="77777777" w:rsidR="00ED0E85" w:rsidRDefault="00ED0E85" w:rsidP="00ED0E85">
            <w:pPr>
              <w:pStyle w:val="TableDataEntries"/>
              <w:rPr>
                <w:lang w:val="en-GB"/>
              </w:rPr>
            </w:pPr>
            <w:r>
              <w:rPr>
                <w:lang w:val="en-GB"/>
              </w:rPr>
              <w:t xml:space="preserve"> 6.3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E8047E" w14:textId="77777777" w:rsidR="00ED0E85" w:rsidRDefault="00ED0E85" w:rsidP="00ED0E85">
            <w:pPr>
              <w:pStyle w:val="TableDataEntries"/>
              <w:rPr>
                <w:lang w:val="en-GB"/>
              </w:rPr>
            </w:pPr>
            <w:r>
              <w:rPr>
                <w:lang w:val="en-GB"/>
              </w:rPr>
              <w:t xml:space="preserve"> 0.0</w:t>
            </w:r>
          </w:p>
        </w:tc>
      </w:tr>
      <w:tr w:rsidR="00ED0E85" w14:paraId="3E538A91"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B7B547" w14:textId="77777777" w:rsidR="00ED0E85" w:rsidRDefault="00ED0E85" w:rsidP="00ED0E85">
            <w:pPr>
              <w:pStyle w:val="TableDataEntries"/>
              <w:jc w:val="left"/>
              <w:rPr>
                <w:lang w:val="en-GB"/>
              </w:rPr>
            </w:pPr>
            <w:r>
              <w:rPr>
                <w:lang w:val="en-GB"/>
              </w:rPr>
              <w:t>3</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B23C3D" w14:textId="77777777" w:rsidR="00ED0E85" w:rsidRDefault="00ED0E85" w:rsidP="00ED0E85">
            <w:pPr>
              <w:pStyle w:val="TableDataEntries"/>
              <w:rPr>
                <w:lang w:val="en-GB"/>
              </w:rPr>
            </w:pPr>
            <w:r>
              <w:rPr>
                <w:lang w:val="en-GB"/>
              </w:rPr>
              <w:t xml:space="preserve"> 54.2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BDA2AA" w14:textId="77777777" w:rsidR="00ED0E85" w:rsidRDefault="00ED0E85" w:rsidP="00ED0E85">
            <w:pPr>
              <w:pStyle w:val="TableDataEntries"/>
              <w:rPr>
                <w:lang w:val="en-GB"/>
              </w:rPr>
            </w:pPr>
            <w:r>
              <w:rPr>
                <w:lang w:val="en-GB"/>
              </w:rPr>
              <w:t xml:space="preserve"> 48.6</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161791" w14:textId="77777777" w:rsidR="00ED0E85" w:rsidRDefault="00ED0E85" w:rsidP="00ED0E85">
            <w:pPr>
              <w:pStyle w:val="TableDataEntries"/>
              <w:rPr>
                <w:lang w:val="en-GB"/>
              </w:rPr>
            </w:pPr>
            <w:r>
              <w:rPr>
                <w:lang w:val="en-GB"/>
              </w:rPr>
              <w:t xml:space="preserve"> 4.0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92FE48" w14:textId="77777777" w:rsidR="00ED0E85" w:rsidRDefault="00ED0E85" w:rsidP="00ED0E85">
            <w:pPr>
              <w:pStyle w:val="TableDataEntries"/>
              <w:rPr>
                <w:lang w:val="en-GB"/>
              </w:rPr>
            </w:pPr>
            <w:r>
              <w:rPr>
                <w:lang w:val="en-GB"/>
              </w:rPr>
              <w:t xml:space="preserve"> 15.6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31B326" w14:textId="77777777" w:rsidR="00ED0E85" w:rsidRDefault="00ED0E85" w:rsidP="00ED0E85">
            <w:pPr>
              <w:pStyle w:val="TableDataEntries"/>
              <w:rPr>
                <w:lang w:val="en-GB"/>
              </w:rPr>
            </w:pPr>
            <w:r>
              <w:rPr>
                <w:lang w:val="en-GB"/>
              </w:rPr>
              <w:t xml:space="preserve"> 3.2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B28BFA"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B0C11F" w14:textId="77777777" w:rsidR="00ED0E85" w:rsidRDefault="00ED0E85" w:rsidP="00ED0E85">
            <w:pPr>
              <w:pStyle w:val="TableDataEntries"/>
              <w:rPr>
                <w:lang w:val="en-GB"/>
              </w:rPr>
            </w:pPr>
            <w:r>
              <w:rPr>
                <w:lang w:val="en-GB"/>
              </w:rPr>
              <w:t xml:space="preserve"> 15.4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EDB128" w14:textId="77777777" w:rsidR="00ED0E85" w:rsidRDefault="00ED0E85" w:rsidP="00ED0E85">
            <w:pPr>
              <w:pStyle w:val="TableDataEntries"/>
              <w:rPr>
                <w:lang w:val="en-GB"/>
              </w:rPr>
            </w:pPr>
            <w:r>
              <w:rPr>
                <w:lang w:val="en-GB"/>
              </w:rPr>
              <w:t xml:space="preserve"> 4.5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B21EC7" w14:textId="77777777" w:rsidR="00ED0E85" w:rsidRDefault="00ED0E85" w:rsidP="00ED0E85">
            <w:pPr>
              <w:pStyle w:val="TableDataEntries"/>
              <w:rPr>
                <w:lang w:val="en-GB"/>
              </w:rPr>
            </w:pPr>
            <w:r>
              <w:rPr>
                <w:lang w:val="en-GB"/>
              </w:rPr>
              <w:t xml:space="preserve"> 14.5</w:t>
            </w:r>
          </w:p>
        </w:tc>
      </w:tr>
      <w:tr w:rsidR="00ED0E85" w14:paraId="0081E318"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F7A116" w14:textId="77777777" w:rsidR="00ED0E85" w:rsidRDefault="00ED0E85" w:rsidP="00ED0E85">
            <w:pPr>
              <w:pStyle w:val="TableDataEntries"/>
              <w:jc w:val="left"/>
              <w:rPr>
                <w:lang w:val="en-GB"/>
              </w:rPr>
            </w:pPr>
            <w:r>
              <w:rPr>
                <w:lang w:val="en-GB"/>
              </w:rPr>
              <w:t>3.5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EB9C9D" w14:textId="77777777" w:rsidR="00ED0E85" w:rsidRDefault="00ED0E85" w:rsidP="00ED0E85">
            <w:pPr>
              <w:pStyle w:val="TableDataEntries"/>
              <w:rPr>
                <w:lang w:val="en-GB"/>
              </w:rPr>
            </w:pPr>
            <w:r>
              <w:rPr>
                <w:lang w:val="en-GB"/>
              </w:rPr>
              <w:t xml:space="preserve"> 69.7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E401CA" w14:textId="77777777" w:rsidR="00ED0E85" w:rsidRDefault="00ED0E85" w:rsidP="00ED0E85">
            <w:pPr>
              <w:pStyle w:val="TableDataEntries"/>
              <w:rPr>
                <w:lang w:val="en-GB"/>
              </w:rPr>
            </w:pPr>
            <w:r>
              <w:rPr>
                <w:lang w:val="en-GB"/>
              </w:rPr>
              <w:t xml:space="preserve"> 30.3</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255231" w14:textId="77777777" w:rsidR="00ED0E85" w:rsidRDefault="00ED0E85" w:rsidP="00ED0E85">
            <w:pPr>
              <w:pStyle w:val="TableDataEntries"/>
              <w:rPr>
                <w:lang w:val="en-GB"/>
              </w:rPr>
            </w:pPr>
            <w:r>
              <w:rPr>
                <w:lang w:val="en-GB"/>
              </w:rPr>
              <w:t xml:space="preserve"> 23.8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CED0EE" w14:textId="77777777" w:rsidR="00ED0E85" w:rsidRDefault="00ED0E85" w:rsidP="00ED0E85">
            <w:pPr>
              <w:pStyle w:val="TableDataEntries"/>
              <w:rPr>
                <w:lang w:val="en-GB"/>
              </w:rPr>
            </w:pPr>
            <w:r>
              <w:rPr>
                <w:lang w:val="en-GB"/>
              </w:rPr>
              <w:t xml:space="preserve"> 17.5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321DF8" w14:textId="77777777" w:rsidR="00ED0E85" w:rsidRDefault="00ED0E85" w:rsidP="00ED0E85">
            <w:pPr>
              <w:pStyle w:val="TableDataEntries"/>
              <w:rPr>
                <w:lang w:val="en-GB"/>
              </w:rPr>
            </w:pPr>
            <w:r>
              <w:rPr>
                <w:lang w:val="en-GB"/>
              </w:rPr>
              <w:t xml:space="preserve"> 15.6</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B46EF7" w14:textId="77777777" w:rsidR="00ED0E85" w:rsidRDefault="00ED0E85" w:rsidP="00ED0E85">
            <w:pPr>
              <w:pStyle w:val="TableDataEntries"/>
              <w:rPr>
                <w:lang w:val="en-GB"/>
              </w:rPr>
            </w:pPr>
            <w:r>
              <w:rPr>
                <w:lang w:val="en-GB"/>
              </w:rPr>
              <w:t xml:space="preserve"> 4.7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11B239" w14:textId="77777777" w:rsidR="00ED0E85" w:rsidRDefault="00ED0E85" w:rsidP="00ED0E85">
            <w:pPr>
              <w:pStyle w:val="TableDataEntries"/>
              <w:rPr>
                <w:lang w:val="en-GB"/>
              </w:rPr>
            </w:pPr>
            <w:r>
              <w:rPr>
                <w:lang w:val="en-GB"/>
              </w:rPr>
              <w:t xml:space="preserve"> 1.7</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EF3344" w14:textId="77777777" w:rsidR="00ED0E85" w:rsidRDefault="00ED0E85" w:rsidP="00ED0E85">
            <w:pPr>
              <w:pStyle w:val="TableDataEntries"/>
              <w:rPr>
                <w:lang w:val="en-GB"/>
              </w:rPr>
            </w:pPr>
            <w:r>
              <w:rPr>
                <w:lang w:val="en-GB"/>
              </w:rPr>
              <w:t xml:space="preserve"> 37.8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8E633C" w14:textId="77777777" w:rsidR="00ED0E85" w:rsidRDefault="00ED0E85" w:rsidP="00ED0E85">
            <w:pPr>
              <w:pStyle w:val="TableDataEntries"/>
              <w:rPr>
                <w:lang w:val="en-GB"/>
              </w:rPr>
            </w:pPr>
            <w:r>
              <w:rPr>
                <w:lang w:val="en-GB"/>
              </w:rPr>
              <w:t xml:space="preserve"> 11.7</w:t>
            </w:r>
          </w:p>
        </w:tc>
      </w:tr>
      <w:tr w:rsidR="00ED0E85" w14:paraId="1D70FB6A"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F1D195" w14:textId="77777777" w:rsidR="00ED0E85" w:rsidRDefault="00ED0E85" w:rsidP="00ED0E85">
            <w:pPr>
              <w:pStyle w:val="TableDataEntries"/>
              <w:jc w:val="left"/>
              <w:rPr>
                <w:lang w:val="en-GB"/>
              </w:rPr>
            </w:pPr>
            <w:r>
              <w:rPr>
                <w:lang w:val="en-GB"/>
              </w:rPr>
              <w:t>4</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020E03" w14:textId="77777777" w:rsidR="00ED0E85" w:rsidRDefault="00ED0E85" w:rsidP="00ED0E85">
            <w:pPr>
              <w:pStyle w:val="TableDataEntries"/>
              <w:rPr>
                <w:lang w:val="en-GB"/>
              </w:rPr>
            </w:pPr>
            <w:r>
              <w:rPr>
                <w:lang w:val="en-GB"/>
              </w:rPr>
              <w:t xml:space="preserve"> 32.4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E02FA4" w14:textId="77777777" w:rsidR="00ED0E85" w:rsidRDefault="00ED0E85" w:rsidP="00ED0E85">
            <w:pPr>
              <w:pStyle w:val="TableDataEntries"/>
              <w:rPr>
                <w:lang w:val="en-GB"/>
              </w:rPr>
            </w:pPr>
            <w:r>
              <w:rPr>
                <w:lang w:val="en-GB"/>
              </w:rPr>
              <w:t xml:space="preserve"> 57.7</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907EA8" w14:textId="77777777" w:rsidR="00ED0E85" w:rsidRDefault="00ED0E85" w:rsidP="00ED0E85">
            <w:pPr>
              <w:pStyle w:val="TableDataEntries"/>
              <w:rPr>
                <w:lang w:val="en-GB"/>
              </w:rPr>
            </w:pPr>
            <w:r>
              <w:rPr>
                <w:lang w:val="en-GB"/>
              </w:rPr>
              <w:t xml:space="preserve"> 8.7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57CD8B" w14:textId="77777777" w:rsidR="00ED0E85" w:rsidRDefault="00ED0E85" w:rsidP="00ED0E85">
            <w:pPr>
              <w:pStyle w:val="TableDataEntries"/>
              <w:rPr>
                <w:lang w:val="en-GB"/>
              </w:rPr>
            </w:pPr>
            <w:r>
              <w:rPr>
                <w:lang w:val="en-GB"/>
              </w:rPr>
              <w:t xml:space="preserve"> 9.9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753784" w14:textId="77777777" w:rsidR="00ED0E85" w:rsidRDefault="00ED0E85" w:rsidP="00ED0E85">
            <w:pPr>
              <w:pStyle w:val="TableDataEntries"/>
              <w:rPr>
                <w:lang w:val="en-GB"/>
              </w:rPr>
            </w:pPr>
            <w:r>
              <w:rPr>
                <w:lang w:val="en-GB"/>
              </w:rPr>
              <w:t xml:space="preserve"> 24.8</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DFC3FB" w14:textId="77777777" w:rsidR="00ED0E85" w:rsidRDefault="00ED0E85" w:rsidP="00ED0E85">
            <w:pPr>
              <w:pStyle w:val="TableDataEntries"/>
              <w:rPr>
                <w:lang w:val="en-GB"/>
              </w:rPr>
            </w:pPr>
            <w:r>
              <w:rPr>
                <w:lang w:val="en-GB"/>
              </w:rPr>
              <w:t xml:space="preserve"> 31.3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6E45C7" w14:textId="77777777" w:rsidR="00ED0E85" w:rsidRDefault="00ED0E85" w:rsidP="00ED0E85">
            <w:pPr>
              <w:pStyle w:val="TableDataEntries"/>
              <w:rPr>
                <w:lang w:val="en-GB"/>
              </w:rPr>
            </w:pPr>
            <w:r>
              <w:rPr>
                <w:lang w:val="en-GB"/>
              </w:rPr>
              <w:t xml:space="preserve"> 12.6</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77DC14" w14:textId="77777777" w:rsidR="00ED0E85" w:rsidRDefault="00ED0E85" w:rsidP="00ED0E85">
            <w:pPr>
              <w:pStyle w:val="TableDataEntries"/>
              <w:rPr>
                <w:lang w:val="en-GB"/>
              </w:rPr>
            </w:pPr>
            <w:r>
              <w:rPr>
                <w:lang w:val="en-GB"/>
              </w:rPr>
              <w:t xml:space="preserve"> 9.5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42BD9C" w14:textId="77777777" w:rsidR="00ED0E85" w:rsidRDefault="00ED0E85" w:rsidP="00ED0E85">
            <w:pPr>
              <w:pStyle w:val="TableDataEntries"/>
              <w:rPr>
                <w:lang w:val="en-GB"/>
              </w:rPr>
            </w:pPr>
            <w:r>
              <w:rPr>
                <w:lang w:val="en-GB"/>
              </w:rPr>
              <w:t xml:space="preserve"> 6.6</w:t>
            </w:r>
          </w:p>
        </w:tc>
      </w:tr>
      <w:tr w:rsidR="00ED0E85" w14:paraId="4886C1E9"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69E103" w14:textId="77777777" w:rsidR="00ED0E85" w:rsidRDefault="00ED0E85" w:rsidP="00ED0E85">
            <w:pPr>
              <w:pStyle w:val="TableDataEntries"/>
              <w:jc w:val="left"/>
              <w:rPr>
                <w:lang w:val="en-GB"/>
              </w:rPr>
            </w:pPr>
            <w:r>
              <w:rPr>
                <w:lang w:val="en-GB"/>
              </w:rPr>
              <w:t>4.5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E9D8DB" w14:textId="77777777" w:rsidR="00ED0E85" w:rsidRDefault="00ED0E85" w:rsidP="00ED0E85">
            <w:pPr>
              <w:pStyle w:val="TableDataEntries"/>
              <w:rPr>
                <w:lang w:val="en-GB"/>
              </w:rPr>
            </w:pPr>
            <w:r>
              <w:rPr>
                <w:lang w:val="en-GB"/>
              </w:rPr>
              <w:t xml:space="preserve"> 93.4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30F5D7" w14:textId="77777777" w:rsidR="00ED0E85" w:rsidRDefault="00ED0E85" w:rsidP="00ED0E85">
            <w:pPr>
              <w:pStyle w:val="TableDataEntries"/>
              <w:rPr>
                <w:lang w:val="en-GB"/>
              </w:rPr>
            </w:pPr>
            <w:r>
              <w:rPr>
                <w:lang w:val="en-GB"/>
              </w:rPr>
              <w:t xml:space="preserve"> 46.4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54205C" w14:textId="77777777" w:rsidR="00ED0E85" w:rsidRDefault="00ED0E85" w:rsidP="00ED0E85">
            <w:pPr>
              <w:pStyle w:val="TableDataEntries"/>
              <w:rPr>
                <w:lang w:val="en-GB"/>
              </w:rPr>
            </w:pPr>
            <w:r>
              <w:rPr>
                <w:lang w:val="en-GB"/>
              </w:rPr>
              <w:t xml:space="preserve"> 56.9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6A3F71" w14:textId="77777777" w:rsidR="00ED0E85" w:rsidRDefault="00ED0E85" w:rsidP="00ED0E85">
            <w:pPr>
              <w:pStyle w:val="TableDataEntries"/>
              <w:rPr>
                <w:lang w:val="en-GB"/>
              </w:rPr>
            </w:pPr>
            <w:r>
              <w:rPr>
                <w:lang w:val="en-GB"/>
              </w:rPr>
              <w:t xml:space="preserve"> 1.6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10999C" w14:textId="77777777" w:rsidR="00ED0E85" w:rsidRDefault="00ED0E85" w:rsidP="00ED0E85">
            <w:pPr>
              <w:pStyle w:val="TableDataEntries"/>
              <w:rPr>
                <w:lang w:val="en-GB"/>
              </w:rPr>
            </w:pPr>
            <w:r>
              <w:rPr>
                <w:lang w:val="en-GB"/>
              </w:rPr>
              <w:t xml:space="preserve"> 33.7</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E1BB0F" w14:textId="77777777" w:rsidR="00ED0E85" w:rsidRDefault="00ED0E85" w:rsidP="00ED0E85">
            <w:pPr>
              <w:pStyle w:val="TableDataEntries"/>
              <w:rPr>
                <w:lang w:val="en-GB"/>
              </w:rPr>
            </w:pPr>
            <w:r>
              <w:rPr>
                <w:lang w:val="en-GB"/>
              </w:rPr>
              <w:t xml:space="preserve"> 9.2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D1E991" w14:textId="77777777" w:rsidR="00ED0E85" w:rsidRDefault="00ED0E85" w:rsidP="00ED0E85">
            <w:pPr>
              <w:pStyle w:val="TableDataEntries"/>
              <w:rPr>
                <w:lang w:val="en-GB"/>
              </w:rPr>
            </w:pPr>
            <w:r>
              <w:rPr>
                <w:lang w:val="en-GB"/>
              </w:rPr>
              <w:t xml:space="preserve"> 17.5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FA4594" w14:textId="77777777" w:rsidR="00ED0E85" w:rsidRDefault="00ED0E85" w:rsidP="00ED0E85">
            <w:pPr>
              <w:pStyle w:val="TableDataEntries"/>
              <w:rPr>
                <w:lang w:val="en-GB"/>
              </w:rPr>
            </w:pPr>
            <w:r>
              <w:rPr>
                <w:lang w:val="en-GB"/>
              </w:rPr>
              <w:t xml:space="preserve"> 12.4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4C19CD" w14:textId="77777777" w:rsidR="00ED0E85" w:rsidRDefault="00ED0E85" w:rsidP="00ED0E85">
            <w:pPr>
              <w:pStyle w:val="TableDataEntries"/>
              <w:rPr>
                <w:lang w:val="en-GB"/>
              </w:rPr>
            </w:pPr>
            <w:r>
              <w:rPr>
                <w:lang w:val="en-GB"/>
              </w:rPr>
              <w:t xml:space="preserve"> 17.6</w:t>
            </w:r>
          </w:p>
        </w:tc>
      </w:tr>
      <w:tr w:rsidR="00ED0E85" w14:paraId="7C0C4C4F"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C9EBF8" w14:textId="77777777" w:rsidR="00ED0E85" w:rsidRDefault="00ED0E85" w:rsidP="00ED0E85">
            <w:pPr>
              <w:pStyle w:val="TableDataEntries"/>
              <w:jc w:val="left"/>
              <w:rPr>
                <w:lang w:val="en-GB"/>
              </w:rPr>
            </w:pPr>
            <w:r>
              <w:rPr>
                <w:lang w:val="en-GB"/>
              </w:rPr>
              <w:t>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6E919E" w14:textId="77777777" w:rsidR="00ED0E85" w:rsidRDefault="00ED0E85" w:rsidP="00ED0E85">
            <w:pPr>
              <w:pStyle w:val="TableDataEntries"/>
              <w:rPr>
                <w:lang w:val="en-GB"/>
              </w:rPr>
            </w:pPr>
            <w:r>
              <w:rPr>
                <w:lang w:val="en-GB"/>
              </w:rPr>
              <w:t xml:space="preserve"> 139.8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D50C14" w14:textId="77777777" w:rsidR="00ED0E85" w:rsidRDefault="00ED0E85" w:rsidP="00ED0E85">
            <w:pPr>
              <w:pStyle w:val="TableDataEntries"/>
              <w:rPr>
                <w:lang w:val="en-GB"/>
              </w:rPr>
            </w:pPr>
            <w:r>
              <w:rPr>
                <w:lang w:val="en-GB"/>
              </w:rPr>
              <w:t xml:space="preserve"> 86.4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3D1F27" w14:textId="77777777" w:rsidR="00ED0E85" w:rsidRDefault="00ED0E85" w:rsidP="00ED0E85">
            <w:pPr>
              <w:pStyle w:val="TableDataEntries"/>
              <w:rPr>
                <w:lang w:val="en-GB"/>
              </w:rPr>
            </w:pPr>
            <w:r>
              <w:rPr>
                <w:lang w:val="en-GB"/>
              </w:rPr>
              <w:t xml:space="preserve"> 99.3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E0EFE0" w14:textId="77777777" w:rsidR="00ED0E85" w:rsidRDefault="00ED0E85" w:rsidP="00ED0E85">
            <w:pPr>
              <w:pStyle w:val="TableDataEntries"/>
              <w:rPr>
                <w:lang w:val="en-GB"/>
              </w:rPr>
            </w:pPr>
            <w:r>
              <w:rPr>
                <w:lang w:val="en-GB"/>
              </w:rPr>
              <w:t xml:space="preserve"> 50.7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5F384C" w14:textId="77777777" w:rsidR="00ED0E85" w:rsidRDefault="00ED0E85" w:rsidP="00ED0E85">
            <w:pPr>
              <w:pStyle w:val="TableDataEntries"/>
              <w:rPr>
                <w:lang w:val="en-GB"/>
              </w:rPr>
            </w:pPr>
            <w:r>
              <w:rPr>
                <w:lang w:val="en-GB"/>
              </w:rPr>
              <w:t xml:space="preserve"> 126.3</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FF7FDF" w14:textId="77777777" w:rsidR="00ED0E85" w:rsidRDefault="00ED0E85" w:rsidP="00ED0E85">
            <w:pPr>
              <w:pStyle w:val="TableDataEntries"/>
              <w:rPr>
                <w:lang w:val="en-GB"/>
              </w:rPr>
            </w:pPr>
            <w:r>
              <w:rPr>
                <w:lang w:val="en-GB"/>
              </w:rPr>
              <w:t xml:space="preserve"> 23.5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D953B1" w14:textId="77777777" w:rsidR="00ED0E85" w:rsidRDefault="00ED0E85" w:rsidP="00ED0E85">
            <w:pPr>
              <w:pStyle w:val="TableDataEntries"/>
              <w:rPr>
                <w:lang w:val="en-GB"/>
              </w:rPr>
            </w:pPr>
            <w:r>
              <w:rPr>
                <w:lang w:val="en-GB"/>
              </w:rPr>
              <w:t xml:space="preserve"> 41.5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6CAAA8" w14:textId="77777777" w:rsidR="00ED0E85" w:rsidRDefault="00ED0E85" w:rsidP="00ED0E85">
            <w:pPr>
              <w:pStyle w:val="TableDataEntries"/>
              <w:rPr>
                <w:lang w:val="en-GB"/>
              </w:rPr>
            </w:pPr>
            <w:r>
              <w:rPr>
                <w:lang w:val="en-GB"/>
              </w:rPr>
              <w:t xml:space="preserve"> 102.5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DBC474" w14:textId="77777777" w:rsidR="00ED0E85" w:rsidRDefault="00ED0E85" w:rsidP="00ED0E85">
            <w:pPr>
              <w:pStyle w:val="TableDataEntries"/>
              <w:rPr>
                <w:lang w:val="en-GB"/>
              </w:rPr>
            </w:pPr>
            <w:r>
              <w:rPr>
                <w:lang w:val="en-GB"/>
              </w:rPr>
              <w:t xml:space="preserve"> 32.9</w:t>
            </w:r>
          </w:p>
        </w:tc>
      </w:tr>
      <w:tr w:rsidR="00ED0E85" w14:paraId="6D9D8243"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D87F69" w14:textId="77777777" w:rsidR="00ED0E85" w:rsidRDefault="00ED0E85" w:rsidP="00ED0E85">
            <w:pPr>
              <w:pStyle w:val="TableDataEntries"/>
              <w:jc w:val="left"/>
              <w:rPr>
                <w:lang w:val="en-GB"/>
              </w:rPr>
            </w:pPr>
            <w:r>
              <w:rPr>
                <w:lang w:val="en-GB"/>
              </w:rPr>
              <w:t>5.5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9CE424" w14:textId="77777777" w:rsidR="00ED0E85" w:rsidRDefault="00ED0E85" w:rsidP="00ED0E85">
            <w:pPr>
              <w:pStyle w:val="TableDataEntries"/>
              <w:rPr>
                <w:lang w:val="en-GB"/>
              </w:rPr>
            </w:pPr>
            <w:r>
              <w:rPr>
                <w:lang w:val="en-GB"/>
              </w:rPr>
              <w:t xml:space="preserve"> 9.7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E922CD" w14:textId="77777777" w:rsidR="00ED0E85" w:rsidRDefault="00ED0E85" w:rsidP="00ED0E85">
            <w:pPr>
              <w:pStyle w:val="TableDataEntries"/>
              <w:rPr>
                <w:lang w:val="en-GB"/>
              </w:rPr>
            </w:pPr>
            <w:r>
              <w:rPr>
                <w:lang w:val="en-GB"/>
              </w:rPr>
              <w:t xml:space="preserve"> 60.2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E8F79F" w14:textId="77777777" w:rsidR="00ED0E85" w:rsidRDefault="00ED0E85" w:rsidP="00ED0E85">
            <w:pPr>
              <w:pStyle w:val="TableDataEntries"/>
              <w:rPr>
                <w:lang w:val="en-GB"/>
              </w:rPr>
            </w:pPr>
            <w:r>
              <w:rPr>
                <w:lang w:val="en-GB"/>
              </w:rPr>
              <w:t xml:space="preserve"> 30.5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709736" w14:textId="77777777" w:rsidR="00ED0E85" w:rsidRDefault="00ED0E85" w:rsidP="00ED0E85">
            <w:pPr>
              <w:pStyle w:val="TableDataEntries"/>
              <w:rPr>
                <w:lang w:val="en-GB"/>
              </w:rPr>
            </w:pPr>
            <w:r>
              <w:rPr>
                <w:lang w:val="en-GB"/>
              </w:rPr>
              <w:t xml:space="preserve"> 68.8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659D40" w14:textId="77777777" w:rsidR="00ED0E85" w:rsidRDefault="00ED0E85" w:rsidP="00ED0E85">
            <w:pPr>
              <w:pStyle w:val="TableDataEntries"/>
              <w:rPr>
                <w:lang w:val="en-GB"/>
              </w:rPr>
            </w:pPr>
            <w:r>
              <w:rPr>
                <w:lang w:val="en-GB"/>
              </w:rPr>
              <w:t xml:space="preserve"> 34.4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4E87A7" w14:textId="77777777" w:rsidR="00ED0E85" w:rsidRDefault="00ED0E85" w:rsidP="00ED0E85">
            <w:pPr>
              <w:pStyle w:val="TableDataEntries"/>
              <w:rPr>
                <w:lang w:val="en-GB"/>
              </w:rPr>
            </w:pPr>
            <w:r>
              <w:rPr>
                <w:lang w:val="en-GB"/>
              </w:rPr>
              <w:t xml:space="preserve"> 22.1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B6DE9F" w14:textId="77777777" w:rsidR="00ED0E85" w:rsidRDefault="00ED0E85" w:rsidP="00ED0E85">
            <w:pPr>
              <w:pStyle w:val="TableDataEntries"/>
              <w:rPr>
                <w:lang w:val="en-GB"/>
              </w:rPr>
            </w:pPr>
            <w:r>
              <w:rPr>
                <w:lang w:val="en-GB"/>
              </w:rPr>
              <w:t xml:space="preserve"> 24.0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874225" w14:textId="77777777" w:rsidR="00ED0E85" w:rsidRDefault="00ED0E85" w:rsidP="00ED0E85">
            <w:pPr>
              <w:pStyle w:val="TableDataEntries"/>
              <w:rPr>
                <w:lang w:val="en-GB"/>
              </w:rPr>
            </w:pPr>
            <w:r>
              <w:rPr>
                <w:lang w:val="en-GB"/>
              </w:rPr>
              <w:t xml:space="preserve"> 78.6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014AC1" w14:textId="77777777" w:rsidR="00ED0E85" w:rsidRDefault="00ED0E85" w:rsidP="00ED0E85">
            <w:pPr>
              <w:pStyle w:val="TableDataEntries"/>
              <w:rPr>
                <w:lang w:val="en-GB"/>
              </w:rPr>
            </w:pPr>
            <w:r>
              <w:rPr>
                <w:lang w:val="en-GB"/>
              </w:rPr>
              <w:t xml:space="preserve"> 2.1</w:t>
            </w:r>
          </w:p>
        </w:tc>
      </w:tr>
      <w:tr w:rsidR="00ED0E85" w14:paraId="630AF2BE"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9B2E5D" w14:textId="77777777" w:rsidR="00ED0E85" w:rsidRDefault="00ED0E85" w:rsidP="00ED0E85">
            <w:pPr>
              <w:pStyle w:val="TableDataEntries"/>
              <w:jc w:val="left"/>
              <w:rPr>
                <w:lang w:val="en-GB"/>
              </w:rPr>
            </w:pPr>
            <w:r>
              <w:rPr>
                <w:lang w:val="en-GB"/>
              </w:rPr>
              <w:t>6</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4E8086"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A56D40" w14:textId="77777777" w:rsidR="00ED0E85" w:rsidRDefault="00ED0E85" w:rsidP="00ED0E85">
            <w:pPr>
              <w:pStyle w:val="TableDataEntries"/>
              <w:rPr>
                <w:lang w:val="en-GB"/>
              </w:rPr>
            </w:pPr>
            <w:r>
              <w:rPr>
                <w:lang w:val="en-GB"/>
              </w:rPr>
              <w:t xml:space="preserve"> 2.4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5CD830" w14:textId="77777777" w:rsidR="00ED0E85" w:rsidRDefault="00ED0E85" w:rsidP="00ED0E85">
            <w:pPr>
              <w:pStyle w:val="TableDataEntries"/>
              <w:rPr>
                <w:lang w:val="en-GB"/>
              </w:rPr>
            </w:pPr>
            <w:r>
              <w:rPr>
                <w:lang w:val="en-GB"/>
              </w:rPr>
              <w:t xml:space="preserve"> 2.2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DE7C28"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4DF8C0"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4CBF15"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4B6098"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C58A80" w14:textId="77777777" w:rsidR="00ED0E85" w:rsidRDefault="00ED0E85" w:rsidP="00ED0E85">
            <w:pPr>
              <w:pStyle w:val="TableDataEntries"/>
              <w:rPr>
                <w:lang w:val="en-GB"/>
              </w:rPr>
            </w:pPr>
            <w:r>
              <w:rPr>
                <w:lang w:val="en-GB"/>
              </w:rPr>
              <w:t xml:space="preserve"> 13.6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5F1DE7" w14:textId="77777777" w:rsidR="00ED0E85" w:rsidRDefault="00ED0E85" w:rsidP="00ED0E85">
            <w:pPr>
              <w:pStyle w:val="TableDataEntries"/>
              <w:rPr>
                <w:lang w:val="en-GB"/>
              </w:rPr>
            </w:pPr>
            <w:r>
              <w:rPr>
                <w:lang w:val="en-GB"/>
              </w:rPr>
              <w:t xml:space="preserve"> 1.0</w:t>
            </w:r>
          </w:p>
        </w:tc>
      </w:tr>
      <w:tr w:rsidR="001540E1" w:rsidRPr="001540E1" w14:paraId="6E21EEEE"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0F5C55" w14:textId="77777777" w:rsidR="00ED0E85" w:rsidRPr="001540E1" w:rsidRDefault="00ED0E85" w:rsidP="00ED0E85">
            <w:pPr>
              <w:pStyle w:val="TableDataEntries"/>
              <w:jc w:val="left"/>
              <w:rPr>
                <w:rFonts w:ascii="Franklin Gothic Demi" w:hAnsi="Franklin Gothic Demi"/>
                <w:lang w:val="en-GB"/>
              </w:rPr>
            </w:pPr>
            <w:r w:rsidRPr="001540E1">
              <w:rPr>
                <w:rFonts w:ascii="Franklin Gothic Demi" w:hAnsi="Franklin Gothic Demi"/>
                <w:lang w:val="en-GB"/>
              </w:rPr>
              <w:t>Total</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5605A5"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757.7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233979"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484.0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60A914"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339.9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43411B"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181.2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255E4E"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283.2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9FCAB2"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117.4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30123C"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149.2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388681"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293.9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8CBC55"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115.2</w:t>
            </w:r>
          </w:p>
        </w:tc>
      </w:tr>
      <w:tr w:rsidR="00ED0E85" w14:paraId="574EC525"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6D80996" w14:textId="77777777" w:rsidR="00ED0E85" w:rsidRDefault="00ED0E85" w:rsidP="00ED0E85">
            <w:pPr>
              <w:pStyle w:val="TableHeading1"/>
              <w:rPr>
                <w:lang w:val="en-GB"/>
              </w:rPr>
            </w:pPr>
            <w:r>
              <w:rPr>
                <w:lang w:val="en-GB"/>
              </w:rPr>
              <w:t>WA</w:t>
            </w:r>
          </w:p>
        </w:tc>
        <w:tc>
          <w:tcPr>
            <w:tcW w:w="73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8F49356"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9C52DE5"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C7E9A5C"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FF4920A"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4936292"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5396C2F"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6F80530"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3EBF288"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DC41B0E" w14:textId="77777777" w:rsidR="00ED0E85" w:rsidRDefault="00ED0E85" w:rsidP="00ED0E85">
            <w:pPr>
              <w:pStyle w:val="TableHeading1"/>
              <w:rPr>
                <w:lang w:val="en-GB"/>
              </w:rPr>
            </w:pPr>
          </w:p>
        </w:tc>
      </w:tr>
      <w:tr w:rsidR="00ED0E85" w14:paraId="6B7068D5"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EE0D36" w14:textId="77777777" w:rsidR="00ED0E85" w:rsidRDefault="00ED0E85" w:rsidP="00ED0E85">
            <w:pPr>
              <w:pStyle w:val="TableDataEntries"/>
              <w:jc w:val="left"/>
              <w:rPr>
                <w:lang w:val="en-GB"/>
              </w:rPr>
            </w:pPr>
            <w:r>
              <w:rPr>
                <w:lang w:val="en-GB"/>
              </w:rPr>
              <w:t>0</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7D9241" w14:textId="77777777" w:rsidR="00ED0E85" w:rsidRDefault="00ED0E85" w:rsidP="00ED0E85">
            <w:pPr>
              <w:pStyle w:val="TableDataEntries"/>
              <w:rPr>
                <w:lang w:val="en-GB"/>
              </w:rPr>
            </w:pPr>
            <w:r>
              <w:rPr>
                <w:lang w:val="en-GB"/>
              </w:rPr>
              <w:t xml:space="preserve"> 69.2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60A5F3" w14:textId="77777777" w:rsidR="00ED0E85" w:rsidRDefault="00ED0E85" w:rsidP="00ED0E85">
            <w:pPr>
              <w:pStyle w:val="TableDataEntries"/>
              <w:rPr>
                <w:lang w:val="en-GB"/>
              </w:rPr>
            </w:pPr>
            <w:r>
              <w:rPr>
                <w:lang w:val="en-GB"/>
              </w:rPr>
              <w:t xml:space="preserve"> 16.0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CB290E" w14:textId="77777777" w:rsidR="00ED0E85" w:rsidRDefault="00ED0E85" w:rsidP="00ED0E85">
            <w:pPr>
              <w:pStyle w:val="TableDataEntries"/>
              <w:rPr>
                <w:lang w:val="en-GB"/>
              </w:rPr>
            </w:pPr>
            <w:r>
              <w:rPr>
                <w:lang w:val="en-GB"/>
              </w:rPr>
              <w:t xml:space="preserve"> 4.3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F2C665" w14:textId="77777777" w:rsidR="00ED0E85" w:rsidRDefault="00ED0E85" w:rsidP="00ED0E85">
            <w:pPr>
              <w:pStyle w:val="TableDataEntries"/>
              <w:rPr>
                <w:lang w:val="en-GB"/>
              </w:rPr>
            </w:pPr>
            <w:r>
              <w:rPr>
                <w:lang w:val="en-GB"/>
              </w:rPr>
              <w:t xml:space="preserve"> 6.3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B1CF07" w14:textId="77777777" w:rsidR="00ED0E85" w:rsidRDefault="00ED0E85" w:rsidP="00ED0E85">
            <w:pPr>
              <w:pStyle w:val="TableDataEntries"/>
              <w:rPr>
                <w:lang w:val="en-GB"/>
              </w:rPr>
            </w:pPr>
            <w:r>
              <w:rPr>
                <w:lang w:val="en-GB"/>
              </w:rPr>
              <w:t xml:space="preserve"> 7.5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60448A" w14:textId="77777777" w:rsidR="00ED0E85" w:rsidRDefault="00ED0E85" w:rsidP="00ED0E85">
            <w:pPr>
              <w:pStyle w:val="TableDataEntries"/>
              <w:rPr>
                <w:lang w:val="en-GB"/>
              </w:rPr>
            </w:pPr>
            <w:r>
              <w:rPr>
                <w:lang w:val="en-GB"/>
              </w:rPr>
              <w:t xml:space="preserve"> 10.0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324BDC" w14:textId="77777777" w:rsidR="00ED0E85" w:rsidRDefault="00ED0E85" w:rsidP="00ED0E85">
            <w:pPr>
              <w:pStyle w:val="TableDataEntries"/>
              <w:rPr>
                <w:lang w:val="en-GB"/>
              </w:rPr>
            </w:pPr>
            <w:r>
              <w:rPr>
                <w:lang w:val="en-GB"/>
              </w:rPr>
              <w:t xml:space="preserve"> 0.4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94F5B7" w14:textId="77777777" w:rsidR="00ED0E85" w:rsidRDefault="00ED0E85" w:rsidP="00ED0E85">
            <w:pPr>
              <w:pStyle w:val="TableDataEntries"/>
              <w:rPr>
                <w:lang w:val="en-GB"/>
              </w:rPr>
            </w:pPr>
            <w:r>
              <w:rPr>
                <w:lang w:val="en-GB"/>
              </w:rPr>
              <w:t xml:space="preserve"> 7.8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A32934" w14:textId="77777777" w:rsidR="00ED0E85" w:rsidRDefault="00ED0E85" w:rsidP="00ED0E85">
            <w:pPr>
              <w:pStyle w:val="TableDataEntries"/>
              <w:rPr>
                <w:lang w:val="en-GB"/>
              </w:rPr>
            </w:pPr>
            <w:r>
              <w:rPr>
                <w:lang w:val="en-GB"/>
              </w:rPr>
              <w:t xml:space="preserve"> 3.7</w:t>
            </w:r>
          </w:p>
        </w:tc>
      </w:tr>
      <w:tr w:rsidR="00ED0E85" w14:paraId="0F9747F2"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72B561" w14:textId="77777777" w:rsidR="00ED0E85" w:rsidRDefault="00ED0E85" w:rsidP="00ED0E85">
            <w:pPr>
              <w:pStyle w:val="TableDataEntries"/>
              <w:jc w:val="left"/>
              <w:rPr>
                <w:lang w:val="en-GB"/>
              </w:rPr>
            </w:pPr>
            <w:r>
              <w:rPr>
                <w:lang w:val="en-GB"/>
              </w:rPr>
              <w:t>1</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A53550" w14:textId="77777777" w:rsidR="00ED0E85" w:rsidRDefault="00ED0E85" w:rsidP="00ED0E85">
            <w:pPr>
              <w:pStyle w:val="TableDataEntries"/>
              <w:rPr>
                <w:lang w:val="en-GB"/>
              </w:rPr>
            </w:pPr>
            <w:r>
              <w:rPr>
                <w:lang w:val="en-GB"/>
              </w:rPr>
              <w:t xml:space="preserve"> 34.1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FB0730" w14:textId="77777777" w:rsidR="00ED0E85" w:rsidRDefault="00ED0E85" w:rsidP="00ED0E85">
            <w:pPr>
              <w:pStyle w:val="TableDataEntries"/>
              <w:rPr>
                <w:lang w:val="en-GB"/>
              </w:rPr>
            </w:pPr>
            <w:r>
              <w:rPr>
                <w:lang w:val="en-GB"/>
              </w:rPr>
              <w:t xml:space="preserve"> 10.1</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4FC76E"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A29EB3" w14:textId="77777777" w:rsidR="00ED0E85" w:rsidRDefault="00ED0E85" w:rsidP="00ED0E85">
            <w:pPr>
              <w:pStyle w:val="TableDataEntries"/>
              <w:rPr>
                <w:lang w:val="en-GB"/>
              </w:rPr>
            </w:pPr>
            <w:r>
              <w:rPr>
                <w:lang w:val="en-GB"/>
              </w:rPr>
              <w:t xml:space="preserve"> 3.9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AF2DC5"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7B91E4"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98C1ED"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5482BB" w14:textId="77777777" w:rsidR="00ED0E85" w:rsidRDefault="00ED0E85" w:rsidP="00ED0E85">
            <w:pPr>
              <w:pStyle w:val="TableDataEntries"/>
              <w:rPr>
                <w:lang w:val="en-GB"/>
              </w:rPr>
            </w:pPr>
            <w:r>
              <w:rPr>
                <w:lang w:val="en-GB"/>
              </w:rPr>
              <w:t xml:space="preserve"> 6.4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280D6A" w14:textId="77777777" w:rsidR="00ED0E85" w:rsidRDefault="00ED0E85" w:rsidP="00ED0E85">
            <w:pPr>
              <w:pStyle w:val="TableDataEntries"/>
              <w:rPr>
                <w:lang w:val="en-GB"/>
              </w:rPr>
            </w:pPr>
            <w:r>
              <w:rPr>
                <w:lang w:val="en-GB"/>
              </w:rPr>
              <w:t xml:space="preserve"> 1.5</w:t>
            </w:r>
          </w:p>
        </w:tc>
      </w:tr>
      <w:tr w:rsidR="00ED0E85" w14:paraId="395EFCE2"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AFB760" w14:textId="77777777" w:rsidR="00ED0E85" w:rsidRDefault="00ED0E85" w:rsidP="00ED0E85">
            <w:pPr>
              <w:pStyle w:val="TableDataEntries"/>
              <w:jc w:val="left"/>
              <w:rPr>
                <w:lang w:val="en-GB"/>
              </w:rPr>
            </w:pPr>
            <w:r>
              <w:rPr>
                <w:lang w:val="en-GB"/>
              </w:rPr>
              <w:t>1.5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1ABB03" w14:textId="77777777" w:rsidR="00ED0E85" w:rsidRDefault="00ED0E85" w:rsidP="00ED0E85">
            <w:pPr>
              <w:pStyle w:val="TableDataEntries"/>
              <w:rPr>
                <w:lang w:val="en-GB"/>
              </w:rPr>
            </w:pPr>
            <w:r>
              <w:rPr>
                <w:lang w:val="en-GB"/>
              </w:rPr>
              <w:t xml:space="preserve"> 23.8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853377" w14:textId="77777777" w:rsidR="00ED0E85" w:rsidRDefault="00ED0E85" w:rsidP="00ED0E85">
            <w:pPr>
              <w:pStyle w:val="TableDataEntries"/>
              <w:rPr>
                <w:lang w:val="en-GB"/>
              </w:rPr>
            </w:pPr>
            <w:r>
              <w:rPr>
                <w:lang w:val="en-GB"/>
              </w:rPr>
              <w:t xml:space="preserve"> 11.9</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1419BF" w14:textId="77777777" w:rsidR="00ED0E85" w:rsidRDefault="00ED0E85" w:rsidP="00ED0E85">
            <w:pPr>
              <w:pStyle w:val="TableDataEntries"/>
              <w:rPr>
                <w:lang w:val="en-GB"/>
              </w:rPr>
            </w:pPr>
            <w:r>
              <w:rPr>
                <w:lang w:val="en-GB"/>
              </w:rPr>
              <w:t xml:space="preserve"> 9.2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2C931A" w14:textId="77777777" w:rsidR="00ED0E85" w:rsidRDefault="00ED0E85" w:rsidP="00ED0E85">
            <w:pPr>
              <w:pStyle w:val="TableDataEntries"/>
              <w:rPr>
                <w:lang w:val="en-GB"/>
              </w:rPr>
            </w:pPr>
            <w:r>
              <w:rPr>
                <w:lang w:val="en-GB"/>
              </w:rPr>
              <w:t xml:space="preserve"> 4.4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13F056" w14:textId="77777777" w:rsidR="00ED0E85" w:rsidRDefault="00ED0E85" w:rsidP="00ED0E85">
            <w:pPr>
              <w:pStyle w:val="TableDataEntries"/>
              <w:rPr>
                <w:lang w:val="en-GB"/>
              </w:rPr>
            </w:pPr>
            <w:r>
              <w:rPr>
                <w:lang w:val="en-GB"/>
              </w:rPr>
              <w:t xml:space="preserve"> 2.3</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F7ED4F" w14:textId="77777777" w:rsidR="00ED0E85" w:rsidRDefault="00ED0E85" w:rsidP="00ED0E85">
            <w:pPr>
              <w:pStyle w:val="TableDataEntries"/>
              <w:rPr>
                <w:lang w:val="en-GB"/>
              </w:rPr>
            </w:pPr>
            <w:r>
              <w:rPr>
                <w:lang w:val="en-GB"/>
              </w:rPr>
              <w:t xml:space="preserve"> 1.2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57BE4C" w14:textId="77777777" w:rsidR="00ED0E85" w:rsidRDefault="00ED0E85" w:rsidP="00ED0E85">
            <w:pPr>
              <w:pStyle w:val="TableDataEntries"/>
              <w:rPr>
                <w:lang w:val="en-GB"/>
              </w:rPr>
            </w:pPr>
            <w:r>
              <w:rPr>
                <w:lang w:val="en-GB"/>
              </w:rPr>
              <w:t xml:space="preserve"> 3.4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2C5834" w14:textId="77777777" w:rsidR="00ED0E85" w:rsidRDefault="00ED0E85" w:rsidP="00ED0E85">
            <w:pPr>
              <w:pStyle w:val="TableDataEntries"/>
              <w:rPr>
                <w:lang w:val="en-GB"/>
              </w:rPr>
            </w:pPr>
            <w:r>
              <w:rPr>
                <w:lang w:val="en-GB"/>
              </w:rPr>
              <w:t xml:space="preserve"> 1.2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40A0A0" w14:textId="77777777" w:rsidR="00ED0E85" w:rsidRDefault="00ED0E85" w:rsidP="00ED0E85">
            <w:pPr>
              <w:pStyle w:val="TableDataEntries"/>
              <w:rPr>
                <w:lang w:val="en-GB"/>
              </w:rPr>
            </w:pPr>
            <w:r>
              <w:rPr>
                <w:lang w:val="en-GB"/>
              </w:rPr>
              <w:t xml:space="preserve"> 0.0</w:t>
            </w:r>
          </w:p>
        </w:tc>
      </w:tr>
      <w:tr w:rsidR="00ED0E85" w14:paraId="1DCC87CF"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182D04" w14:textId="77777777" w:rsidR="00ED0E85" w:rsidRDefault="00ED0E85" w:rsidP="00ED0E85">
            <w:pPr>
              <w:pStyle w:val="TableDataEntries"/>
              <w:jc w:val="left"/>
              <w:rPr>
                <w:lang w:val="en-GB"/>
              </w:rPr>
            </w:pPr>
            <w:r>
              <w:rPr>
                <w:lang w:val="en-GB"/>
              </w:rPr>
              <w:t>2</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83ADCD" w14:textId="77777777" w:rsidR="00ED0E85" w:rsidRDefault="00ED0E85" w:rsidP="00ED0E85">
            <w:pPr>
              <w:pStyle w:val="TableDataEntries"/>
              <w:rPr>
                <w:lang w:val="en-GB"/>
              </w:rPr>
            </w:pPr>
            <w:r>
              <w:rPr>
                <w:lang w:val="en-GB"/>
              </w:rPr>
              <w:t xml:space="preserve"> 44.0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AF3F8D" w14:textId="77777777" w:rsidR="00ED0E85" w:rsidRDefault="00ED0E85" w:rsidP="00ED0E85">
            <w:pPr>
              <w:pStyle w:val="TableDataEntries"/>
              <w:rPr>
                <w:lang w:val="en-GB"/>
              </w:rPr>
            </w:pPr>
            <w:r>
              <w:rPr>
                <w:lang w:val="en-GB"/>
              </w:rPr>
              <w:t xml:space="preserve"> 3.9</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25F942" w14:textId="77777777" w:rsidR="00ED0E85" w:rsidRDefault="00ED0E85" w:rsidP="00ED0E85">
            <w:pPr>
              <w:pStyle w:val="TableDataEntries"/>
              <w:rPr>
                <w:lang w:val="en-GB"/>
              </w:rPr>
            </w:pPr>
            <w:r>
              <w:rPr>
                <w:lang w:val="en-GB"/>
              </w:rPr>
              <w:t xml:space="preserve"> 7.2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D84E89" w14:textId="77777777" w:rsidR="00ED0E85" w:rsidRDefault="00ED0E85" w:rsidP="00ED0E85">
            <w:pPr>
              <w:pStyle w:val="TableDataEntries"/>
              <w:rPr>
                <w:lang w:val="en-GB"/>
              </w:rPr>
            </w:pPr>
            <w:r>
              <w:rPr>
                <w:lang w:val="en-GB"/>
              </w:rPr>
              <w:t xml:space="preserve"> 2.0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49DDBF"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CCCB84"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A86CB5" w14:textId="77777777" w:rsidR="00ED0E85" w:rsidRDefault="00ED0E85" w:rsidP="00ED0E85">
            <w:pPr>
              <w:pStyle w:val="TableDataEntries"/>
              <w:rPr>
                <w:lang w:val="en-GB"/>
              </w:rPr>
            </w:pPr>
            <w:r>
              <w:rPr>
                <w:lang w:val="en-GB"/>
              </w:rPr>
              <w:t xml:space="preserve"> 14.2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5F28DB" w14:textId="77777777" w:rsidR="00ED0E85" w:rsidRDefault="00ED0E85" w:rsidP="00ED0E85">
            <w:pPr>
              <w:pStyle w:val="TableDataEntries"/>
              <w:rPr>
                <w:lang w:val="en-GB"/>
              </w:rPr>
            </w:pPr>
            <w:r>
              <w:rPr>
                <w:lang w:val="en-GB"/>
              </w:rPr>
              <w:t xml:space="preserve"> 4.8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AF2FE1" w14:textId="77777777" w:rsidR="00ED0E85" w:rsidRDefault="00ED0E85" w:rsidP="00ED0E85">
            <w:pPr>
              <w:pStyle w:val="TableDataEntries"/>
              <w:rPr>
                <w:lang w:val="en-GB"/>
              </w:rPr>
            </w:pPr>
            <w:r>
              <w:rPr>
                <w:lang w:val="en-GB"/>
              </w:rPr>
              <w:t xml:space="preserve"> 2.0</w:t>
            </w:r>
          </w:p>
        </w:tc>
      </w:tr>
      <w:tr w:rsidR="00ED0E85" w14:paraId="49A1FF03"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82C519" w14:textId="77777777" w:rsidR="00ED0E85" w:rsidRDefault="00ED0E85" w:rsidP="00ED0E85">
            <w:pPr>
              <w:pStyle w:val="TableDataEntries"/>
              <w:jc w:val="left"/>
              <w:rPr>
                <w:lang w:val="en-GB"/>
              </w:rPr>
            </w:pPr>
            <w:r>
              <w:rPr>
                <w:lang w:val="en-GB"/>
              </w:rPr>
              <w:t>2.5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D03311" w14:textId="77777777" w:rsidR="00ED0E85" w:rsidRDefault="00ED0E85" w:rsidP="00ED0E85">
            <w:pPr>
              <w:pStyle w:val="TableDataEntries"/>
              <w:rPr>
                <w:lang w:val="en-GB"/>
              </w:rPr>
            </w:pPr>
            <w:r>
              <w:rPr>
                <w:lang w:val="en-GB"/>
              </w:rPr>
              <w:t xml:space="preserve"> 36.5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43C4A0" w14:textId="77777777" w:rsidR="00ED0E85" w:rsidRDefault="00ED0E85" w:rsidP="00ED0E85">
            <w:pPr>
              <w:pStyle w:val="TableDataEntries"/>
              <w:rPr>
                <w:lang w:val="en-GB"/>
              </w:rPr>
            </w:pPr>
            <w:r>
              <w:rPr>
                <w:lang w:val="en-GB"/>
              </w:rPr>
              <w:t xml:space="preserve"> 33.3</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DB29D6" w14:textId="77777777" w:rsidR="00ED0E85" w:rsidRDefault="00ED0E85" w:rsidP="00ED0E85">
            <w:pPr>
              <w:pStyle w:val="TableDataEntries"/>
              <w:rPr>
                <w:lang w:val="en-GB"/>
              </w:rPr>
            </w:pPr>
            <w:r>
              <w:rPr>
                <w:lang w:val="en-GB"/>
              </w:rPr>
              <w:t xml:space="preserve"> 31.2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E0A606" w14:textId="77777777" w:rsidR="00ED0E85" w:rsidRDefault="00ED0E85" w:rsidP="00ED0E85">
            <w:pPr>
              <w:pStyle w:val="TableDataEntries"/>
              <w:rPr>
                <w:lang w:val="en-GB"/>
              </w:rPr>
            </w:pPr>
            <w:r>
              <w:rPr>
                <w:lang w:val="en-GB"/>
              </w:rPr>
              <w:t xml:space="preserve"> 9.3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4DFF42" w14:textId="77777777" w:rsidR="00ED0E85" w:rsidRDefault="00ED0E85" w:rsidP="00ED0E85">
            <w:pPr>
              <w:pStyle w:val="TableDataEntries"/>
              <w:rPr>
                <w:lang w:val="en-GB"/>
              </w:rPr>
            </w:pPr>
            <w:r>
              <w:rPr>
                <w:lang w:val="en-GB"/>
              </w:rPr>
              <w:t xml:space="preserve"> 3.3</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4660F7" w14:textId="77777777" w:rsidR="00ED0E85" w:rsidRDefault="00ED0E85" w:rsidP="00ED0E85">
            <w:pPr>
              <w:pStyle w:val="TableDataEntries"/>
              <w:rPr>
                <w:lang w:val="en-GB"/>
              </w:rPr>
            </w:pPr>
            <w:r>
              <w:rPr>
                <w:lang w:val="en-GB"/>
              </w:rPr>
              <w:t xml:space="preserve"> 3.9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02C356" w14:textId="77777777" w:rsidR="00ED0E85" w:rsidRDefault="00ED0E85" w:rsidP="00ED0E85">
            <w:pPr>
              <w:pStyle w:val="TableDataEntries"/>
              <w:rPr>
                <w:lang w:val="en-GB"/>
              </w:rPr>
            </w:pPr>
            <w:r>
              <w:rPr>
                <w:lang w:val="en-GB"/>
              </w:rPr>
              <w:t xml:space="preserve"> 6.1</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0CB1C0" w14:textId="77777777" w:rsidR="00ED0E85" w:rsidRDefault="00ED0E85" w:rsidP="00ED0E85">
            <w:pPr>
              <w:pStyle w:val="TableDataEntries"/>
              <w:rPr>
                <w:lang w:val="en-GB"/>
              </w:rPr>
            </w:pPr>
            <w:r>
              <w:rPr>
                <w:lang w:val="en-GB"/>
              </w:rPr>
              <w:t xml:space="preserve"> 3.1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0C0829" w14:textId="77777777" w:rsidR="00ED0E85" w:rsidRDefault="00ED0E85" w:rsidP="00ED0E85">
            <w:pPr>
              <w:pStyle w:val="TableDataEntries"/>
              <w:rPr>
                <w:lang w:val="en-GB"/>
              </w:rPr>
            </w:pPr>
            <w:r>
              <w:rPr>
                <w:lang w:val="en-GB"/>
              </w:rPr>
              <w:t xml:space="preserve"> 4.4</w:t>
            </w:r>
          </w:p>
        </w:tc>
      </w:tr>
      <w:tr w:rsidR="00ED0E85" w14:paraId="63CE0B9F"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C0E211" w14:textId="77777777" w:rsidR="00ED0E85" w:rsidRDefault="00ED0E85" w:rsidP="00ED0E85">
            <w:pPr>
              <w:pStyle w:val="TableDataEntries"/>
              <w:jc w:val="left"/>
              <w:rPr>
                <w:lang w:val="en-GB"/>
              </w:rPr>
            </w:pPr>
            <w:r>
              <w:rPr>
                <w:lang w:val="en-GB"/>
              </w:rPr>
              <w:t>3</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AD8710" w14:textId="77777777" w:rsidR="00ED0E85" w:rsidRDefault="00ED0E85" w:rsidP="00ED0E85">
            <w:pPr>
              <w:pStyle w:val="TableDataEntries"/>
              <w:rPr>
                <w:lang w:val="en-GB"/>
              </w:rPr>
            </w:pPr>
            <w:r>
              <w:rPr>
                <w:lang w:val="en-GB"/>
              </w:rPr>
              <w:t xml:space="preserve"> 33.2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231EF7" w14:textId="77777777" w:rsidR="00ED0E85" w:rsidRDefault="00ED0E85" w:rsidP="00ED0E85">
            <w:pPr>
              <w:pStyle w:val="TableDataEntries"/>
              <w:rPr>
                <w:lang w:val="en-GB"/>
              </w:rPr>
            </w:pPr>
            <w:r>
              <w:rPr>
                <w:lang w:val="en-GB"/>
              </w:rPr>
              <w:t xml:space="preserve"> 2.3</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67E5BD" w14:textId="77777777" w:rsidR="00ED0E85" w:rsidRDefault="00ED0E85" w:rsidP="00ED0E85">
            <w:pPr>
              <w:pStyle w:val="TableDataEntries"/>
              <w:rPr>
                <w:lang w:val="en-GB"/>
              </w:rPr>
            </w:pPr>
            <w:r>
              <w:rPr>
                <w:lang w:val="en-GB"/>
              </w:rPr>
              <w:t xml:space="preserve"> 13.4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E54ED1" w14:textId="77777777" w:rsidR="00ED0E85" w:rsidRDefault="00ED0E85" w:rsidP="00ED0E85">
            <w:pPr>
              <w:pStyle w:val="TableDataEntries"/>
              <w:rPr>
                <w:lang w:val="en-GB"/>
              </w:rPr>
            </w:pPr>
            <w:r>
              <w:rPr>
                <w:lang w:val="en-GB"/>
              </w:rPr>
              <w:t xml:space="preserve"> 2.1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0D6285"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8963CE" w14:textId="77777777" w:rsidR="00ED0E85" w:rsidRDefault="00ED0E85" w:rsidP="00ED0E85">
            <w:pPr>
              <w:pStyle w:val="TableDataEntries"/>
              <w:rPr>
                <w:lang w:val="en-GB"/>
              </w:rPr>
            </w:pPr>
            <w:r>
              <w:rPr>
                <w:lang w:val="en-GB"/>
              </w:rPr>
              <w:t xml:space="preserve"> 26.5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C6A75C" w14:textId="77777777" w:rsidR="00ED0E85" w:rsidRDefault="00ED0E85" w:rsidP="00ED0E85">
            <w:pPr>
              <w:pStyle w:val="TableDataEntries"/>
              <w:rPr>
                <w:lang w:val="en-GB"/>
              </w:rPr>
            </w:pPr>
            <w:r>
              <w:rPr>
                <w:lang w:val="en-GB"/>
              </w:rPr>
              <w:t xml:space="preserve"> 6.9</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0F3FDF" w14:textId="77777777" w:rsidR="00ED0E85" w:rsidRDefault="00ED0E85" w:rsidP="00ED0E85">
            <w:pPr>
              <w:pStyle w:val="TableDataEntries"/>
              <w:rPr>
                <w:lang w:val="en-GB"/>
              </w:rPr>
            </w:pPr>
            <w:r>
              <w:rPr>
                <w:lang w:val="en-GB"/>
              </w:rPr>
              <w:t xml:space="preserve"> 20.7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124AD9" w14:textId="77777777" w:rsidR="00ED0E85" w:rsidRDefault="00ED0E85" w:rsidP="00ED0E85">
            <w:pPr>
              <w:pStyle w:val="TableDataEntries"/>
              <w:rPr>
                <w:lang w:val="en-GB"/>
              </w:rPr>
            </w:pPr>
            <w:r>
              <w:rPr>
                <w:lang w:val="en-GB"/>
              </w:rPr>
              <w:t xml:space="preserve"> 4.3</w:t>
            </w:r>
          </w:p>
        </w:tc>
      </w:tr>
      <w:tr w:rsidR="00ED0E85" w14:paraId="1BF8BD57"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A0B3B7" w14:textId="77777777" w:rsidR="00ED0E85" w:rsidRDefault="00ED0E85" w:rsidP="00ED0E85">
            <w:pPr>
              <w:pStyle w:val="TableDataEntries"/>
              <w:jc w:val="left"/>
              <w:rPr>
                <w:lang w:val="en-GB"/>
              </w:rPr>
            </w:pPr>
            <w:r>
              <w:rPr>
                <w:lang w:val="en-GB"/>
              </w:rPr>
              <w:t>3.5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1B7555" w14:textId="77777777" w:rsidR="00ED0E85" w:rsidRDefault="00ED0E85" w:rsidP="00ED0E85">
            <w:pPr>
              <w:pStyle w:val="TableDataEntries"/>
              <w:rPr>
                <w:lang w:val="en-GB"/>
              </w:rPr>
            </w:pPr>
            <w:r>
              <w:rPr>
                <w:lang w:val="en-GB"/>
              </w:rPr>
              <w:t xml:space="preserve"> 48.7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710F7A" w14:textId="77777777" w:rsidR="00ED0E85" w:rsidRDefault="00ED0E85" w:rsidP="00ED0E85">
            <w:pPr>
              <w:pStyle w:val="TableDataEntries"/>
              <w:rPr>
                <w:lang w:val="en-GB"/>
              </w:rPr>
            </w:pPr>
            <w:r>
              <w:rPr>
                <w:lang w:val="en-GB"/>
              </w:rPr>
              <w:t xml:space="preserve"> 27.0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6B8DBE" w14:textId="77777777" w:rsidR="00ED0E85" w:rsidRDefault="00ED0E85" w:rsidP="00ED0E85">
            <w:pPr>
              <w:pStyle w:val="TableDataEntries"/>
              <w:rPr>
                <w:lang w:val="en-GB"/>
              </w:rPr>
            </w:pPr>
            <w:r>
              <w:rPr>
                <w:lang w:val="en-GB"/>
              </w:rPr>
              <w:t xml:space="preserve"> 7.0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29845F" w14:textId="77777777" w:rsidR="00ED0E85" w:rsidRDefault="00ED0E85" w:rsidP="00ED0E85">
            <w:pPr>
              <w:pStyle w:val="TableDataEntries"/>
              <w:rPr>
                <w:lang w:val="en-GB"/>
              </w:rPr>
            </w:pPr>
            <w:r>
              <w:rPr>
                <w:lang w:val="en-GB"/>
              </w:rPr>
              <w:t xml:space="preserve"> 37.7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C7FBE4" w14:textId="77777777" w:rsidR="00ED0E85" w:rsidRDefault="00ED0E85" w:rsidP="00ED0E85">
            <w:pPr>
              <w:pStyle w:val="TableDataEntries"/>
              <w:rPr>
                <w:lang w:val="en-GB"/>
              </w:rPr>
            </w:pPr>
            <w:r>
              <w:rPr>
                <w:lang w:val="en-GB"/>
              </w:rPr>
              <w:t xml:space="preserve"> 6.7</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172955" w14:textId="77777777" w:rsidR="00ED0E85" w:rsidRDefault="00ED0E85" w:rsidP="00ED0E85">
            <w:pPr>
              <w:pStyle w:val="TableDataEntries"/>
              <w:rPr>
                <w:lang w:val="en-GB"/>
              </w:rPr>
            </w:pPr>
            <w:r>
              <w:rPr>
                <w:lang w:val="en-GB"/>
              </w:rPr>
              <w:t xml:space="preserve"> 4.0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994AA3" w14:textId="77777777" w:rsidR="00ED0E85" w:rsidRDefault="00ED0E85" w:rsidP="00ED0E85">
            <w:pPr>
              <w:pStyle w:val="TableDataEntries"/>
              <w:rPr>
                <w:lang w:val="en-GB"/>
              </w:rPr>
            </w:pPr>
            <w:r>
              <w:rPr>
                <w:lang w:val="en-GB"/>
              </w:rPr>
              <w:t xml:space="preserve"> 7.0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D1483A" w14:textId="77777777" w:rsidR="00ED0E85" w:rsidRDefault="00ED0E85" w:rsidP="00ED0E85">
            <w:pPr>
              <w:pStyle w:val="TableDataEntries"/>
              <w:rPr>
                <w:lang w:val="en-GB"/>
              </w:rPr>
            </w:pPr>
            <w:r>
              <w:rPr>
                <w:lang w:val="en-GB"/>
              </w:rPr>
              <w:t xml:space="preserve"> 13.5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CCA592" w14:textId="77777777" w:rsidR="00ED0E85" w:rsidRDefault="00ED0E85" w:rsidP="00ED0E85">
            <w:pPr>
              <w:pStyle w:val="TableDataEntries"/>
              <w:rPr>
                <w:lang w:val="en-GB"/>
              </w:rPr>
            </w:pPr>
            <w:r>
              <w:rPr>
                <w:lang w:val="en-GB"/>
              </w:rPr>
              <w:t xml:space="preserve"> 2.9</w:t>
            </w:r>
          </w:p>
        </w:tc>
      </w:tr>
      <w:tr w:rsidR="00ED0E85" w14:paraId="228AA7CA"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846A47" w14:textId="77777777" w:rsidR="00ED0E85" w:rsidRDefault="00ED0E85" w:rsidP="00ED0E85">
            <w:pPr>
              <w:pStyle w:val="TableDataEntries"/>
              <w:jc w:val="left"/>
              <w:rPr>
                <w:lang w:val="en-GB"/>
              </w:rPr>
            </w:pPr>
            <w:r>
              <w:rPr>
                <w:lang w:val="en-GB"/>
              </w:rPr>
              <w:t>4</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EDFE0F" w14:textId="77777777" w:rsidR="00ED0E85" w:rsidRDefault="00ED0E85" w:rsidP="00ED0E85">
            <w:pPr>
              <w:pStyle w:val="TableDataEntries"/>
              <w:rPr>
                <w:lang w:val="en-GB"/>
              </w:rPr>
            </w:pPr>
            <w:r>
              <w:rPr>
                <w:lang w:val="en-GB"/>
              </w:rPr>
              <w:t xml:space="preserve"> 22.4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385E3D" w14:textId="77777777" w:rsidR="00ED0E85" w:rsidRDefault="00ED0E85" w:rsidP="00ED0E85">
            <w:pPr>
              <w:pStyle w:val="TableDataEntries"/>
              <w:rPr>
                <w:lang w:val="en-GB"/>
              </w:rPr>
            </w:pPr>
            <w:r>
              <w:rPr>
                <w:lang w:val="en-GB"/>
              </w:rPr>
              <w:t xml:space="preserve"> 10.0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842D5E"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CD3582" w14:textId="77777777" w:rsidR="00ED0E85" w:rsidRDefault="00ED0E85" w:rsidP="00ED0E85">
            <w:pPr>
              <w:pStyle w:val="TableDataEntries"/>
              <w:rPr>
                <w:lang w:val="en-GB"/>
              </w:rPr>
            </w:pPr>
            <w:r>
              <w:rPr>
                <w:lang w:val="en-GB"/>
              </w:rPr>
              <w:t xml:space="preserve"> 24.6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8A8536" w14:textId="77777777" w:rsidR="00ED0E85" w:rsidRDefault="00ED0E85" w:rsidP="00ED0E85">
            <w:pPr>
              <w:pStyle w:val="TableDataEntries"/>
              <w:rPr>
                <w:lang w:val="en-GB"/>
              </w:rPr>
            </w:pPr>
            <w:r>
              <w:rPr>
                <w:lang w:val="en-GB"/>
              </w:rPr>
              <w:t xml:space="preserve"> 16.1</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2518F3" w14:textId="77777777" w:rsidR="00ED0E85" w:rsidRDefault="00ED0E85" w:rsidP="00ED0E85">
            <w:pPr>
              <w:pStyle w:val="TableDataEntries"/>
              <w:rPr>
                <w:lang w:val="en-GB"/>
              </w:rPr>
            </w:pPr>
            <w:r>
              <w:rPr>
                <w:lang w:val="en-GB"/>
              </w:rPr>
              <w:t xml:space="preserve"> 5.5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3ADBD4" w14:textId="77777777" w:rsidR="00ED0E85" w:rsidRDefault="00ED0E85" w:rsidP="00ED0E85">
            <w:pPr>
              <w:pStyle w:val="TableDataEntries"/>
              <w:rPr>
                <w:lang w:val="en-GB"/>
              </w:rPr>
            </w:pPr>
            <w:r>
              <w:rPr>
                <w:lang w:val="en-GB"/>
              </w:rPr>
              <w:t xml:space="preserve"> 22.9</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0FF450" w14:textId="77777777" w:rsidR="00ED0E85" w:rsidRDefault="00ED0E85" w:rsidP="00ED0E85">
            <w:pPr>
              <w:pStyle w:val="TableDataEntries"/>
              <w:rPr>
                <w:lang w:val="en-GB"/>
              </w:rPr>
            </w:pPr>
            <w:r>
              <w:rPr>
                <w:lang w:val="en-GB"/>
              </w:rPr>
              <w:t xml:space="preserve"> 11.7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1C5F8D" w14:textId="77777777" w:rsidR="00ED0E85" w:rsidRDefault="00ED0E85" w:rsidP="00ED0E85">
            <w:pPr>
              <w:pStyle w:val="TableDataEntries"/>
              <w:rPr>
                <w:lang w:val="en-GB"/>
              </w:rPr>
            </w:pPr>
            <w:r>
              <w:rPr>
                <w:lang w:val="en-GB"/>
              </w:rPr>
              <w:t xml:space="preserve"> 5.5</w:t>
            </w:r>
          </w:p>
        </w:tc>
      </w:tr>
      <w:tr w:rsidR="00ED0E85" w14:paraId="04D0D7EA"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53B997" w14:textId="77777777" w:rsidR="00ED0E85" w:rsidRDefault="00ED0E85" w:rsidP="00ED0E85">
            <w:pPr>
              <w:pStyle w:val="TableDataEntries"/>
              <w:jc w:val="left"/>
              <w:rPr>
                <w:lang w:val="en-GB"/>
              </w:rPr>
            </w:pPr>
            <w:r>
              <w:rPr>
                <w:lang w:val="en-GB"/>
              </w:rPr>
              <w:t>4.5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039B16" w14:textId="77777777" w:rsidR="00ED0E85" w:rsidRDefault="00ED0E85" w:rsidP="00ED0E85">
            <w:pPr>
              <w:pStyle w:val="TableDataEntries"/>
              <w:rPr>
                <w:lang w:val="en-GB"/>
              </w:rPr>
            </w:pPr>
            <w:r>
              <w:rPr>
                <w:lang w:val="en-GB"/>
              </w:rPr>
              <w:t xml:space="preserve"> 1.4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6194E6" w14:textId="77777777" w:rsidR="00ED0E85" w:rsidRDefault="00ED0E85" w:rsidP="00ED0E85">
            <w:pPr>
              <w:pStyle w:val="TableDataEntries"/>
              <w:rPr>
                <w:lang w:val="en-GB"/>
              </w:rPr>
            </w:pPr>
            <w:r>
              <w:rPr>
                <w:lang w:val="en-GB"/>
              </w:rPr>
              <w:t xml:space="preserve"> 15.9</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9A29C5" w14:textId="77777777" w:rsidR="00ED0E85" w:rsidRDefault="00ED0E85" w:rsidP="00ED0E85">
            <w:pPr>
              <w:pStyle w:val="TableDataEntries"/>
              <w:rPr>
                <w:lang w:val="en-GB"/>
              </w:rPr>
            </w:pPr>
            <w:r>
              <w:rPr>
                <w:lang w:val="en-GB"/>
              </w:rPr>
              <w:t xml:space="preserve"> 5.2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417244" w14:textId="77777777" w:rsidR="00ED0E85" w:rsidRDefault="00ED0E85" w:rsidP="00ED0E85">
            <w:pPr>
              <w:pStyle w:val="TableDataEntries"/>
              <w:rPr>
                <w:lang w:val="en-GB"/>
              </w:rPr>
            </w:pPr>
            <w:r>
              <w:rPr>
                <w:lang w:val="en-GB"/>
              </w:rPr>
              <w:t xml:space="preserve"> 84.8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C94C61"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840F7C" w14:textId="77777777" w:rsidR="00ED0E85" w:rsidRDefault="00ED0E85" w:rsidP="00ED0E85">
            <w:pPr>
              <w:pStyle w:val="TableDataEntries"/>
              <w:rPr>
                <w:lang w:val="en-GB"/>
              </w:rPr>
            </w:pPr>
            <w:r>
              <w:rPr>
                <w:lang w:val="en-GB"/>
              </w:rPr>
              <w:t xml:space="preserve"> 7.8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52F79D" w14:textId="77777777" w:rsidR="00ED0E85" w:rsidRDefault="00ED0E85" w:rsidP="00ED0E85">
            <w:pPr>
              <w:pStyle w:val="TableDataEntries"/>
              <w:rPr>
                <w:lang w:val="en-GB"/>
              </w:rPr>
            </w:pPr>
            <w:r>
              <w:rPr>
                <w:lang w:val="en-GB"/>
              </w:rPr>
              <w:t xml:space="preserve"> 10.5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F22DA1" w14:textId="77777777" w:rsidR="00ED0E85" w:rsidRDefault="00ED0E85" w:rsidP="00ED0E85">
            <w:pPr>
              <w:pStyle w:val="TableDataEntries"/>
              <w:rPr>
                <w:lang w:val="en-GB"/>
              </w:rPr>
            </w:pPr>
            <w:r>
              <w:rPr>
                <w:lang w:val="en-GB"/>
              </w:rPr>
              <w:t xml:space="preserve"> 50.8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CD7366" w14:textId="77777777" w:rsidR="00ED0E85" w:rsidRDefault="00ED0E85" w:rsidP="00ED0E85">
            <w:pPr>
              <w:pStyle w:val="TableDataEntries"/>
              <w:rPr>
                <w:lang w:val="en-GB"/>
              </w:rPr>
            </w:pPr>
            <w:r>
              <w:rPr>
                <w:lang w:val="en-GB"/>
              </w:rPr>
              <w:t xml:space="preserve"> 17.0</w:t>
            </w:r>
          </w:p>
        </w:tc>
      </w:tr>
      <w:tr w:rsidR="00ED0E85" w14:paraId="6C2285A2"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F7E6E6" w14:textId="77777777" w:rsidR="00ED0E85" w:rsidRDefault="00ED0E85" w:rsidP="00ED0E85">
            <w:pPr>
              <w:pStyle w:val="TableDataEntries"/>
              <w:jc w:val="left"/>
              <w:rPr>
                <w:lang w:val="en-GB"/>
              </w:rPr>
            </w:pPr>
            <w:r>
              <w:rPr>
                <w:lang w:val="en-GB"/>
              </w:rPr>
              <w:t>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61FCEA" w14:textId="77777777" w:rsidR="00ED0E85" w:rsidRDefault="00ED0E85" w:rsidP="00ED0E85">
            <w:pPr>
              <w:pStyle w:val="TableDataEntries"/>
              <w:rPr>
                <w:lang w:val="en-GB"/>
              </w:rPr>
            </w:pPr>
            <w:r>
              <w:rPr>
                <w:lang w:val="en-GB"/>
              </w:rPr>
              <w:t xml:space="preserve"> 41.1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308469" w14:textId="77777777" w:rsidR="00ED0E85" w:rsidRDefault="00ED0E85" w:rsidP="00ED0E85">
            <w:pPr>
              <w:pStyle w:val="TableDataEntries"/>
              <w:rPr>
                <w:lang w:val="en-GB"/>
              </w:rPr>
            </w:pPr>
            <w:r>
              <w:rPr>
                <w:lang w:val="en-GB"/>
              </w:rPr>
              <w:t xml:space="preserve"> 55.4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547D19" w14:textId="77777777" w:rsidR="00ED0E85" w:rsidRDefault="00ED0E85" w:rsidP="00ED0E85">
            <w:pPr>
              <w:pStyle w:val="TableDataEntries"/>
              <w:rPr>
                <w:lang w:val="en-GB"/>
              </w:rPr>
            </w:pPr>
            <w:r>
              <w:rPr>
                <w:lang w:val="en-GB"/>
              </w:rPr>
              <w:t xml:space="preserve"> 16.0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4FF076" w14:textId="77777777" w:rsidR="00ED0E85" w:rsidRDefault="00ED0E85" w:rsidP="00ED0E85">
            <w:pPr>
              <w:pStyle w:val="TableDataEntries"/>
              <w:rPr>
                <w:lang w:val="en-GB"/>
              </w:rPr>
            </w:pPr>
            <w:r>
              <w:rPr>
                <w:lang w:val="en-GB"/>
              </w:rPr>
              <w:t xml:space="preserve"> 134.8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C8CA89" w14:textId="77777777" w:rsidR="00ED0E85" w:rsidRDefault="00ED0E85" w:rsidP="00ED0E85">
            <w:pPr>
              <w:pStyle w:val="TableDataEntries"/>
              <w:rPr>
                <w:lang w:val="en-GB"/>
              </w:rPr>
            </w:pPr>
            <w:r>
              <w:rPr>
                <w:lang w:val="en-GB"/>
              </w:rPr>
              <w:t xml:space="preserve"> 8.4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0EEAB8" w14:textId="77777777" w:rsidR="00ED0E85" w:rsidRDefault="00ED0E85" w:rsidP="00ED0E85">
            <w:pPr>
              <w:pStyle w:val="TableDataEntries"/>
              <w:rPr>
                <w:lang w:val="en-GB"/>
              </w:rPr>
            </w:pPr>
            <w:r>
              <w:rPr>
                <w:lang w:val="en-GB"/>
              </w:rPr>
              <w:t xml:space="preserve"> 4.5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4F85E8" w14:textId="77777777" w:rsidR="00ED0E85" w:rsidRDefault="00ED0E85" w:rsidP="00ED0E85">
            <w:pPr>
              <w:pStyle w:val="TableDataEntries"/>
              <w:rPr>
                <w:lang w:val="en-GB"/>
              </w:rPr>
            </w:pPr>
            <w:r>
              <w:rPr>
                <w:lang w:val="en-GB"/>
              </w:rPr>
              <w:t xml:space="preserve"> 15.3</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D1193B" w14:textId="77777777" w:rsidR="00ED0E85" w:rsidRDefault="00ED0E85" w:rsidP="00ED0E85">
            <w:pPr>
              <w:pStyle w:val="TableDataEntries"/>
              <w:rPr>
                <w:lang w:val="en-GB"/>
              </w:rPr>
            </w:pPr>
            <w:r>
              <w:rPr>
                <w:lang w:val="en-GB"/>
              </w:rPr>
              <w:t xml:space="preserve"> 53.8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C1C153" w14:textId="77777777" w:rsidR="00ED0E85" w:rsidRDefault="00ED0E85" w:rsidP="00ED0E85">
            <w:pPr>
              <w:pStyle w:val="TableDataEntries"/>
              <w:rPr>
                <w:lang w:val="en-GB"/>
              </w:rPr>
            </w:pPr>
            <w:r>
              <w:rPr>
                <w:lang w:val="en-GB"/>
              </w:rPr>
              <w:t xml:space="preserve"> 6.9</w:t>
            </w:r>
          </w:p>
        </w:tc>
      </w:tr>
      <w:tr w:rsidR="00ED0E85" w14:paraId="5A1DA74C"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6D9B0E" w14:textId="77777777" w:rsidR="00ED0E85" w:rsidRDefault="00ED0E85" w:rsidP="00ED0E85">
            <w:pPr>
              <w:pStyle w:val="TableDataEntries"/>
              <w:jc w:val="left"/>
              <w:rPr>
                <w:lang w:val="en-GB"/>
              </w:rPr>
            </w:pPr>
            <w:r>
              <w:rPr>
                <w:lang w:val="en-GB"/>
              </w:rPr>
              <w:t>5.5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E21DA9" w14:textId="77777777" w:rsidR="00ED0E85" w:rsidRDefault="00ED0E85" w:rsidP="00ED0E85">
            <w:pPr>
              <w:pStyle w:val="TableDataEntries"/>
              <w:rPr>
                <w:lang w:val="en-GB"/>
              </w:rPr>
            </w:pPr>
            <w:r>
              <w:rPr>
                <w:lang w:val="en-GB"/>
              </w:rPr>
              <w:t xml:space="preserve"> 30.8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98B15D" w14:textId="77777777" w:rsidR="00ED0E85" w:rsidRDefault="00ED0E85" w:rsidP="00ED0E85">
            <w:pPr>
              <w:pStyle w:val="TableDataEntries"/>
              <w:rPr>
                <w:lang w:val="en-GB"/>
              </w:rPr>
            </w:pPr>
            <w:r>
              <w:rPr>
                <w:lang w:val="en-GB"/>
              </w:rPr>
              <w:t xml:space="preserve"> 0.5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D915DF" w14:textId="77777777" w:rsidR="00ED0E85" w:rsidRDefault="00ED0E85" w:rsidP="00ED0E85">
            <w:pPr>
              <w:pStyle w:val="TableDataEntries"/>
              <w:rPr>
                <w:lang w:val="en-GB"/>
              </w:rPr>
            </w:pPr>
            <w:r>
              <w:rPr>
                <w:lang w:val="en-GB"/>
              </w:rPr>
              <w:t xml:space="preserve"> 13.3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290B16" w14:textId="77777777" w:rsidR="00ED0E85" w:rsidRDefault="00ED0E85" w:rsidP="00ED0E85">
            <w:pPr>
              <w:pStyle w:val="TableDataEntries"/>
              <w:rPr>
                <w:lang w:val="en-GB"/>
              </w:rPr>
            </w:pPr>
            <w:r>
              <w:rPr>
                <w:lang w:val="en-GB"/>
              </w:rPr>
              <w:t xml:space="preserve"> 13.3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9B4D98" w14:textId="77777777" w:rsidR="00ED0E85" w:rsidRDefault="00ED0E85" w:rsidP="00ED0E85">
            <w:pPr>
              <w:pStyle w:val="TableDataEntries"/>
              <w:rPr>
                <w:lang w:val="en-GB"/>
              </w:rPr>
            </w:pPr>
            <w:r>
              <w:rPr>
                <w:lang w:val="en-GB"/>
              </w:rPr>
              <w:t xml:space="preserve"> 15.0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FC8AB3" w14:textId="77777777" w:rsidR="00ED0E85" w:rsidRDefault="00ED0E85" w:rsidP="00ED0E85">
            <w:pPr>
              <w:pStyle w:val="TableDataEntries"/>
              <w:rPr>
                <w:lang w:val="en-GB"/>
              </w:rPr>
            </w:pPr>
            <w:r>
              <w:rPr>
                <w:lang w:val="en-GB"/>
              </w:rPr>
              <w:t xml:space="preserve"> 14.4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61BDA1" w14:textId="77777777" w:rsidR="00ED0E85" w:rsidRDefault="00ED0E85" w:rsidP="00ED0E85">
            <w:pPr>
              <w:pStyle w:val="TableDataEntries"/>
              <w:rPr>
                <w:lang w:val="en-GB"/>
              </w:rPr>
            </w:pPr>
            <w:r>
              <w:rPr>
                <w:lang w:val="en-GB"/>
              </w:rPr>
              <w:t xml:space="preserve"> 14.6</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B4CA11"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B8BC53" w14:textId="77777777" w:rsidR="00ED0E85" w:rsidRDefault="00ED0E85" w:rsidP="00ED0E85">
            <w:pPr>
              <w:pStyle w:val="TableDataEntries"/>
              <w:rPr>
                <w:lang w:val="en-GB"/>
              </w:rPr>
            </w:pPr>
            <w:r>
              <w:rPr>
                <w:lang w:val="en-GB"/>
              </w:rPr>
              <w:t xml:space="preserve"> 1.6</w:t>
            </w:r>
          </w:p>
        </w:tc>
      </w:tr>
      <w:tr w:rsidR="00ED0E85" w14:paraId="29107B39"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A80512" w14:textId="77777777" w:rsidR="00ED0E85" w:rsidRDefault="00ED0E85" w:rsidP="00ED0E85">
            <w:pPr>
              <w:pStyle w:val="TableDataEntries"/>
              <w:jc w:val="left"/>
              <w:rPr>
                <w:lang w:val="en-GB"/>
              </w:rPr>
            </w:pPr>
            <w:r>
              <w:rPr>
                <w:lang w:val="en-GB"/>
              </w:rPr>
              <w:t>6</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D7640C"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25F867"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B74B4E"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D0B88A"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4471BA"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CBE67A"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55C476"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5EE386"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4B3A82" w14:textId="77777777" w:rsidR="00ED0E85" w:rsidRDefault="00ED0E85" w:rsidP="00ED0E85">
            <w:pPr>
              <w:pStyle w:val="TableDataEntries"/>
              <w:rPr>
                <w:lang w:val="en-GB"/>
              </w:rPr>
            </w:pPr>
            <w:r>
              <w:rPr>
                <w:lang w:val="en-GB"/>
              </w:rPr>
              <w:t xml:space="preserve"> 0.0</w:t>
            </w:r>
          </w:p>
        </w:tc>
      </w:tr>
      <w:tr w:rsidR="001540E1" w:rsidRPr="001540E1" w14:paraId="46FF23D8"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54060E" w14:textId="77777777" w:rsidR="00ED0E85" w:rsidRPr="001540E1" w:rsidRDefault="00ED0E85" w:rsidP="00ED0E85">
            <w:pPr>
              <w:pStyle w:val="TableDataEntries"/>
              <w:jc w:val="left"/>
              <w:rPr>
                <w:rFonts w:ascii="Franklin Gothic Demi" w:hAnsi="Franklin Gothic Demi"/>
                <w:lang w:val="en-GB"/>
              </w:rPr>
            </w:pPr>
            <w:r w:rsidRPr="001540E1">
              <w:rPr>
                <w:rFonts w:ascii="Franklin Gothic Demi" w:hAnsi="Franklin Gothic Demi"/>
                <w:lang w:val="en-GB"/>
              </w:rPr>
              <w:t>Total</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794ACF"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385.2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37CDA1"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186.2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D85894"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106.9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CAFD5B"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323.1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6672DB"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59.3</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5143DA"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77.7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A4EB9F"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101.2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EFFC1E"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173.7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A7DE11"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49.8</w:t>
            </w:r>
          </w:p>
        </w:tc>
      </w:tr>
      <w:tr w:rsidR="00ED0E85" w14:paraId="02024D13"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50EDE00" w14:textId="77777777" w:rsidR="00ED0E85" w:rsidRDefault="00ED0E85" w:rsidP="00ED0E85">
            <w:pPr>
              <w:pStyle w:val="TableHeading1"/>
              <w:rPr>
                <w:lang w:val="en-GB"/>
              </w:rPr>
            </w:pPr>
            <w:r>
              <w:rPr>
                <w:lang w:val="en-GB"/>
              </w:rPr>
              <w:t>SA</w:t>
            </w:r>
          </w:p>
        </w:tc>
        <w:tc>
          <w:tcPr>
            <w:tcW w:w="73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667793E"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AA33829"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2AE414E"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20C20F6"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65925C1"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50A3348"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35E3DA7"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1700A1B"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24090DE" w14:textId="77777777" w:rsidR="00ED0E85" w:rsidRDefault="00ED0E85" w:rsidP="00ED0E85">
            <w:pPr>
              <w:pStyle w:val="TableHeading1"/>
              <w:rPr>
                <w:lang w:val="en-GB"/>
              </w:rPr>
            </w:pPr>
          </w:p>
        </w:tc>
      </w:tr>
      <w:tr w:rsidR="00ED0E85" w14:paraId="7FF29213"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537CC4" w14:textId="77777777" w:rsidR="00ED0E85" w:rsidRDefault="00ED0E85" w:rsidP="00ED0E85">
            <w:pPr>
              <w:pStyle w:val="TableDataEntries"/>
              <w:jc w:val="left"/>
              <w:rPr>
                <w:lang w:val="en-GB"/>
              </w:rPr>
            </w:pPr>
            <w:r>
              <w:rPr>
                <w:lang w:val="en-GB"/>
              </w:rPr>
              <w:t>0</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E631C7"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109BE5" w14:textId="77777777" w:rsidR="00ED0E85" w:rsidRDefault="00ED0E85" w:rsidP="00ED0E85">
            <w:pPr>
              <w:pStyle w:val="TableDataEntries"/>
              <w:rPr>
                <w:lang w:val="en-GB"/>
              </w:rPr>
            </w:pPr>
            <w:r>
              <w:rPr>
                <w:lang w:val="en-GB"/>
              </w:rPr>
              <w:t xml:space="preserve"> 3.2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39A318" w14:textId="77777777" w:rsidR="00ED0E85" w:rsidRDefault="00ED0E85" w:rsidP="00ED0E85">
            <w:pPr>
              <w:pStyle w:val="TableDataEntries"/>
              <w:rPr>
                <w:lang w:val="en-GB"/>
              </w:rPr>
            </w:pPr>
            <w:r>
              <w:rPr>
                <w:lang w:val="en-GB"/>
              </w:rPr>
              <w:t xml:space="preserve"> 7.8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328FC9"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C2D11B" w14:textId="77777777" w:rsidR="00ED0E85" w:rsidRDefault="00ED0E85" w:rsidP="00ED0E85">
            <w:pPr>
              <w:pStyle w:val="TableDataEntries"/>
              <w:rPr>
                <w:lang w:val="en-GB"/>
              </w:rPr>
            </w:pPr>
            <w:r>
              <w:rPr>
                <w:lang w:val="en-GB"/>
              </w:rPr>
              <w:t xml:space="preserve"> 1.8</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DCF6C4" w14:textId="77777777" w:rsidR="00ED0E85" w:rsidRDefault="00ED0E85" w:rsidP="00ED0E85">
            <w:pPr>
              <w:pStyle w:val="TableDataEntries"/>
              <w:rPr>
                <w:lang w:val="en-GB"/>
              </w:rPr>
            </w:pPr>
            <w:r>
              <w:rPr>
                <w:lang w:val="en-GB"/>
              </w:rPr>
              <w:t xml:space="preserve"> 6.2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F37DA4"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27DE83"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900A94" w14:textId="77777777" w:rsidR="00ED0E85" w:rsidRDefault="00ED0E85" w:rsidP="00ED0E85">
            <w:pPr>
              <w:pStyle w:val="TableDataEntries"/>
              <w:rPr>
                <w:lang w:val="en-GB"/>
              </w:rPr>
            </w:pPr>
            <w:r>
              <w:rPr>
                <w:lang w:val="en-GB"/>
              </w:rPr>
              <w:t xml:space="preserve"> 1.9</w:t>
            </w:r>
          </w:p>
        </w:tc>
      </w:tr>
      <w:tr w:rsidR="00ED0E85" w14:paraId="1BED117E"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DAD997" w14:textId="77777777" w:rsidR="00ED0E85" w:rsidRDefault="00ED0E85" w:rsidP="00ED0E85">
            <w:pPr>
              <w:pStyle w:val="TableDataEntries"/>
              <w:jc w:val="left"/>
              <w:rPr>
                <w:lang w:val="en-GB"/>
              </w:rPr>
            </w:pPr>
            <w:r>
              <w:rPr>
                <w:lang w:val="en-GB"/>
              </w:rPr>
              <w:t>1</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DA44E8"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9243F5" w14:textId="77777777" w:rsidR="00ED0E85" w:rsidRDefault="00ED0E85" w:rsidP="00ED0E85">
            <w:pPr>
              <w:pStyle w:val="TableDataEntries"/>
              <w:rPr>
                <w:lang w:val="en-GB"/>
              </w:rPr>
            </w:pPr>
            <w:r>
              <w:rPr>
                <w:lang w:val="en-GB"/>
              </w:rPr>
              <w:t xml:space="preserve"> 10.9</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45F961"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7CBCF4"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69B7C0"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BB3C28"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FFAAAB"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431752" w14:textId="77777777" w:rsidR="00ED0E85" w:rsidRDefault="00ED0E85" w:rsidP="00ED0E85">
            <w:pPr>
              <w:pStyle w:val="TableDataEntries"/>
              <w:rPr>
                <w:lang w:val="en-GB"/>
              </w:rPr>
            </w:pPr>
            <w:r>
              <w:rPr>
                <w:lang w:val="en-GB"/>
              </w:rPr>
              <w:t xml:space="preserve"> 2.3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E27D48" w14:textId="77777777" w:rsidR="00ED0E85" w:rsidRDefault="00ED0E85" w:rsidP="00ED0E85">
            <w:pPr>
              <w:pStyle w:val="TableDataEntries"/>
              <w:rPr>
                <w:lang w:val="en-GB"/>
              </w:rPr>
            </w:pPr>
            <w:r>
              <w:rPr>
                <w:lang w:val="en-GB"/>
              </w:rPr>
              <w:t xml:space="preserve"> 0.0</w:t>
            </w:r>
          </w:p>
        </w:tc>
      </w:tr>
      <w:tr w:rsidR="00ED0E85" w14:paraId="4F7DA60A"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C4DC8C" w14:textId="77777777" w:rsidR="00ED0E85" w:rsidRDefault="00ED0E85" w:rsidP="00ED0E85">
            <w:pPr>
              <w:pStyle w:val="TableDataEntries"/>
              <w:jc w:val="left"/>
              <w:rPr>
                <w:lang w:val="en-GB"/>
              </w:rPr>
            </w:pPr>
            <w:r>
              <w:rPr>
                <w:lang w:val="en-GB"/>
              </w:rPr>
              <w:t>1.5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4DD587" w14:textId="77777777" w:rsidR="00ED0E85" w:rsidRDefault="00ED0E85" w:rsidP="00ED0E85">
            <w:pPr>
              <w:pStyle w:val="TableDataEntries"/>
              <w:rPr>
                <w:lang w:val="en-GB"/>
              </w:rPr>
            </w:pPr>
            <w:r>
              <w:rPr>
                <w:lang w:val="en-GB"/>
              </w:rPr>
              <w:t xml:space="preserve"> 11.2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0580D3"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2BDDE4" w14:textId="77777777" w:rsidR="00ED0E85" w:rsidRDefault="00ED0E85" w:rsidP="00ED0E85">
            <w:pPr>
              <w:pStyle w:val="TableDataEntries"/>
              <w:rPr>
                <w:lang w:val="en-GB"/>
              </w:rPr>
            </w:pPr>
            <w:r>
              <w:rPr>
                <w:lang w:val="en-GB"/>
              </w:rPr>
              <w:t xml:space="preserve"> 3.6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EC595B"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2CD69E"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324E14"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EA3792"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62C1DF"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B435B8" w14:textId="77777777" w:rsidR="00ED0E85" w:rsidRDefault="00ED0E85" w:rsidP="00ED0E85">
            <w:pPr>
              <w:pStyle w:val="TableDataEntries"/>
              <w:rPr>
                <w:lang w:val="en-GB"/>
              </w:rPr>
            </w:pPr>
            <w:r>
              <w:rPr>
                <w:lang w:val="en-GB"/>
              </w:rPr>
              <w:t xml:space="preserve"> 0.0</w:t>
            </w:r>
          </w:p>
        </w:tc>
      </w:tr>
      <w:tr w:rsidR="00ED0E85" w14:paraId="73141448"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57B170" w14:textId="77777777" w:rsidR="00ED0E85" w:rsidRDefault="00ED0E85" w:rsidP="00ED0E85">
            <w:pPr>
              <w:pStyle w:val="TableDataEntries"/>
              <w:jc w:val="left"/>
              <w:rPr>
                <w:lang w:val="en-GB"/>
              </w:rPr>
            </w:pPr>
            <w:r>
              <w:rPr>
                <w:lang w:val="en-GB"/>
              </w:rPr>
              <w:t>2</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3EED6E" w14:textId="77777777" w:rsidR="00ED0E85" w:rsidRDefault="00ED0E85" w:rsidP="00ED0E85">
            <w:pPr>
              <w:pStyle w:val="TableDataEntries"/>
              <w:rPr>
                <w:lang w:val="en-GB"/>
              </w:rPr>
            </w:pPr>
            <w:r>
              <w:rPr>
                <w:lang w:val="en-GB"/>
              </w:rPr>
              <w:t xml:space="preserve"> 9.4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276357"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1AB3EE" w14:textId="77777777" w:rsidR="00ED0E85" w:rsidRDefault="00ED0E85" w:rsidP="00ED0E85">
            <w:pPr>
              <w:pStyle w:val="TableDataEntries"/>
              <w:rPr>
                <w:lang w:val="en-GB"/>
              </w:rPr>
            </w:pPr>
            <w:r>
              <w:rPr>
                <w:lang w:val="en-GB"/>
              </w:rPr>
              <w:t xml:space="preserve"> 3.8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759B8F"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DD9E95"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19879B"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74181A"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CD92A3" w14:textId="77777777" w:rsidR="00ED0E85" w:rsidRDefault="00ED0E85" w:rsidP="00ED0E85">
            <w:pPr>
              <w:pStyle w:val="TableDataEntries"/>
              <w:rPr>
                <w:lang w:val="en-GB"/>
              </w:rPr>
            </w:pPr>
            <w:r>
              <w:rPr>
                <w:lang w:val="en-GB"/>
              </w:rPr>
              <w:t xml:space="preserve"> 5.6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7F2DFC" w14:textId="77777777" w:rsidR="00ED0E85" w:rsidRDefault="00ED0E85" w:rsidP="00ED0E85">
            <w:pPr>
              <w:pStyle w:val="TableDataEntries"/>
              <w:rPr>
                <w:lang w:val="en-GB"/>
              </w:rPr>
            </w:pPr>
            <w:r>
              <w:rPr>
                <w:lang w:val="en-GB"/>
              </w:rPr>
              <w:t xml:space="preserve"> 0.0</w:t>
            </w:r>
          </w:p>
        </w:tc>
      </w:tr>
      <w:tr w:rsidR="00ED0E85" w14:paraId="0147E2BB"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5AF209" w14:textId="77777777" w:rsidR="00ED0E85" w:rsidRDefault="00ED0E85" w:rsidP="00ED0E85">
            <w:pPr>
              <w:pStyle w:val="TableDataEntries"/>
              <w:jc w:val="left"/>
              <w:rPr>
                <w:lang w:val="en-GB"/>
              </w:rPr>
            </w:pPr>
            <w:r>
              <w:rPr>
                <w:lang w:val="en-GB"/>
              </w:rPr>
              <w:t>2.5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04220F" w14:textId="77777777" w:rsidR="00ED0E85" w:rsidRDefault="00ED0E85" w:rsidP="00ED0E85">
            <w:pPr>
              <w:pStyle w:val="TableDataEntries"/>
              <w:rPr>
                <w:lang w:val="en-GB"/>
              </w:rPr>
            </w:pPr>
            <w:r>
              <w:rPr>
                <w:lang w:val="en-GB"/>
              </w:rPr>
              <w:t xml:space="preserve"> 9.4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9B4450" w14:textId="77777777" w:rsidR="00ED0E85" w:rsidRDefault="00ED0E85" w:rsidP="00ED0E85">
            <w:pPr>
              <w:pStyle w:val="TableDataEntries"/>
              <w:rPr>
                <w:lang w:val="en-GB"/>
              </w:rPr>
            </w:pPr>
            <w:r>
              <w:rPr>
                <w:lang w:val="en-GB"/>
              </w:rPr>
              <w:t xml:space="preserve"> 6.8</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9860A5" w14:textId="77777777" w:rsidR="00ED0E85" w:rsidRDefault="00ED0E85" w:rsidP="00ED0E85">
            <w:pPr>
              <w:pStyle w:val="TableDataEntries"/>
              <w:rPr>
                <w:lang w:val="en-GB"/>
              </w:rPr>
            </w:pPr>
            <w:r>
              <w:rPr>
                <w:lang w:val="en-GB"/>
              </w:rPr>
              <w:t xml:space="preserve"> 2.8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C05A89" w14:textId="77777777" w:rsidR="00ED0E85" w:rsidRDefault="00ED0E85" w:rsidP="00ED0E85">
            <w:pPr>
              <w:pStyle w:val="TableDataEntries"/>
              <w:rPr>
                <w:lang w:val="en-GB"/>
              </w:rPr>
            </w:pPr>
            <w:r>
              <w:rPr>
                <w:lang w:val="en-GB"/>
              </w:rPr>
              <w:t xml:space="preserve"> 7.8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5DDCE9"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F0B7C0"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C62A2D" w14:textId="77777777" w:rsidR="00ED0E85" w:rsidRDefault="00ED0E85" w:rsidP="00ED0E85">
            <w:pPr>
              <w:pStyle w:val="TableDataEntries"/>
              <w:rPr>
                <w:lang w:val="en-GB"/>
              </w:rPr>
            </w:pPr>
            <w:r>
              <w:rPr>
                <w:lang w:val="en-GB"/>
              </w:rPr>
              <w:t xml:space="preserve"> 2.1</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4CC9A0" w14:textId="77777777" w:rsidR="00ED0E85" w:rsidRDefault="00ED0E85" w:rsidP="00ED0E85">
            <w:pPr>
              <w:pStyle w:val="TableDataEntries"/>
              <w:rPr>
                <w:lang w:val="en-GB"/>
              </w:rPr>
            </w:pPr>
            <w:r>
              <w:rPr>
                <w:lang w:val="en-GB"/>
              </w:rPr>
              <w:t xml:space="preserve"> 13.1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DFF1B1" w14:textId="77777777" w:rsidR="00ED0E85" w:rsidRDefault="00ED0E85" w:rsidP="00ED0E85">
            <w:pPr>
              <w:pStyle w:val="TableDataEntries"/>
              <w:rPr>
                <w:lang w:val="en-GB"/>
              </w:rPr>
            </w:pPr>
            <w:r>
              <w:rPr>
                <w:lang w:val="en-GB"/>
              </w:rPr>
              <w:t xml:space="preserve"> 0.0</w:t>
            </w:r>
          </w:p>
        </w:tc>
      </w:tr>
      <w:tr w:rsidR="00ED0E85" w14:paraId="64E6F585"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D1C1BA" w14:textId="77777777" w:rsidR="00ED0E85" w:rsidRDefault="00ED0E85" w:rsidP="00ED0E85">
            <w:pPr>
              <w:pStyle w:val="TableDataEntries"/>
              <w:jc w:val="left"/>
              <w:rPr>
                <w:lang w:val="en-GB"/>
              </w:rPr>
            </w:pPr>
            <w:r>
              <w:rPr>
                <w:lang w:val="en-GB"/>
              </w:rPr>
              <w:t>3</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01D357" w14:textId="77777777" w:rsidR="00ED0E85" w:rsidRDefault="00ED0E85" w:rsidP="00ED0E85">
            <w:pPr>
              <w:pStyle w:val="TableDataEntries"/>
              <w:rPr>
                <w:lang w:val="en-GB"/>
              </w:rPr>
            </w:pPr>
            <w:r>
              <w:rPr>
                <w:lang w:val="en-GB"/>
              </w:rPr>
              <w:t xml:space="preserve"> 51.3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157C95" w14:textId="77777777" w:rsidR="00ED0E85" w:rsidRDefault="00ED0E85" w:rsidP="00ED0E85">
            <w:pPr>
              <w:pStyle w:val="TableDataEntries"/>
              <w:rPr>
                <w:lang w:val="en-GB"/>
              </w:rPr>
            </w:pPr>
            <w:r>
              <w:rPr>
                <w:lang w:val="en-GB"/>
              </w:rPr>
              <w:t xml:space="preserve"> 24.8</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594104" w14:textId="77777777" w:rsidR="00ED0E85" w:rsidRDefault="00ED0E85" w:rsidP="00ED0E85">
            <w:pPr>
              <w:pStyle w:val="TableDataEntries"/>
              <w:rPr>
                <w:lang w:val="en-GB"/>
              </w:rPr>
            </w:pPr>
            <w:r>
              <w:rPr>
                <w:lang w:val="en-GB"/>
              </w:rPr>
              <w:t xml:space="preserve"> 3.2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1FE49C" w14:textId="77777777" w:rsidR="00ED0E85" w:rsidRDefault="00ED0E85" w:rsidP="00ED0E85">
            <w:pPr>
              <w:pStyle w:val="TableDataEntries"/>
              <w:rPr>
                <w:lang w:val="en-GB"/>
              </w:rPr>
            </w:pPr>
            <w:r>
              <w:rPr>
                <w:lang w:val="en-GB"/>
              </w:rPr>
              <w:t xml:space="preserve"> 4.2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920A51" w14:textId="77777777" w:rsidR="00ED0E85" w:rsidRDefault="00ED0E85" w:rsidP="00ED0E85">
            <w:pPr>
              <w:pStyle w:val="TableDataEntries"/>
              <w:rPr>
                <w:lang w:val="en-GB"/>
              </w:rPr>
            </w:pPr>
            <w:r>
              <w:rPr>
                <w:lang w:val="en-GB"/>
              </w:rPr>
              <w:t xml:space="preserve"> 2.1</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A29081" w14:textId="77777777" w:rsidR="00ED0E85" w:rsidRDefault="00ED0E85" w:rsidP="00ED0E85">
            <w:pPr>
              <w:pStyle w:val="TableDataEntries"/>
              <w:rPr>
                <w:lang w:val="en-GB"/>
              </w:rPr>
            </w:pPr>
            <w:r>
              <w:rPr>
                <w:lang w:val="en-GB"/>
              </w:rPr>
              <w:t xml:space="preserve"> 4.0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8E7EDA" w14:textId="77777777" w:rsidR="00ED0E85" w:rsidRDefault="00ED0E85" w:rsidP="00ED0E85">
            <w:pPr>
              <w:pStyle w:val="TableDataEntries"/>
              <w:rPr>
                <w:lang w:val="en-GB"/>
              </w:rPr>
            </w:pPr>
            <w:r>
              <w:rPr>
                <w:lang w:val="en-GB"/>
              </w:rPr>
              <w:t xml:space="preserve"> 3.0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A550CE" w14:textId="77777777" w:rsidR="00ED0E85" w:rsidRDefault="00ED0E85" w:rsidP="00ED0E85">
            <w:pPr>
              <w:pStyle w:val="TableDataEntries"/>
              <w:rPr>
                <w:lang w:val="en-GB"/>
              </w:rPr>
            </w:pPr>
            <w:r>
              <w:rPr>
                <w:lang w:val="en-GB"/>
              </w:rPr>
              <w:t xml:space="preserve"> 3.4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19BFFC" w14:textId="77777777" w:rsidR="00ED0E85" w:rsidRDefault="00ED0E85" w:rsidP="00ED0E85">
            <w:pPr>
              <w:pStyle w:val="TableDataEntries"/>
              <w:rPr>
                <w:lang w:val="en-GB"/>
              </w:rPr>
            </w:pPr>
            <w:r>
              <w:rPr>
                <w:lang w:val="en-GB"/>
              </w:rPr>
              <w:t xml:space="preserve"> 3.4</w:t>
            </w:r>
          </w:p>
        </w:tc>
      </w:tr>
      <w:tr w:rsidR="00ED0E85" w14:paraId="43C28F70"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65DA64" w14:textId="77777777" w:rsidR="00ED0E85" w:rsidRDefault="00ED0E85" w:rsidP="00ED0E85">
            <w:pPr>
              <w:pStyle w:val="TableDataEntries"/>
              <w:jc w:val="left"/>
              <w:rPr>
                <w:lang w:val="en-GB"/>
              </w:rPr>
            </w:pPr>
            <w:r>
              <w:rPr>
                <w:lang w:val="en-GB"/>
              </w:rPr>
              <w:t>3.5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77F775" w14:textId="77777777" w:rsidR="00ED0E85" w:rsidRDefault="00ED0E85" w:rsidP="00ED0E85">
            <w:pPr>
              <w:pStyle w:val="TableDataEntries"/>
              <w:rPr>
                <w:lang w:val="en-GB"/>
              </w:rPr>
            </w:pPr>
            <w:r>
              <w:rPr>
                <w:lang w:val="en-GB"/>
              </w:rPr>
              <w:t xml:space="preserve"> 7.8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5D2822" w14:textId="77777777" w:rsidR="00ED0E85" w:rsidRDefault="00ED0E85" w:rsidP="00ED0E85">
            <w:pPr>
              <w:pStyle w:val="TableDataEntries"/>
              <w:rPr>
                <w:lang w:val="en-GB"/>
              </w:rPr>
            </w:pPr>
            <w:r>
              <w:rPr>
                <w:lang w:val="en-GB"/>
              </w:rPr>
              <w:t xml:space="preserve"> 9.1</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D97805"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DE1F39" w14:textId="77777777" w:rsidR="00ED0E85" w:rsidRDefault="00ED0E85" w:rsidP="00ED0E85">
            <w:pPr>
              <w:pStyle w:val="TableDataEntries"/>
              <w:rPr>
                <w:lang w:val="en-GB"/>
              </w:rPr>
            </w:pPr>
            <w:r>
              <w:rPr>
                <w:lang w:val="en-GB"/>
              </w:rPr>
              <w:t xml:space="preserve"> 13.4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60AB85"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A0D0AD"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726201" w14:textId="77777777" w:rsidR="00ED0E85" w:rsidRDefault="00ED0E85" w:rsidP="00ED0E85">
            <w:pPr>
              <w:pStyle w:val="TableDataEntries"/>
              <w:rPr>
                <w:lang w:val="en-GB"/>
              </w:rPr>
            </w:pPr>
            <w:r>
              <w:rPr>
                <w:lang w:val="en-GB"/>
              </w:rPr>
              <w:t xml:space="preserve"> 10.5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267C3C" w14:textId="77777777" w:rsidR="00ED0E85" w:rsidRDefault="00ED0E85" w:rsidP="00ED0E85">
            <w:pPr>
              <w:pStyle w:val="TableDataEntries"/>
              <w:rPr>
                <w:lang w:val="en-GB"/>
              </w:rPr>
            </w:pPr>
            <w:r>
              <w:rPr>
                <w:lang w:val="en-GB"/>
              </w:rPr>
              <w:t xml:space="preserve"> 1.8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78C24B" w14:textId="77777777" w:rsidR="00ED0E85" w:rsidRDefault="00ED0E85" w:rsidP="00ED0E85">
            <w:pPr>
              <w:pStyle w:val="TableDataEntries"/>
              <w:rPr>
                <w:lang w:val="en-GB"/>
              </w:rPr>
            </w:pPr>
            <w:r>
              <w:rPr>
                <w:lang w:val="en-GB"/>
              </w:rPr>
              <w:t xml:space="preserve"> 1.3</w:t>
            </w:r>
          </w:p>
        </w:tc>
      </w:tr>
      <w:tr w:rsidR="00ED0E85" w14:paraId="1430247D"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058D83" w14:textId="77777777" w:rsidR="00ED0E85" w:rsidRDefault="00ED0E85" w:rsidP="00ED0E85">
            <w:pPr>
              <w:pStyle w:val="TableDataEntries"/>
              <w:jc w:val="left"/>
              <w:rPr>
                <w:lang w:val="en-GB"/>
              </w:rPr>
            </w:pPr>
            <w:r>
              <w:rPr>
                <w:lang w:val="en-GB"/>
              </w:rPr>
              <w:t>4</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129B8D" w14:textId="77777777" w:rsidR="00ED0E85" w:rsidRDefault="00ED0E85" w:rsidP="00ED0E85">
            <w:pPr>
              <w:pStyle w:val="TableDataEntries"/>
              <w:rPr>
                <w:lang w:val="en-GB"/>
              </w:rPr>
            </w:pPr>
            <w:r>
              <w:rPr>
                <w:lang w:val="en-GB"/>
              </w:rPr>
              <w:t xml:space="preserve"> 4.1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E65C91" w14:textId="77777777" w:rsidR="00ED0E85" w:rsidRDefault="00ED0E85" w:rsidP="00ED0E85">
            <w:pPr>
              <w:pStyle w:val="TableDataEntries"/>
              <w:rPr>
                <w:lang w:val="en-GB"/>
              </w:rPr>
            </w:pPr>
            <w:r>
              <w:rPr>
                <w:lang w:val="en-GB"/>
              </w:rPr>
              <w:t xml:space="preserve"> 24.3</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7A198A" w14:textId="77777777" w:rsidR="00ED0E85" w:rsidRDefault="00ED0E85" w:rsidP="00ED0E85">
            <w:pPr>
              <w:pStyle w:val="TableDataEntries"/>
              <w:rPr>
                <w:lang w:val="en-GB"/>
              </w:rPr>
            </w:pPr>
            <w:r>
              <w:rPr>
                <w:lang w:val="en-GB"/>
              </w:rPr>
              <w:t xml:space="preserve"> 18.7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32AE81" w14:textId="77777777" w:rsidR="00ED0E85" w:rsidRDefault="00ED0E85" w:rsidP="00ED0E85">
            <w:pPr>
              <w:pStyle w:val="TableDataEntries"/>
              <w:rPr>
                <w:lang w:val="en-GB"/>
              </w:rPr>
            </w:pPr>
            <w:r>
              <w:rPr>
                <w:lang w:val="en-GB"/>
              </w:rPr>
              <w:t xml:space="preserve"> 11.3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5D6FDE" w14:textId="77777777" w:rsidR="00ED0E85" w:rsidRDefault="00ED0E85" w:rsidP="00ED0E85">
            <w:pPr>
              <w:pStyle w:val="TableDataEntries"/>
              <w:rPr>
                <w:lang w:val="en-GB"/>
              </w:rPr>
            </w:pPr>
            <w:r>
              <w:rPr>
                <w:lang w:val="en-GB"/>
              </w:rPr>
              <w:t xml:space="preserve"> 11.6</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996BCA" w14:textId="77777777" w:rsidR="00ED0E85" w:rsidRDefault="00ED0E85" w:rsidP="00ED0E85">
            <w:pPr>
              <w:pStyle w:val="TableDataEntries"/>
              <w:rPr>
                <w:lang w:val="en-GB"/>
              </w:rPr>
            </w:pPr>
            <w:r>
              <w:rPr>
                <w:lang w:val="en-GB"/>
              </w:rPr>
              <w:t xml:space="preserve"> 22.7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C923E9" w14:textId="77777777" w:rsidR="00ED0E85" w:rsidRDefault="00ED0E85" w:rsidP="00ED0E85">
            <w:pPr>
              <w:pStyle w:val="TableDataEntries"/>
              <w:rPr>
                <w:lang w:val="en-GB"/>
              </w:rPr>
            </w:pPr>
            <w:r>
              <w:rPr>
                <w:lang w:val="en-GB"/>
              </w:rPr>
              <w:t xml:space="preserve"> 4.8</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73817B" w14:textId="77777777" w:rsidR="00ED0E85" w:rsidRDefault="00ED0E85" w:rsidP="00ED0E85">
            <w:pPr>
              <w:pStyle w:val="TableDataEntries"/>
              <w:rPr>
                <w:lang w:val="en-GB"/>
              </w:rPr>
            </w:pPr>
            <w:r>
              <w:rPr>
                <w:lang w:val="en-GB"/>
              </w:rPr>
              <w:t xml:space="preserve"> 2.5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3B0B60" w14:textId="77777777" w:rsidR="00ED0E85" w:rsidRDefault="00ED0E85" w:rsidP="00ED0E85">
            <w:pPr>
              <w:pStyle w:val="TableDataEntries"/>
              <w:rPr>
                <w:lang w:val="en-GB"/>
              </w:rPr>
            </w:pPr>
            <w:r>
              <w:rPr>
                <w:lang w:val="en-GB"/>
              </w:rPr>
              <w:t xml:space="preserve"> 4.9</w:t>
            </w:r>
          </w:p>
        </w:tc>
      </w:tr>
      <w:tr w:rsidR="00ED0E85" w14:paraId="7616A172"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F4953F" w14:textId="77777777" w:rsidR="00ED0E85" w:rsidRDefault="00ED0E85" w:rsidP="00ED0E85">
            <w:pPr>
              <w:pStyle w:val="TableDataEntries"/>
              <w:jc w:val="left"/>
              <w:rPr>
                <w:lang w:val="en-GB"/>
              </w:rPr>
            </w:pPr>
            <w:r>
              <w:rPr>
                <w:lang w:val="en-GB"/>
              </w:rPr>
              <w:t>4.5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0E5073" w14:textId="77777777" w:rsidR="00ED0E85" w:rsidRDefault="00ED0E85" w:rsidP="00ED0E85">
            <w:pPr>
              <w:pStyle w:val="TableDataEntries"/>
              <w:rPr>
                <w:lang w:val="en-GB"/>
              </w:rPr>
            </w:pPr>
            <w:r>
              <w:rPr>
                <w:lang w:val="en-GB"/>
              </w:rPr>
              <w:t xml:space="preserve"> 20.0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313F51" w14:textId="77777777" w:rsidR="00ED0E85" w:rsidRDefault="00ED0E85" w:rsidP="00ED0E85">
            <w:pPr>
              <w:pStyle w:val="TableDataEntries"/>
              <w:rPr>
                <w:lang w:val="en-GB"/>
              </w:rPr>
            </w:pPr>
            <w:r>
              <w:rPr>
                <w:lang w:val="en-GB"/>
              </w:rPr>
              <w:t xml:space="preserve"> 69.1</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56E3B5" w14:textId="77777777" w:rsidR="00ED0E85" w:rsidRDefault="00ED0E85" w:rsidP="00ED0E85">
            <w:pPr>
              <w:pStyle w:val="TableDataEntries"/>
              <w:rPr>
                <w:lang w:val="en-GB"/>
              </w:rPr>
            </w:pPr>
            <w:r>
              <w:rPr>
                <w:lang w:val="en-GB"/>
              </w:rPr>
              <w:t xml:space="preserve"> 21.5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6A9C6D" w14:textId="77777777" w:rsidR="00ED0E85" w:rsidRDefault="00ED0E85" w:rsidP="00ED0E85">
            <w:pPr>
              <w:pStyle w:val="TableDataEntries"/>
              <w:rPr>
                <w:lang w:val="en-GB"/>
              </w:rPr>
            </w:pPr>
            <w:r>
              <w:rPr>
                <w:lang w:val="en-GB"/>
              </w:rPr>
              <w:t xml:space="preserve"> 16.5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FFDD3D" w14:textId="77777777" w:rsidR="00ED0E85" w:rsidRDefault="00ED0E85" w:rsidP="00ED0E85">
            <w:pPr>
              <w:pStyle w:val="TableDataEntries"/>
              <w:rPr>
                <w:lang w:val="en-GB"/>
              </w:rPr>
            </w:pPr>
            <w:r>
              <w:rPr>
                <w:lang w:val="en-GB"/>
              </w:rPr>
              <w:t xml:space="preserve"> 12.7</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D72642" w14:textId="77777777" w:rsidR="00ED0E85" w:rsidRDefault="00ED0E85" w:rsidP="00ED0E85">
            <w:pPr>
              <w:pStyle w:val="TableDataEntries"/>
              <w:rPr>
                <w:lang w:val="en-GB"/>
              </w:rPr>
            </w:pPr>
            <w:r>
              <w:rPr>
                <w:lang w:val="en-GB"/>
              </w:rPr>
              <w:t xml:space="preserve"> 26.6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E37530"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1389A7" w14:textId="77777777" w:rsidR="00ED0E85" w:rsidRDefault="00ED0E85" w:rsidP="00ED0E85">
            <w:pPr>
              <w:pStyle w:val="TableDataEntries"/>
              <w:rPr>
                <w:lang w:val="en-GB"/>
              </w:rPr>
            </w:pPr>
            <w:r>
              <w:rPr>
                <w:lang w:val="en-GB"/>
              </w:rPr>
              <w:t xml:space="preserve"> 18.3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94B5FE" w14:textId="77777777" w:rsidR="00ED0E85" w:rsidRDefault="00ED0E85" w:rsidP="00ED0E85">
            <w:pPr>
              <w:pStyle w:val="TableDataEntries"/>
              <w:rPr>
                <w:lang w:val="en-GB"/>
              </w:rPr>
            </w:pPr>
            <w:r>
              <w:rPr>
                <w:lang w:val="en-GB"/>
              </w:rPr>
              <w:t xml:space="preserve"> 3.5</w:t>
            </w:r>
          </w:p>
        </w:tc>
      </w:tr>
      <w:tr w:rsidR="00ED0E85" w14:paraId="35227817"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3C79E3" w14:textId="77777777" w:rsidR="00ED0E85" w:rsidRDefault="00ED0E85" w:rsidP="00ED0E85">
            <w:pPr>
              <w:pStyle w:val="TableDataEntries"/>
              <w:jc w:val="left"/>
              <w:rPr>
                <w:lang w:val="en-GB"/>
              </w:rPr>
            </w:pPr>
            <w:r>
              <w:rPr>
                <w:lang w:val="en-GB"/>
              </w:rPr>
              <w:t>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1CF3D2" w14:textId="77777777" w:rsidR="00ED0E85" w:rsidRDefault="00ED0E85" w:rsidP="00ED0E85">
            <w:pPr>
              <w:pStyle w:val="TableDataEntries"/>
              <w:rPr>
                <w:lang w:val="en-GB"/>
              </w:rPr>
            </w:pPr>
            <w:r>
              <w:rPr>
                <w:lang w:val="en-GB"/>
              </w:rPr>
              <w:t xml:space="preserve"> 1.5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C2B0E2" w14:textId="77777777" w:rsidR="00ED0E85" w:rsidRDefault="00ED0E85" w:rsidP="00ED0E85">
            <w:pPr>
              <w:pStyle w:val="TableDataEntries"/>
              <w:rPr>
                <w:lang w:val="en-GB"/>
              </w:rPr>
            </w:pPr>
            <w:r>
              <w:rPr>
                <w:lang w:val="en-GB"/>
              </w:rPr>
              <w:t xml:space="preserve"> 17.6</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088FA9" w14:textId="77777777" w:rsidR="00ED0E85" w:rsidRDefault="00ED0E85" w:rsidP="00ED0E85">
            <w:pPr>
              <w:pStyle w:val="TableDataEntries"/>
              <w:rPr>
                <w:lang w:val="en-GB"/>
              </w:rPr>
            </w:pPr>
            <w:r>
              <w:rPr>
                <w:lang w:val="en-GB"/>
              </w:rPr>
              <w:t xml:space="preserve"> 28.7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7C4421" w14:textId="77777777" w:rsidR="00ED0E85" w:rsidRDefault="00ED0E85" w:rsidP="00ED0E85">
            <w:pPr>
              <w:pStyle w:val="TableDataEntries"/>
              <w:rPr>
                <w:lang w:val="en-GB"/>
              </w:rPr>
            </w:pPr>
            <w:r>
              <w:rPr>
                <w:lang w:val="en-GB"/>
              </w:rPr>
              <w:t xml:space="preserve"> 34.1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4E5186"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9A499D" w14:textId="77777777" w:rsidR="00ED0E85" w:rsidRDefault="00ED0E85" w:rsidP="00ED0E85">
            <w:pPr>
              <w:pStyle w:val="TableDataEntries"/>
              <w:rPr>
                <w:lang w:val="en-GB"/>
              </w:rPr>
            </w:pPr>
            <w:r>
              <w:rPr>
                <w:lang w:val="en-GB"/>
              </w:rPr>
              <w:t xml:space="preserve"> 37.7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06CDE7" w14:textId="77777777" w:rsidR="00ED0E85" w:rsidRDefault="00ED0E85" w:rsidP="00ED0E85">
            <w:pPr>
              <w:pStyle w:val="TableDataEntries"/>
              <w:rPr>
                <w:lang w:val="en-GB"/>
              </w:rPr>
            </w:pPr>
            <w:r>
              <w:rPr>
                <w:lang w:val="en-GB"/>
              </w:rPr>
              <w:t xml:space="preserve"> 1.5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15BD6F" w14:textId="77777777" w:rsidR="00ED0E85" w:rsidRDefault="00ED0E85" w:rsidP="00ED0E85">
            <w:pPr>
              <w:pStyle w:val="TableDataEntries"/>
              <w:rPr>
                <w:lang w:val="en-GB"/>
              </w:rPr>
            </w:pPr>
            <w:r>
              <w:rPr>
                <w:lang w:val="en-GB"/>
              </w:rPr>
              <w:t xml:space="preserve"> 3.9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110CBC" w14:textId="77777777" w:rsidR="00ED0E85" w:rsidRDefault="00ED0E85" w:rsidP="00ED0E85">
            <w:pPr>
              <w:pStyle w:val="TableDataEntries"/>
              <w:rPr>
                <w:lang w:val="en-GB"/>
              </w:rPr>
            </w:pPr>
            <w:r>
              <w:rPr>
                <w:lang w:val="en-GB"/>
              </w:rPr>
              <w:t xml:space="preserve"> 4.4</w:t>
            </w:r>
          </w:p>
        </w:tc>
      </w:tr>
      <w:tr w:rsidR="00ED0E85" w14:paraId="0C86BD5F"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65E47F" w14:textId="77777777" w:rsidR="00ED0E85" w:rsidRDefault="00ED0E85" w:rsidP="00ED0E85">
            <w:pPr>
              <w:pStyle w:val="TableDataEntries"/>
              <w:jc w:val="left"/>
              <w:rPr>
                <w:lang w:val="en-GB"/>
              </w:rPr>
            </w:pPr>
            <w:r>
              <w:rPr>
                <w:lang w:val="en-GB"/>
              </w:rPr>
              <w:t>5.5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FBA352"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B549B3"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D90164" w14:textId="77777777" w:rsidR="00ED0E85" w:rsidRDefault="00ED0E85" w:rsidP="00ED0E85">
            <w:pPr>
              <w:pStyle w:val="TableDataEntries"/>
              <w:rPr>
                <w:lang w:val="en-GB"/>
              </w:rPr>
            </w:pPr>
            <w:r>
              <w:rPr>
                <w:lang w:val="en-GB"/>
              </w:rPr>
              <w:t xml:space="preserve"> 0.8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1716FF"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D9FAEC"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7BF1BE"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F60734"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7F0F10" w14:textId="77777777" w:rsidR="00ED0E85" w:rsidRDefault="00ED0E85" w:rsidP="00ED0E85">
            <w:pPr>
              <w:pStyle w:val="TableDataEntries"/>
              <w:rPr>
                <w:lang w:val="en-GB"/>
              </w:rPr>
            </w:pPr>
            <w:r>
              <w:rPr>
                <w:lang w:val="en-GB"/>
              </w:rPr>
              <w:t xml:space="preserve"> 1.6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71A2FD" w14:textId="77777777" w:rsidR="00ED0E85" w:rsidRDefault="00ED0E85" w:rsidP="00ED0E85">
            <w:pPr>
              <w:pStyle w:val="TableDataEntries"/>
              <w:rPr>
                <w:lang w:val="en-GB"/>
              </w:rPr>
            </w:pPr>
            <w:r>
              <w:rPr>
                <w:lang w:val="en-GB"/>
              </w:rPr>
              <w:t xml:space="preserve"> 0.0</w:t>
            </w:r>
          </w:p>
        </w:tc>
      </w:tr>
      <w:tr w:rsidR="00ED0E85" w14:paraId="4EBCA4DD"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1BA9EC" w14:textId="77777777" w:rsidR="00ED0E85" w:rsidRDefault="00ED0E85" w:rsidP="00ED0E85">
            <w:pPr>
              <w:pStyle w:val="TableDataEntries"/>
              <w:jc w:val="left"/>
              <w:rPr>
                <w:lang w:val="en-GB"/>
              </w:rPr>
            </w:pPr>
            <w:r>
              <w:rPr>
                <w:lang w:val="en-GB"/>
              </w:rPr>
              <w:t>6</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52965B"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5EEFCF"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22AE5F"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8821A5"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7F7415"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952BDC"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C075C7"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7351D9"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17C3BA" w14:textId="77777777" w:rsidR="00ED0E85" w:rsidRDefault="00ED0E85" w:rsidP="00ED0E85">
            <w:pPr>
              <w:pStyle w:val="TableDataEntries"/>
              <w:rPr>
                <w:lang w:val="en-GB"/>
              </w:rPr>
            </w:pPr>
            <w:r>
              <w:rPr>
                <w:lang w:val="en-GB"/>
              </w:rPr>
              <w:t xml:space="preserve"> 0.0</w:t>
            </w:r>
          </w:p>
        </w:tc>
      </w:tr>
      <w:tr w:rsidR="001540E1" w:rsidRPr="001540E1" w14:paraId="261D280D"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0D9A83" w14:textId="77777777" w:rsidR="00ED0E85" w:rsidRPr="001540E1" w:rsidRDefault="00ED0E85" w:rsidP="00ED0E85">
            <w:pPr>
              <w:pStyle w:val="TableDataEntries"/>
              <w:jc w:val="left"/>
              <w:rPr>
                <w:rFonts w:ascii="Franklin Gothic Demi" w:hAnsi="Franklin Gothic Demi"/>
                <w:lang w:val="en-GB"/>
              </w:rPr>
            </w:pPr>
            <w:r w:rsidRPr="001540E1">
              <w:rPr>
                <w:rFonts w:ascii="Franklin Gothic Demi" w:hAnsi="Franklin Gothic Demi"/>
                <w:lang w:val="en-GB"/>
              </w:rPr>
              <w:t>Total</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ED6077"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114.7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9A9D02"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165.9</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861F27"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90.8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661BAC"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87.2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405CBF"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28.2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32B4E6"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97.2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52A728"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21.9</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E38DF0"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52.5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C8F2F3"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19.4</w:t>
            </w:r>
          </w:p>
        </w:tc>
      </w:tr>
      <w:tr w:rsidR="00ED0E85" w14:paraId="7C00BCDB"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796310C" w14:textId="77777777" w:rsidR="00ED0E85" w:rsidRDefault="00ED0E85" w:rsidP="00ED0E85">
            <w:pPr>
              <w:pStyle w:val="TableHeading1"/>
              <w:rPr>
                <w:lang w:val="en-GB"/>
              </w:rPr>
            </w:pPr>
            <w:r>
              <w:rPr>
                <w:lang w:val="en-GB"/>
              </w:rPr>
              <w:t>Tasmania</w:t>
            </w:r>
          </w:p>
        </w:tc>
        <w:tc>
          <w:tcPr>
            <w:tcW w:w="73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7E46748"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05B31C3"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590E24E"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246835C"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62A1CAB"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89A8119"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A575FAA"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4FDF6D2"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DF285B9" w14:textId="77777777" w:rsidR="00ED0E85" w:rsidRDefault="00ED0E85" w:rsidP="00ED0E85">
            <w:pPr>
              <w:pStyle w:val="TableHeading1"/>
              <w:rPr>
                <w:lang w:val="en-GB"/>
              </w:rPr>
            </w:pPr>
          </w:p>
        </w:tc>
      </w:tr>
      <w:tr w:rsidR="00ED0E85" w14:paraId="51E05A0C"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5A15AB" w14:textId="77777777" w:rsidR="00ED0E85" w:rsidRDefault="00ED0E85" w:rsidP="00ED0E85">
            <w:pPr>
              <w:pStyle w:val="TableDataEntries"/>
              <w:jc w:val="left"/>
              <w:rPr>
                <w:lang w:val="en-GB"/>
              </w:rPr>
            </w:pPr>
            <w:r>
              <w:rPr>
                <w:lang w:val="en-GB"/>
              </w:rPr>
              <w:t>0</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FE218D"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5A15A9"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FDBC8D"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3743FD"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3827C9"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5B32FF"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C0268C"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938E64"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CA81BE" w14:textId="77777777" w:rsidR="00ED0E85" w:rsidRDefault="00ED0E85" w:rsidP="00ED0E85">
            <w:pPr>
              <w:pStyle w:val="TableDataEntries"/>
              <w:rPr>
                <w:lang w:val="en-GB"/>
              </w:rPr>
            </w:pPr>
            <w:r>
              <w:rPr>
                <w:lang w:val="en-GB"/>
              </w:rPr>
              <w:t xml:space="preserve"> 0.0</w:t>
            </w:r>
          </w:p>
        </w:tc>
      </w:tr>
      <w:tr w:rsidR="00ED0E85" w14:paraId="19E699B1"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EB5A4C" w14:textId="77777777" w:rsidR="00ED0E85" w:rsidRDefault="00ED0E85" w:rsidP="00ED0E85">
            <w:pPr>
              <w:pStyle w:val="TableDataEntries"/>
              <w:jc w:val="left"/>
              <w:rPr>
                <w:lang w:val="en-GB"/>
              </w:rPr>
            </w:pPr>
            <w:r>
              <w:rPr>
                <w:lang w:val="en-GB"/>
              </w:rPr>
              <w:t>1</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F3EA94"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7B08DC"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0F9246"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6B63AB"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DB6D11"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F3E5C4"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C259B6"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F855DC"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02C259" w14:textId="77777777" w:rsidR="00ED0E85" w:rsidRDefault="00ED0E85" w:rsidP="00ED0E85">
            <w:pPr>
              <w:pStyle w:val="TableDataEntries"/>
              <w:rPr>
                <w:lang w:val="en-GB"/>
              </w:rPr>
            </w:pPr>
            <w:r>
              <w:rPr>
                <w:lang w:val="en-GB"/>
              </w:rPr>
              <w:t xml:space="preserve"> 0.0</w:t>
            </w:r>
          </w:p>
        </w:tc>
      </w:tr>
      <w:tr w:rsidR="00ED0E85" w14:paraId="7DFF0DE8"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A2C81C" w14:textId="77777777" w:rsidR="00ED0E85" w:rsidRDefault="00ED0E85" w:rsidP="00ED0E85">
            <w:pPr>
              <w:pStyle w:val="TableDataEntries"/>
              <w:jc w:val="left"/>
              <w:rPr>
                <w:lang w:val="en-GB"/>
              </w:rPr>
            </w:pPr>
            <w:r>
              <w:rPr>
                <w:lang w:val="en-GB"/>
              </w:rPr>
              <w:t>1.5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E3A57B"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5001DB"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63DB70"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E65052"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A44490"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E71BEF"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276E92"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C9D392" w14:textId="77777777" w:rsidR="00ED0E85" w:rsidRDefault="00ED0E85" w:rsidP="00ED0E85">
            <w:pPr>
              <w:pStyle w:val="TableDataEntries"/>
              <w:rPr>
                <w:lang w:val="en-GB"/>
              </w:rPr>
            </w:pPr>
            <w:r>
              <w:rPr>
                <w:lang w:val="en-GB"/>
              </w:rPr>
              <w:t xml:space="preserve"> 2.9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C65D88" w14:textId="77777777" w:rsidR="00ED0E85" w:rsidRDefault="00ED0E85" w:rsidP="00ED0E85">
            <w:pPr>
              <w:pStyle w:val="TableDataEntries"/>
              <w:rPr>
                <w:lang w:val="en-GB"/>
              </w:rPr>
            </w:pPr>
            <w:r>
              <w:rPr>
                <w:lang w:val="en-GB"/>
              </w:rPr>
              <w:t xml:space="preserve"> 0.0</w:t>
            </w:r>
          </w:p>
        </w:tc>
      </w:tr>
      <w:tr w:rsidR="00ED0E85" w14:paraId="20D78D06"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C585E0" w14:textId="77777777" w:rsidR="00ED0E85" w:rsidRDefault="00ED0E85" w:rsidP="00ED0E85">
            <w:pPr>
              <w:pStyle w:val="TableDataEntries"/>
              <w:jc w:val="left"/>
              <w:rPr>
                <w:lang w:val="en-GB"/>
              </w:rPr>
            </w:pPr>
            <w:r>
              <w:rPr>
                <w:lang w:val="en-GB"/>
              </w:rPr>
              <w:t>2</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ADC150" w14:textId="77777777" w:rsidR="00ED0E85" w:rsidRDefault="00ED0E85" w:rsidP="00ED0E85">
            <w:pPr>
              <w:pStyle w:val="TableDataEntries"/>
              <w:rPr>
                <w:lang w:val="en-GB"/>
              </w:rPr>
            </w:pPr>
            <w:r>
              <w:rPr>
                <w:lang w:val="en-GB"/>
              </w:rPr>
              <w:t xml:space="preserve"> 4.0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DDD2DC" w14:textId="77777777" w:rsidR="00ED0E85" w:rsidRDefault="00ED0E85" w:rsidP="00ED0E85">
            <w:pPr>
              <w:pStyle w:val="TableDataEntries"/>
              <w:rPr>
                <w:lang w:val="en-GB"/>
              </w:rPr>
            </w:pPr>
            <w:r>
              <w:rPr>
                <w:lang w:val="en-GB"/>
              </w:rPr>
              <w:t xml:space="preserve"> 4.3</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EF0F9F"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3739F7"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B789E1"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314BB6"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327031"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06D0EF"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8A1F16" w14:textId="77777777" w:rsidR="00ED0E85" w:rsidRDefault="00ED0E85" w:rsidP="00ED0E85">
            <w:pPr>
              <w:pStyle w:val="TableDataEntries"/>
              <w:rPr>
                <w:lang w:val="en-GB"/>
              </w:rPr>
            </w:pPr>
            <w:r>
              <w:rPr>
                <w:lang w:val="en-GB"/>
              </w:rPr>
              <w:t xml:space="preserve"> 1.6</w:t>
            </w:r>
          </w:p>
        </w:tc>
      </w:tr>
      <w:tr w:rsidR="00ED0E85" w14:paraId="18A30621"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49E6BD" w14:textId="77777777" w:rsidR="00ED0E85" w:rsidRDefault="00ED0E85" w:rsidP="00ED0E85">
            <w:pPr>
              <w:pStyle w:val="TableDataEntries"/>
              <w:jc w:val="left"/>
              <w:rPr>
                <w:lang w:val="en-GB"/>
              </w:rPr>
            </w:pPr>
            <w:r>
              <w:rPr>
                <w:lang w:val="en-GB"/>
              </w:rPr>
              <w:t>2.5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25A60C"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5FD57A" w14:textId="77777777" w:rsidR="00ED0E85" w:rsidRDefault="00ED0E85" w:rsidP="00ED0E85">
            <w:pPr>
              <w:pStyle w:val="TableDataEntries"/>
              <w:rPr>
                <w:lang w:val="en-GB"/>
              </w:rPr>
            </w:pPr>
            <w:r>
              <w:rPr>
                <w:lang w:val="en-GB"/>
              </w:rPr>
              <w:t xml:space="preserve"> 14.4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8D8F3A" w14:textId="77777777" w:rsidR="00ED0E85" w:rsidRDefault="00ED0E85" w:rsidP="00ED0E85">
            <w:pPr>
              <w:pStyle w:val="TableDataEntries"/>
              <w:rPr>
                <w:lang w:val="en-GB"/>
              </w:rPr>
            </w:pPr>
            <w:r>
              <w:rPr>
                <w:lang w:val="en-GB"/>
              </w:rPr>
              <w:t xml:space="preserve"> 17.6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BC58BE"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A56576"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324433" w14:textId="77777777" w:rsidR="00ED0E85" w:rsidRDefault="00ED0E85" w:rsidP="00ED0E85">
            <w:pPr>
              <w:pStyle w:val="TableDataEntries"/>
              <w:rPr>
                <w:lang w:val="en-GB"/>
              </w:rPr>
            </w:pPr>
            <w:r>
              <w:rPr>
                <w:lang w:val="en-GB"/>
              </w:rPr>
              <w:t xml:space="preserve"> 5.1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6F1453" w14:textId="77777777" w:rsidR="00ED0E85" w:rsidRDefault="00ED0E85" w:rsidP="00ED0E85">
            <w:pPr>
              <w:pStyle w:val="TableDataEntries"/>
              <w:rPr>
                <w:lang w:val="en-GB"/>
              </w:rPr>
            </w:pPr>
            <w:r>
              <w:rPr>
                <w:lang w:val="en-GB"/>
              </w:rPr>
              <w:t xml:space="preserve"> 5.4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6B65AE"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28A087" w14:textId="77777777" w:rsidR="00ED0E85" w:rsidRDefault="00ED0E85" w:rsidP="00ED0E85">
            <w:pPr>
              <w:pStyle w:val="TableDataEntries"/>
              <w:rPr>
                <w:lang w:val="en-GB"/>
              </w:rPr>
            </w:pPr>
            <w:r>
              <w:rPr>
                <w:lang w:val="en-GB"/>
              </w:rPr>
              <w:t xml:space="preserve"> 0.0</w:t>
            </w:r>
          </w:p>
        </w:tc>
      </w:tr>
      <w:tr w:rsidR="00ED0E85" w14:paraId="313CEB1A"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2EE479" w14:textId="77777777" w:rsidR="00ED0E85" w:rsidRDefault="00ED0E85" w:rsidP="00ED0E85">
            <w:pPr>
              <w:pStyle w:val="TableDataEntries"/>
              <w:jc w:val="left"/>
              <w:rPr>
                <w:lang w:val="en-GB"/>
              </w:rPr>
            </w:pPr>
            <w:r>
              <w:rPr>
                <w:lang w:val="en-GB"/>
              </w:rPr>
              <w:t>3</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FFD08C"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F0557C" w14:textId="77777777" w:rsidR="00ED0E85" w:rsidRDefault="00ED0E85" w:rsidP="00ED0E85">
            <w:pPr>
              <w:pStyle w:val="TableDataEntries"/>
              <w:rPr>
                <w:lang w:val="en-GB"/>
              </w:rPr>
            </w:pPr>
            <w:r>
              <w:rPr>
                <w:lang w:val="en-GB"/>
              </w:rPr>
              <w:t xml:space="preserve"> 5.8</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0C72F3"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A2CCAF" w14:textId="77777777" w:rsidR="00ED0E85" w:rsidRDefault="00ED0E85" w:rsidP="00ED0E85">
            <w:pPr>
              <w:pStyle w:val="TableDataEntries"/>
              <w:rPr>
                <w:lang w:val="en-GB"/>
              </w:rPr>
            </w:pPr>
            <w:r>
              <w:rPr>
                <w:lang w:val="en-GB"/>
              </w:rPr>
              <w:t xml:space="preserve"> 7.8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9351E1"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B90BB0"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024ECE" w14:textId="77777777" w:rsidR="00ED0E85" w:rsidRDefault="00ED0E85" w:rsidP="00ED0E85">
            <w:pPr>
              <w:pStyle w:val="TableDataEntries"/>
              <w:rPr>
                <w:lang w:val="en-GB"/>
              </w:rPr>
            </w:pPr>
            <w:r>
              <w:rPr>
                <w:lang w:val="en-GB"/>
              </w:rPr>
              <w:t xml:space="preserve"> 4.5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9615F2" w14:textId="77777777" w:rsidR="00ED0E85" w:rsidRDefault="00ED0E85" w:rsidP="00ED0E85">
            <w:pPr>
              <w:pStyle w:val="TableDataEntries"/>
              <w:rPr>
                <w:lang w:val="en-GB"/>
              </w:rPr>
            </w:pPr>
            <w:r>
              <w:rPr>
                <w:lang w:val="en-GB"/>
              </w:rPr>
              <w:t xml:space="preserve"> 3.4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D4A7FA" w14:textId="77777777" w:rsidR="00ED0E85" w:rsidRDefault="00ED0E85" w:rsidP="00ED0E85">
            <w:pPr>
              <w:pStyle w:val="TableDataEntries"/>
              <w:rPr>
                <w:lang w:val="en-GB"/>
              </w:rPr>
            </w:pPr>
            <w:r>
              <w:rPr>
                <w:lang w:val="en-GB"/>
              </w:rPr>
              <w:t xml:space="preserve"> 0.0</w:t>
            </w:r>
          </w:p>
        </w:tc>
      </w:tr>
      <w:tr w:rsidR="00ED0E85" w14:paraId="29B7724A"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141C27" w14:textId="77777777" w:rsidR="00ED0E85" w:rsidRDefault="00ED0E85" w:rsidP="00ED0E85">
            <w:pPr>
              <w:pStyle w:val="TableDataEntries"/>
              <w:jc w:val="left"/>
              <w:rPr>
                <w:lang w:val="en-GB"/>
              </w:rPr>
            </w:pPr>
            <w:r>
              <w:rPr>
                <w:lang w:val="en-GB"/>
              </w:rPr>
              <w:t>3.5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88BBE0" w14:textId="77777777" w:rsidR="00ED0E85" w:rsidRDefault="00ED0E85" w:rsidP="00ED0E85">
            <w:pPr>
              <w:pStyle w:val="TableDataEntries"/>
              <w:rPr>
                <w:lang w:val="en-GB"/>
              </w:rPr>
            </w:pPr>
            <w:r>
              <w:rPr>
                <w:lang w:val="en-GB"/>
              </w:rPr>
              <w:t xml:space="preserve"> 4.5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9C6F4F" w14:textId="77777777" w:rsidR="00ED0E85" w:rsidRDefault="00ED0E85" w:rsidP="00ED0E85">
            <w:pPr>
              <w:pStyle w:val="TableDataEntries"/>
              <w:rPr>
                <w:lang w:val="en-GB"/>
              </w:rPr>
            </w:pPr>
            <w:r>
              <w:rPr>
                <w:lang w:val="en-GB"/>
              </w:rPr>
              <w:t xml:space="preserve"> 7.3</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66ED48" w14:textId="77777777" w:rsidR="00ED0E85" w:rsidRDefault="00ED0E85" w:rsidP="00ED0E85">
            <w:pPr>
              <w:pStyle w:val="TableDataEntries"/>
              <w:rPr>
                <w:lang w:val="en-GB"/>
              </w:rPr>
            </w:pPr>
            <w:r>
              <w:rPr>
                <w:lang w:val="en-GB"/>
              </w:rPr>
              <w:t xml:space="preserve"> 6.4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A9DD37"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985CC6"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2BF0F1"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C745A8"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C844C0" w14:textId="77777777" w:rsidR="00ED0E85" w:rsidRDefault="00ED0E85" w:rsidP="00ED0E85">
            <w:pPr>
              <w:pStyle w:val="TableDataEntries"/>
              <w:rPr>
                <w:lang w:val="en-GB"/>
              </w:rPr>
            </w:pPr>
            <w:r>
              <w:rPr>
                <w:lang w:val="en-GB"/>
              </w:rPr>
              <w:t xml:space="preserve"> 5.3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026A5E" w14:textId="77777777" w:rsidR="00ED0E85" w:rsidRDefault="00ED0E85" w:rsidP="00ED0E85">
            <w:pPr>
              <w:pStyle w:val="TableDataEntries"/>
              <w:rPr>
                <w:lang w:val="en-GB"/>
              </w:rPr>
            </w:pPr>
            <w:r>
              <w:rPr>
                <w:lang w:val="en-GB"/>
              </w:rPr>
              <w:t xml:space="preserve"> 1.8</w:t>
            </w:r>
          </w:p>
        </w:tc>
      </w:tr>
      <w:tr w:rsidR="00ED0E85" w14:paraId="56531DB9"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A84810" w14:textId="77777777" w:rsidR="00ED0E85" w:rsidRDefault="00ED0E85" w:rsidP="00ED0E85">
            <w:pPr>
              <w:pStyle w:val="TableDataEntries"/>
              <w:jc w:val="left"/>
              <w:rPr>
                <w:lang w:val="en-GB"/>
              </w:rPr>
            </w:pPr>
            <w:r>
              <w:rPr>
                <w:lang w:val="en-GB"/>
              </w:rPr>
              <w:t>4</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E17D15" w14:textId="77777777" w:rsidR="00ED0E85" w:rsidRDefault="00ED0E85" w:rsidP="00ED0E85">
            <w:pPr>
              <w:pStyle w:val="TableDataEntries"/>
              <w:rPr>
                <w:lang w:val="en-GB"/>
              </w:rPr>
            </w:pPr>
            <w:r>
              <w:rPr>
                <w:lang w:val="en-GB"/>
              </w:rPr>
              <w:t xml:space="preserve"> 0.5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885E6D" w14:textId="77777777" w:rsidR="00ED0E85" w:rsidRDefault="00ED0E85" w:rsidP="00ED0E85">
            <w:pPr>
              <w:pStyle w:val="TableDataEntries"/>
              <w:rPr>
                <w:lang w:val="en-GB"/>
              </w:rPr>
            </w:pPr>
            <w:r>
              <w:rPr>
                <w:lang w:val="en-GB"/>
              </w:rPr>
              <w:t xml:space="preserve"> 0.5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9B6699" w14:textId="77777777" w:rsidR="00ED0E85" w:rsidRDefault="00ED0E85" w:rsidP="00ED0E85">
            <w:pPr>
              <w:pStyle w:val="TableDataEntries"/>
              <w:rPr>
                <w:lang w:val="en-GB"/>
              </w:rPr>
            </w:pPr>
            <w:r>
              <w:rPr>
                <w:lang w:val="en-GB"/>
              </w:rPr>
              <w:t xml:space="preserve"> 2.8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BBBDBE" w14:textId="77777777" w:rsidR="00ED0E85" w:rsidRDefault="00ED0E85" w:rsidP="00ED0E85">
            <w:pPr>
              <w:pStyle w:val="TableDataEntries"/>
              <w:rPr>
                <w:lang w:val="en-GB"/>
              </w:rPr>
            </w:pPr>
            <w:r>
              <w:rPr>
                <w:lang w:val="en-GB"/>
              </w:rPr>
              <w:t xml:space="preserve"> 5.8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6B0AC7" w14:textId="77777777" w:rsidR="00ED0E85" w:rsidRDefault="00ED0E85" w:rsidP="00ED0E85">
            <w:pPr>
              <w:pStyle w:val="TableDataEntries"/>
              <w:rPr>
                <w:lang w:val="en-GB"/>
              </w:rPr>
            </w:pPr>
            <w:r>
              <w:rPr>
                <w:lang w:val="en-GB"/>
              </w:rPr>
              <w:t xml:space="preserve"> 2.5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892560"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6B8660" w14:textId="77777777" w:rsidR="00ED0E85" w:rsidRDefault="00ED0E85" w:rsidP="00ED0E85">
            <w:pPr>
              <w:pStyle w:val="TableDataEntries"/>
              <w:rPr>
                <w:lang w:val="en-GB"/>
              </w:rPr>
            </w:pPr>
            <w:r>
              <w:rPr>
                <w:lang w:val="en-GB"/>
              </w:rPr>
              <w:t xml:space="preserve"> 12.9</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0EFB0D" w14:textId="77777777" w:rsidR="00ED0E85" w:rsidRDefault="00ED0E85" w:rsidP="00ED0E85">
            <w:pPr>
              <w:pStyle w:val="TableDataEntries"/>
              <w:rPr>
                <w:lang w:val="en-GB"/>
              </w:rPr>
            </w:pPr>
            <w:r>
              <w:rPr>
                <w:lang w:val="en-GB"/>
              </w:rPr>
              <w:t xml:space="preserve"> 5.8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C1E3F6" w14:textId="77777777" w:rsidR="00ED0E85" w:rsidRDefault="00ED0E85" w:rsidP="00ED0E85">
            <w:pPr>
              <w:pStyle w:val="TableDataEntries"/>
              <w:rPr>
                <w:lang w:val="en-GB"/>
              </w:rPr>
            </w:pPr>
            <w:r>
              <w:rPr>
                <w:lang w:val="en-GB"/>
              </w:rPr>
              <w:t xml:space="preserve"> 0.0</w:t>
            </w:r>
          </w:p>
        </w:tc>
      </w:tr>
      <w:tr w:rsidR="00ED0E85" w14:paraId="6381FDF4"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A81560" w14:textId="77777777" w:rsidR="00ED0E85" w:rsidRDefault="00ED0E85" w:rsidP="00ED0E85">
            <w:pPr>
              <w:pStyle w:val="TableDataEntries"/>
              <w:jc w:val="left"/>
              <w:rPr>
                <w:lang w:val="en-GB"/>
              </w:rPr>
            </w:pPr>
            <w:r>
              <w:rPr>
                <w:lang w:val="en-GB"/>
              </w:rPr>
              <w:t>4.5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48F58B" w14:textId="77777777" w:rsidR="00ED0E85" w:rsidRDefault="00ED0E85" w:rsidP="00ED0E85">
            <w:pPr>
              <w:pStyle w:val="TableDataEntries"/>
              <w:rPr>
                <w:lang w:val="en-GB"/>
              </w:rPr>
            </w:pPr>
            <w:r>
              <w:rPr>
                <w:lang w:val="en-GB"/>
              </w:rPr>
              <w:t xml:space="preserve"> 6.9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009E07"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BB45CA" w14:textId="77777777" w:rsidR="00ED0E85" w:rsidRDefault="00ED0E85" w:rsidP="00ED0E85">
            <w:pPr>
              <w:pStyle w:val="TableDataEntries"/>
              <w:rPr>
                <w:lang w:val="en-GB"/>
              </w:rPr>
            </w:pPr>
            <w:r>
              <w:rPr>
                <w:lang w:val="en-GB"/>
              </w:rPr>
              <w:t xml:space="preserve"> 4.9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7128A8" w14:textId="77777777" w:rsidR="00ED0E85" w:rsidRDefault="00ED0E85" w:rsidP="00ED0E85">
            <w:pPr>
              <w:pStyle w:val="TableDataEntries"/>
              <w:rPr>
                <w:lang w:val="en-GB"/>
              </w:rPr>
            </w:pPr>
            <w:r>
              <w:rPr>
                <w:lang w:val="en-GB"/>
              </w:rPr>
              <w:t xml:space="preserve"> 12.3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317971" w14:textId="77777777" w:rsidR="00ED0E85" w:rsidRDefault="00ED0E85" w:rsidP="00ED0E85">
            <w:pPr>
              <w:pStyle w:val="TableDataEntries"/>
              <w:rPr>
                <w:lang w:val="en-GB"/>
              </w:rPr>
            </w:pPr>
            <w:r>
              <w:rPr>
                <w:lang w:val="en-GB"/>
              </w:rPr>
              <w:t xml:space="preserve"> 4.2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0CB7AC" w14:textId="77777777" w:rsidR="00ED0E85" w:rsidRDefault="00ED0E85" w:rsidP="00ED0E85">
            <w:pPr>
              <w:pStyle w:val="TableDataEntries"/>
              <w:rPr>
                <w:lang w:val="en-GB"/>
              </w:rPr>
            </w:pPr>
            <w:r>
              <w:rPr>
                <w:lang w:val="en-GB"/>
              </w:rPr>
              <w:t xml:space="preserve"> 0.8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EF103B" w14:textId="77777777" w:rsidR="00ED0E85" w:rsidRDefault="00ED0E85" w:rsidP="00ED0E85">
            <w:pPr>
              <w:pStyle w:val="TableDataEntries"/>
              <w:rPr>
                <w:lang w:val="en-GB"/>
              </w:rPr>
            </w:pPr>
            <w:r>
              <w:rPr>
                <w:lang w:val="en-GB"/>
              </w:rPr>
              <w:t xml:space="preserve"> 0.7</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4EA3F7"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F5105F" w14:textId="77777777" w:rsidR="00ED0E85" w:rsidRDefault="00ED0E85" w:rsidP="00ED0E85">
            <w:pPr>
              <w:pStyle w:val="TableDataEntries"/>
              <w:rPr>
                <w:lang w:val="en-GB"/>
              </w:rPr>
            </w:pPr>
            <w:r>
              <w:rPr>
                <w:lang w:val="en-GB"/>
              </w:rPr>
              <w:t xml:space="preserve"> 0.0</w:t>
            </w:r>
          </w:p>
        </w:tc>
      </w:tr>
      <w:tr w:rsidR="00ED0E85" w14:paraId="3229FB4D"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F853A2" w14:textId="77777777" w:rsidR="00ED0E85" w:rsidRDefault="00ED0E85" w:rsidP="00ED0E85">
            <w:pPr>
              <w:pStyle w:val="TableDataEntries"/>
              <w:jc w:val="left"/>
              <w:rPr>
                <w:lang w:val="en-GB"/>
              </w:rPr>
            </w:pPr>
            <w:r>
              <w:rPr>
                <w:lang w:val="en-GB"/>
              </w:rPr>
              <w:t>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AD2719" w14:textId="77777777" w:rsidR="00ED0E85" w:rsidRDefault="00ED0E85" w:rsidP="00ED0E85">
            <w:pPr>
              <w:pStyle w:val="TableDataEntries"/>
              <w:rPr>
                <w:lang w:val="en-GB"/>
              </w:rPr>
            </w:pPr>
            <w:r>
              <w:rPr>
                <w:lang w:val="en-GB"/>
              </w:rPr>
              <w:t xml:space="preserve"> 5.7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C1BB3A" w14:textId="77777777" w:rsidR="00ED0E85" w:rsidRDefault="00ED0E85" w:rsidP="00ED0E85">
            <w:pPr>
              <w:pStyle w:val="TableDataEntries"/>
              <w:rPr>
                <w:lang w:val="en-GB"/>
              </w:rPr>
            </w:pPr>
            <w:r>
              <w:rPr>
                <w:lang w:val="en-GB"/>
              </w:rPr>
              <w:t xml:space="preserve"> 3.0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389569"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C8A1DA" w14:textId="77777777" w:rsidR="00ED0E85" w:rsidRDefault="00ED0E85" w:rsidP="00ED0E85">
            <w:pPr>
              <w:pStyle w:val="TableDataEntries"/>
              <w:rPr>
                <w:lang w:val="en-GB"/>
              </w:rPr>
            </w:pPr>
            <w:r>
              <w:rPr>
                <w:lang w:val="en-GB"/>
              </w:rPr>
              <w:t xml:space="preserve"> 4.6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F617B0"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F79F92" w14:textId="77777777" w:rsidR="00ED0E85" w:rsidRDefault="00ED0E85" w:rsidP="00ED0E85">
            <w:pPr>
              <w:pStyle w:val="TableDataEntries"/>
              <w:rPr>
                <w:lang w:val="en-GB"/>
              </w:rPr>
            </w:pPr>
            <w:r>
              <w:rPr>
                <w:lang w:val="en-GB"/>
              </w:rPr>
              <w:t xml:space="preserve"> 4.4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B15558"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23D860"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30B8AF" w14:textId="77777777" w:rsidR="00ED0E85" w:rsidRDefault="00ED0E85" w:rsidP="00ED0E85">
            <w:pPr>
              <w:pStyle w:val="TableDataEntries"/>
              <w:rPr>
                <w:lang w:val="en-GB"/>
              </w:rPr>
            </w:pPr>
            <w:r>
              <w:rPr>
                <w:lang w:val="en-GB"/>
              </w:rPr>
              <w:t xml:space="preserve"> 0.0</w:t>
            </w:r>
          </w:p>
        </w:tc>
      </w:tr>
      <w:tr w:rsidR="00ED0E85" w14:paraId="035EB538"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9A77C4" w14:textId="77777777" w:rsidR="00ED0E85" w:rsidRDefault="00ED0E85" w:rsidP="00ED0E85">
            <w:pPr>
              <w:pStyle w:val="TableDataEntries"/>
              <w:jc w:val="left"/>
              <w:rPr>
                <w:lang w:val="en-GB"/>
              </w:rPr>
            </w:pPr>
            <w:r>
              <w:rPr>
                <w:lang w:val="en-GB"/>
              </w:rPr>
              <w:t>5.5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F155EC"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7A0FA8"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B78078"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C8264D"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724658" w14:textId="77777777" w:rsidR="00ED0E85" w:rsidRDefault="00ED0E85" w:rsidP="00ED0E85">
            <w:pPr>
              <w:pStyle w:val="TableDataEntries"/>
              <w:rPr>
                <w:lang w:val="en-GB"/>
              </w:rPr>
            </w:pPr>
            <w:r>
              <w:rPr>
                <w:lang w:val="en-GB"/>
              </w:rPr>
              <w:t xml:space="preserve"> 3.1</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017DCD"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440787"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E188A7"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445ADE" w14:textId="77777777" w:rsidR="00ED0E85" w:rsidRDefault="00ED0E85" w:rsidP="00ED0E85">
            <w:pPr>
              <w:pStyle w:val="TableDataEntries"/>
              <w:rPr>
                <w:lang w:val="en-GB"/>
              </w:rPr>
            </w:pPr>
            <w:r>
              <w:rPr>
                <w:lang w:val="en-GB"/>
              </w:rPr>
              <w:t xml:space="preserve"> 0.0</w:t>
            </w:r>
          </w:p>
        </w:tc>
      </w:tr>
      <w:tr w:rsidR="00ED0E85" w14:paraId="50E0DD4A"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5ACC28" w14:textId="77777777" w:rsidR="00ED0E85" w:rsidRDefault="00ED0E85" w:rsidP="00ED0E85">
            <w:pPr>
              <w:pStyle w:val="TableDataEntries"/>
              <w:jc w:val="left"/>
              <w:rPr>
                <w:lang w:val="en-GB"/>
              </w:rPr>
            </w:pPr>
            <w:r>
              <w:rPr>
                <w:lang w:val="en-GB"/>
              </w:rPr>
              <w:t>6</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56F7D2"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6DEC3B"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0C9570"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CDA2DC"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ED9C19"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8A648A"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3FECE9"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7053E7"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4F93AB" w14:textId="77777777" w:rsidR="00ED0E85" w:rsidRDefault="00ED0E85" w:rsidP="00ED0E85">
            <w:pPr>
              <w:pStyle w:val="TableDataEntries"/>
              <w:rPr>
                <w:lang w:val="en-GB"/>
              </w:rPr>
            </w:pPr>
            <w:r>
              <w:rPr>
                <w:lang w:val="en-GB"/>
              </w:rPr>
              <w:t xml:space="preserve"> 0.0</w:t>
            </w:r>
          </w:p>
        </w:tc>
      </w:tr>
      <w:tr w:rsidR="00ED0E85" w:rsidRPr="001540E1" w14:paraId="716AE8AA"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963560" w14:textId="77777777" w:rsidR="00ED0E85" w:rsidRPr="001540E1" w:rsidRDefault="00ED0E85" w:rsidP="00ED0E85">
            <w:pPr>
              <w:pStyle w:val="TableDataEntries"/>
              <w:jc w:val="left"/>
              <w:rPr>
                <w:rFonts w:ascii="Franklin Gothic Demi" w:hAnsi="Franklin Gothic Demi"/>
                <w:lang w:val="en-GB"/>
              </w:rPr>
            </w:pPr>
            <w:r w:rsidRPr="001540E1">
              <w:rPr>
                <w:rFonts w:ascii="Franklin Gothic Demi" w:hAnsi="Franklin Gothic Demi"/>
                <w:lang w:val="en-GB"/>
              </w:rPr>
              <w:t>Total</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8A8761"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21.8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787678"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35.3</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65B875"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31.6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62127B"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30.5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6BD872"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9.8</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5B4623"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10.4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9E7372"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23.5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BFC83D"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17.5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718E3E"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3.4</w:t>
            </w:r>
          </w:p>
        </w:tc>
      </w:tr>
      <w:tr w:rsidR="00ED0E85" w14:paraId="40B68D16"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D6CC39C" w14:textId="77777777" w:rsidR="00ED0E85" w:rsidRDefault="00ED0E85" w:rsidP="00ED0E85">
            <w:pPr>
              <w:pStyle w:val="TableHeading1"/>
              <w:rPr>
                <w:lang w:val="en-GB"/>
              </w:rPr>
            </w:pPr>
            <w:r>
              <w:rPr>
                <w:lang w:val="en-GB"/>
              </w:rPr>
              <w:t>ACT</w:t>
            </w:r>
          </w:p>
        </w:tc>
        <w:tc>
          <w:tcPr>
            <w:tcW w:w="73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0990945"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A056E7D"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D6C83C1"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70774DA"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41AC50E"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2069F93"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3249D0C"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EA9BC9C"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0B59233" w14:textId="77777777" w:rsidR="00ED0E85" w:rsidRDefault="00ED0E85" w:rsidP="00ED0E85">
            <w:pPr>
              <w:pStyle w:val="TableHeading1"/>
              <w:rPr>
                <w:lang w:val="en-GB"/>
              </w:rPr>
            </w:pPr>
          </w:p>
        </w:tc>
      </w:tr>
      <w:tr w:rsidR="00ED0E85" w14:paraId="1D5B45CC"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4F67AC" w14:textId="77777777" w:rsidR="00ED0E85" w:rsidRDefault="00ED0E85" w:rsidP="00ED0E85">
            <w:pPr>
              <w:pStyle w:val="TableDataEntries"/>
              <w:jc w:val="left"/>
              <w:rPr>
                <w:lang w:val="en-GB"/>
              </w:rPr>
            </w:pPr>
            <w:r>
              <w:rPr>
                <w:lang w:val="en-GB"/>
              </w:rPr>
              <w:t>0</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4913CB" w14:textId="77777777" w:rsidR="00ED0E85" w:rsidRDefault="00ED0E85" w:rsidP="00ED0E85">
            <w:pPr>
              <w:pStyle w:val="TableDataEntries"/>
              <w:rPr>
                <w:lang w:val="en-GB"/>
              </w:rPr>
            </w:pPr>
            <w:r>
              <w:rPr>
                <w:lang w:val="en-GB"/>
              </w:rPr>
              <w:t xml:space="preserve"> 12.2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891236" w14:textId="77777777" w:rsidR="00ED0E85" w:rsidRDefault="00ED0E85" w:rsidP="00ED0E85">
            <w:pPr>
              <w:pStyle w:val="TableDataEntries"/>
              <w:rPr>
                <w:lang w:val="en-GB"/>
              </w:rPr>
            </w:pPr>
            <w:r>
              <w:rPr>
                <w:lang w:val="en-GB"/>
              </w:rPr>
              <w:t xml:space="preserve"> 18.9</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8C75B1" w14:textId="77777777" w:rsidR="00ED0E85" w:rsidRDefault="00ED0E85" w:rsidP="00ED0E85">
            <w:pPr>
              <w:pStyle w:val="TableDataEntries"/>
              <w:rPr>
                <w:lang w:val="en-GB"/>
              </w:rPr>
            </w:pPr>
            <w:r>
              <w:rPr>
                <w:lang w:val="en-GB"/>
              </w:rPr>
              <w:t xml:space="preserve"> 10.6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8BB323"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640328" w14:textId="77777777" w:rsidR="00ED0E85" w:rsidRDefault="00ED0E85" w:rsidP="00ED0E85">
            <w:pPr>
              <w:pStyle w:val="TableDataEntries"/>
              <w:rPr>
                <w:lang w:val="en-GB"/>
              </w:rPr>
            </w:pPr>
            <w:r>
              <w:rPr>
                <w:lang w:val="en-GB"/>
              </w:rPr>
              <w:t xml:space="preserve"> 12.7</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D9ED46" w14:textId="77777777" w:rsidR="00ED0E85" w:rsidRDefault="00ED0E85" w:rsidP="00ED0E85">
            <w:pPr>
              <w:pStyle w:val="TableDataEntries"/>
              <w:rPr>
                <w:lang w:val="en-GB"/>
              </w:rPr>
            </w:pPr>
            <w:r>
              <w:rPr>
                <w:lang w:val="en-GB"/>
              </w:rPr>
              <w:t xml:space="preserve"> 1.9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7064CD" w14:textId="77777777" w:rsidR="00ED0E85" w:rsidRDefault="00ED0E85" w:rsidP="00ED0E85">
            <w:pPr>
              <w:pStyle w:val="TableDataEntries"/>
              <w:rPr>
                <w:lang w:val="en-GB"/>
              </w:rPr>
            </w:pPr>
            <w:r>
              <w:rPr>
                <w:lang w:val="en-GB"/>
              </w:rPr>
              <w:t xml:space="preserve"> 1.7</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D80C87" w14:textId="77777777" w:rsidR="00ED0E85" w:rsidRDefault="00ED0E85" w:rsidP="00ED0E85">
            <w:pPr>
              <w:pStyle w:val="TableDataEntries"/>
              <w:rPr>
                <w:lang w:val="en-GB"/>
              </w:rPr>
            </w:pPr>
            <w:r>
              <w:rPr>
                <w:lang w:val="en-GB"/>
              </w:rPr>
              <w:t xml:space="preserve"> 1.0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655ADA" w14:textId="77777777" w:rsidR="00ED0E85" w:rsidRDefault="00ED0E85" w:rsidP="00ED0E85">
            <w:pPr>
              <w:pStyle w:val="TableDataEntries"/>
              <w:rPr>
                <w:lang w:val="en-GB"/>
              </w:rPr>
            </w:pPr>
            <w:r>
              <w:rPr>
                <w:lang w:val="en-GB"/>
              </w:rPr>
              <w:t xml:space="preserve"> 0.0</w:t>
            </w:r>
          </w:p>
        </w:tc>
      </w:tr>
      <w:tr w:rsidR="00ED0E85" w14:paraId="2D5364E5"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916C77" w14:textId="77777777" w:rsidR="00ED0E85" w:rsidRDefault="00ED0E85" w:rsidP="00ED0E85">
            <w:pPr>
              <w:pStyle w:val="TableDataEntries"/>
              <w:jc w:val="left"/>
              <w:rPr>
                <w:lang w:val="en-GB"/>
              </w:rPr>
            </w:pPr>
            <w:r>
              <w:rPr>
                <w:lang w:val="en-GB"/>
              </w:rPr>
              <w:t>1</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FAE466" w14:textId="77777777" w:rsidR="00ED0E85" w:rsidRDefault="00ED0E85" w:rsidP="00ED0E85">
            <w:pPr>
              <w:pStyle w:val="TableDataEntries"/>
              <w:rPr>
                <w:lang w:val="en-GB"/>
              </w:rPr>
            </w:pPr>
            <w:r>
              <w:rPr>
                <w:lang w:val="en-GB"/>
              </w:rPr>
              <w:t xml:space="preserve"> 10.6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190EB8"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5697BD"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0800E7"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17968E"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F78A26" w14:textId="77777777" w:rsidR="00ED0E85" w:rsidRDefault="00ED0E85" w:rsidP="00ED0E85">
            <w:pPr>
              <w:pStyle w:val="TableDataEntries"/>
              <w:rPr>
                <w:lang w:val="en-GB"/>
              </w:rPr>
            </w:pPr>
            <w:r>
              <w:rPr>
                <w:lang w:val="en-GB"/>
              </w:rPr>
              <w:t xml:space="preserve"> 1.8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7B8EFF"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29B982"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BE8725" w14:textId="77777777" w:rsidR="00ED0E85" w:rsidRDefault="00ED0E85" w:rsidP="00ED0E85">
            <w:pPr>
              <w:pStyle w:val="TableDataEntries"/>
              <w:rPr>
                <w:lang w:val="en-GB"/>
              </w:rPr>
            </w:pPr>
            <w:r>
              <w:rPr>
                <w:lang w:val="en-GB"/>
              </w:rPr>
              <w:t xml:space="preserve"> 0.0</w:t>
            </w:r>
          </w:p>
        </w:tc>
      </w:tr>
      <w:tr w:rsidR="00ED0E85" w14:paraId="3DB98355"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525F7C" w14:textId="77777777" w:rsidR="00ED0E85" w:rsidRDefault="00ED0E85" w:rsidP="00ED0E85">
            <w:pPr>
              <w:pStyle w:val="TableDataEntries"/>
              <w:jc w:val="left"/>
              <w:rPr>
                <w:lang w:val="en-GB"/>
              </w:rPr>
            </w:pPr>
            <w:r>
              <w:rPr>
                <w:lang w:val="en-GB"/>
              </w:rPr>
              <w:t>1.5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25FE06" w14:textId="77777777" w:rsidR="00ED0E85" w:rsidRDefault="00ED0E85" w:rsidP="00ED0E85">
            <w:pPr>
              <w:pStyle w:val="TableDataEntries"/>
              <w:rPr>
                <w:lang w:val="en-GB"/>
              </w:rPr>
            </w:pPr>
            <w:r>
              <w:rPr>
                <w:lang w:val="en-GB"/>
              </w:rPr>
              <w:t xml:space="preserve"> 10.8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8F0E42"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22F143" w14:textId="77777777" w:rsidR="00ED0E85" w:rsidRDefault="00ED0E85" w:rsidP="00ED0E85">
            <w:pPr>
              <w:pStyle w:val="TableDataEntries"/>
              <w:rPr>
                <w:lang w:val="en-GB"/>
              </w:rPr>
            </w:pPr>
            <w:r>
              <w:rPr>
                <w:lang w:val="en-GB"/>
              </w:rPr>
              <w:t xml:space="preserve"> 2.3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8E77C6" w14:textId="77777777" w:rsidR="00ED0E85" w:rsidRDefault="00ED0E85" w:rsidP="00ED0E85">
            <w:pPr>
              <w:pStyle w:val="TableDataEntries"/>
              <w:rPr>
                <w:lang w:val="en-GB"/>
              </w:rPr>
            </w:pPr>
            <w:r>
              <w:rPr>
                <w:lang w:val="en-GB"/>
              </w:rPr>
              <w:t xml:space="preserve"> 21.3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95B801"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C0C65E" w14:textId="77777777" w:rsidR="00ED0E85" w:rsidRDefault="00ED0E85" w:rsidP="00ED0E85">
            <w:pPr>
              <w:pStyle w:val="TableDataEntries"/>
              <w:rPr>
                <w:lang w:val="en-GB"/>
              </w:rPr>
            </w:pPr>
            <w:r>
              <w:rPr>
                <w:lang w:val="en-GB"/>
              </w:rPr>
              <w:t xml:space="preserve"> 1.5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86F357" w14:textId="77777777" w:rsidR="00ED0E85" w:rsidRDefault="00ED0E85" w:rsidP="00ED0E85">
            <w:pPr>
              <w:pStyle w:val="TableDataEntries"/>
              <w:rPr>
                <w:lang w:val="en-GB"/>
              </w:rPr>
            </w:pPr>
            <w:r>
              <w:rPr>
                <w:lang w:val="en-GB"/>
              </w:rPr>
              <w:t xml:space="preserve"> 3.5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323FBA" w14:textId="77777777" w:rsidR="00ED0E85" w:rsidRDefault="00ED0E85" w:rsidP="00ED0E85">
            <w:pPr>
              <w:pStyle w:val="TableDataEntries"/>
              <w:rPr>
                <w:lang w:val="en-GB"/>
              </w:rPr>
            </w:pPr>
            <w:r>
              <w:rPr>
                <w:lang w:val="en-GB"/>
              </w:rPr>
              <w:t xml:space="preserve"> 7.4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C3845B" w14:textId="77777777" w:rsidR="00ED0E85" w:rsidRDefault="00ED0E85" w:rsidP="00ED0E85">
            <w:pPr>
              <w:pStyle w:val="TableDataEntries"/>
              <w:rPr>
                <w:lang w:val="en-GB"/>
              </w:rPr>
            </w:pPr>
            <w:r>
              <w:rPr>
                <w:lang w:val="en-GB"/>
              </w:rPr>
              <w:t xml:space="preserve"> 3.9</w:t>
            </w:r>
          </w:p>
        </w:tc>
      </w:tr>
      <w:tr w:rsidR="00ED0E85" w14:paraId="50120E93"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F0196A" w14:textId="77777777" w:rsidR="00ED0E85" w:rsidRDefault="00ED0E85" w:rsidP="00ED0E85">
            <w:pPr>
              <w:pStyle w:val="TableDataEntries"/>
              <w:jc w:val="left"/>
              <w:rPr>
                <w:lang w:val="en-GB"/>
              </w:rPr>
            </w:pPr>
            <w:r>
              <w:rPr>
                <w:lang w:val="en-GB"/>
              </w:rPr>
              <w:t>2</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0BC090" w14:textId="77777777" w:rsidR="00ED0E85" w:rsidRDefault="00ED0E85" w:rsidP="00ED0E85">
            <w:pPr>
              <w:pStyle w:val="TableDataEntries"/>
              <w:rPr>
                <w:lang w:val="en-GB"/>
              </w:rPr>
            </w:pPr>
            <w:r>
              <w:rPr>
                <w:lang w:val="en-GB"/>
              </w:rPr>
              <w:t xml:space="preserve"> 13.2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E731F8" w14:textId="77777777" w:rsidR="00ED0E85" w:rsidRDefault="00ED0E85" w:rsidP="00ED0E85">
            <w:pPr>
              <w:pStyle w:val="TableDataEntries"/>
              <w:rPr>
                <w:lang w:val="en-GB"/>
              </w:rPr>
            </w:pPr>
            <w:r>
              <w:rPr>
                <w:lang w:val="en-GB"/>
              </w:rPr>
              <w:t xml:space="preserve"> 17.9</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74F93F"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8AACFE" w14:textId="77777777" w:rsidR="00ED0E85" w:rsidRDefault="00ED0E85" w:rsidP="00ED0E85">
            <w:pPr>
              <w:pStyle w:val="TableDataEntries"/>
              <w:rPr>
                <w:lang w:val="en-GB"/>
              </w:rPr>
            </w:pPr>
            <w:r>
              <w:rPr>
                <w:lang w:val="en-GB"/>
              </w:rPr>
              <w:t xml:space="preserve"> 10.3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1B7494"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53FF3E"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73F78B" w14:textId="77777777" w:rsidR="00ED0E85" w:rsidRDefault="00ED0E85" w:rsidP="00ED0E85">
            <w:pPr>
              <w:pStyle w:val="TableDataEntries"/>
              <w:rPr>
                <w:lang w:val="en-GB"/>
              </w:rPr>
            </w:pPr>
            <w:r>
              <w:rPr>
                <w:lang w:val="en-GB"/>
              </w:rPr>
              <w:t xml:space="preserve"> 5.2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EC5974" w14:textId="77777777" w:rsidR="00ED0E85" w:rsidRDefault="00ED0E85" w:rsidP="00ED0E85">
            <w:pPr>
              <w:pStyle w:val="TableDataEntries"/>
              <w:rPr>
                <w:lang w:val="en-GB"/>
              </w:rPr>
            </w:pPr>
            <w:r>
              <w:rPr>
                <w:lang w:val="en-GB"/>
              </w:rPr>
              <w:t xml:space="preserve"> 1.7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307555" w14:textId="77777777" w:rsidR="00ED0E85" w:rsidRDefault="00ED0E85" w:rsidP="00ED0E85">
            <w:pPr>
              <w:pStyle w:val="TableDataEntries"/>
              <w:rPr>
                <w:lang w:val="en-GB"/>
              </w:rPr>
            </w:pPr>
            <w:r>
              <w:rPr>
                <w:lang w:val="en-GB"/>
              </w:rPr>
              <w:t xml:space="preserve"> 2.9</w:t>
            </w:r>
          </w:p>
        </w:tc>
      </w:tr>
      <w:tr w:rsidR="00ED0E85" w14:paraId="5B568862"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C60F4B" w14:textId="77777777" w:rsidR="00ED0E85" w:rsidRDefault="00ED0E85" w:rsidP="00ED0E85">
            <w:pPr>
              <w:pStyle w:val="TableDataEntries"/>
              <w:jc w:val="left"/>
              <w:rPr>
                <w:lang w:val="en-GB"/>
              </w:rPr>
            </w:pPr>
            <w:r>
              <w:rPr>
                <w:lang w:val="en-GB"/>
              </w:rPr>
              <w:t>2.5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458DAE" w14:textId="77777777" w:rsidR="00ED0E85" w:rsidRDefault="00ED0E85" w:rsidP="00ED0E85">
            <w:pPr>
              <w:pStyle w:val="TableDataEntries"/>
              <w:rPr>
                <w:lang w:val="en-GB"/>
              </w:rPr>
            </w:pPr>
            <w:r>
              <w:rPr>
                <w:lang w:val="en-GB"/>
              </w:rPr>
              <w:t xml:space="preserve"> 7.5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593975" w14:textId="77777777" w:rsidR="00ED0E85" w:rsidRDefault="00ED0E85" w:rsidP="00ED0E85">
            <w:pPr>
              <w:pStyle w:val="TableDataEntries"/>
              <w:rPr>
                <w:lang w:val="en-GB"/>
              </w:rPr>
            </w:pPr>
            <w:r>
              <w:rPr>
                <w:lang w:val="en-GB"/>
              </w:rPr>
              <w:t xml:space="preserve"> 7.4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FE10E6"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DB27C4" w14:textId="77777777" w:rsidR="00ED0E85" w:rsidRDefault="00ED0E85" w:rsidP="00ED0E85">
            <w:pPr>
              <w:pStyle w:val="TableDataEntries"/>
              <w:rPr>
                <w:lang w:val="en-GB"/>
              </w:rPr>
            </w:pPr>
            <w:r>
              <w:rPr>
                <w:lang w:val="en-GB"/>
              </w:rPr>
              <w:t xml:space="preserve"> 2.2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91465E"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457EE2" w14:textId="77777777" w:rsidR="00ED0E85" w:rsidRDefault="00ED0E85" w:rsidP="00ED0E85">
            <w:pPr>
              <w:pStyle w:val="TableDataEntries"/>
              <w:rPr>
                <w:lang w:val="en-GB"/>
              </w:rPr>
            </w:pPr>
            <w:r>
              <w:rPr>
                <w:lang w:val="en-GB"/>
              </w:rPr>
              <w:t xml:space="preserve"> 1.9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216BF4"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377743" w14:textId="77777777" w:rsidR="00ED0E85" w:rsidRDefault="00ED0E85" w:rsidP="00ED0E85">
            <w:pPr>
              <w:pStyle w:val="TableDataEntries"/>
              <w:rPr>
                <w:lang w:val="en-GB"/>
              </w:rPr>
            </w:pPr>
            <w:r>
              <w:rPr>
                <w:lang w:val="en-GB"/>
              </w:rPr>
              <w:t xml:space="preserve"> 36.8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E7167D" w14:textId="77777777" w:rsidR="00ED0E85" w:rsidRDefault="00ED0E85" w:rsidP="00ED0E85">
            <w:pPr>
              <w:pStyle w:val="TableDataEntries"/>
              <w:rPr>
                <w:lang w:val="en-GB"/>
              </w:rPr>
            </w:pPr>
            <w:r>
              <w:rPr>
                <w:lang w:val="en-GB"/>
              </w:rPr>
              <w:t xml:space="preserve"> 3.3</w:t>
            </w:r>
          </w:p>
        </w:tc>
      </w:tr>
      <w:tr w:rsidR="00ED0E85" w14:paraId="5C456060"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BB02AD" w14:textId="77777777" w:rsidR="00ED0E85" w:rsidRDefault="00ED0E85" w:rsidP="00ED0E85">
            <w:pPr>
              <w:pStyle w:val="TableDataEntries"/>
              <w:jc w:val="left"/>
              <w:rPr>
                <w:lang w:val="en-GB"/>
              </w:rPr>
            </w:pPr>
            <w:r>
              <w:rPr>
                <w:lang w:val="en-GB"/>
              </w:rPr>
              <w:t>3</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626FFB" w14:textId="77777777" w:rsidR="00ED0E85" w:rsidRDefault="00ED0E85" w:rsidP="00ED0E85">
            <w:pPr>
              <w:pStyle w:val="TableDataEntries"/>
              <w:rPr>
                <w:lang w:val="en-GB"/>
              </w:rPr>
            </w:pPr>
            <w:r>
              <w:rPr>
                <w:lang w:val="en-GB"/>
              </w:rPr>
              <w:t xml:space="preserve"> 11.0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6EAE73" w14:textId="77777777" w:rsidR="00ED0E85" w:rsidRDefault="00ED0E85" w:rsidP="00ED0E85">
            <w:pPr>
              <w:pStyle w:val="TableDataEntries"/>
              <w:rPr>
                <w:lang w:val="en-GB"/>
              </w:rPr>
            </w:pPr>
            <w:r>
              <w:rPr>
                <w:lang w:val="en-GB"/>
              </w:rPr>
              <w:t xml:space="preserve"> 9.1</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274971"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3961D2"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6A931A" w14:textId="77777777" w:rsidR="00ED0E85" w:rsidRDefault="00ED0E85" w:rsidP="00ED0E85">
            <w:pPr>
              <w:pStyle w:val="TableDataEntries"/>
              <w:rPr>
                <w:lang w:val="en-GB"/>
              </w:rPr>
            </w:pPr>
            <w:r>
              <w:rPr>
                <w:lang w:val="en-GB"/>
              </w:rPr>
              <w:t xml:space="preserve"> 1.4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9A0FCE" w14:textId="77777777" w:rsidR="00ED0E85" w:rsidRDefault="00ED0E85" w:rsidP="00ED0E85">
            <w:pPr>
              <w:pStyle w:val="TableDataEntries"/>
              <w:rPr>
                <w:lang w:val="en-GB"/>
              </w:rPr>
            </w:pPr>
            <w:r>
              <w:rPr>
                <w:lang w:val="en-GB"/>
              </w:rPr>
              <w:t xml:space="preserve"> 36.6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5D36FE" w14:textId="77777777" w:rsidR="00ED0E85" w:rsidRDefault="00ED0E85" w:rsidP="00ED0E85">
            <w:pPr>
              <w:pStyle w:val="TableDataEntries"/>
              <w:rPr>
                <w:lang w:val="en-GB"/>
              </w:rPr>
            </w:pPr>
            <w:r>
              <w:rPr>
                <w:lang w:val="en-GB"/>
              </w:rPr>
              <w:t xml:space="preserve"> 30.2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136A24" w14:textId="77777777" w:rsidR="00ED0E85" w:rsidRDefault="00ED0E85" w:rsidP="00ED0E85">
            <w:pPr>
              <w:pStyle w:val="TableDataEntries"/>
              <w:rPr>
                <w:lang w:val="en-GB"/>
              </w:rPr>
            </w:pPr>
            <w:r>
              <w:rPr>
                <w:lang w:val="en-GB"/>
              </w:rPr>
              <w:t xml:space="preserve"> 11.0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DBC5EF" w14:textId="77777777" w:rsidR="00ED0E85" w:rsidRDefault="00ED0E85" w:rsidP="00ED0E85">
            <w:pPr>
              <w:pStyle w:val="TableDataEntries"/>
              <w:rPr>
                <w:lang w:val="en-GB"/>
              </w:rPr>
            </w:pPr>
            <w:r>
              <w:rPr>
                <w:lang w:val="en-GB"/>
              </w:rPr>
              <w:t xml:space="preserve"> 0.0</w:t>
            </w:r>
          </w:p>
        </w:tc>
      </w:tr>
      <w:tr w:rsidR="00ED0E85" w14:paraId="213BC32C"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8F3B22" w14:textId="77777777" w:rsidR="00ED0E85" w:rsidRDefault="00ED0E85" w:rsidP="00ED0E85">
            <w:pPr>
              <w:pStyle w:val="TableDataEntries"/>
              <w:jc w:val="left"/>
              <w:rPr>
                <w:lang w:val="en-GB"/>
              </w:rPr>
            </w:pPr>
            <w:r>
              <w:rPr>
                <w:lang w:val="en-GB"/>
              </w:rPr>
              <w:t>3.5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DC75A5" w14:textId="77777777" w:rsidR="00ED0E85" w:rsidRDefault="00ED0E85" w:rsidP="00ED0E85">
            <w:pPr>
              <w:pStyle w:val="TableDataEntries"/>
              <w:rPr>
                <w:lang w:val="en-GB"/>
              </w:rPr>
            </w:pPr>
            <w:r>
              <w:rPr>
                <w:lang w:val="en-GB"/>
              </w:rPr>
              <w:t xml:space="preserve"> 24.1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9A232B" w14:textId="77777777" w:rsidR="00ED0E85" w:rsidRDefault="00ED0E85" w:rsidP="00ED0E85">
            <w:pPr>
              <w:pStyle w:val="TableDataEntries"/>
              <w:rPr>
                <w:lang w:val="en-GB"/>
              </w:rPr>
            </w:pPr>
            <w:r>
              <w:rPr>
                <w:lang w:val="en-GB"/>
              </w:rPr>
              <w:t xml:space="preserve"> 7.0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43F57F" w14:textId="77777777" w:rsidR="00ED0E85" w:rsidRDefault="00ED0E85" w:rsidP="00ED0E85">
            <w:pPr>
              <w:pStyle w:val="TableDataEntries"/>
              <w:rPr>
                <w:lang w:val="en-GB"/>
              </w:rPr>
            </w:pPr>
            <w:r>
              <w:rPr>
                <w:lang w:val="en-GB"/>
              </w:rPr>
              <w:t xml:space="preserve"> 2.1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2DF0E9" w14:textId="77777777" w:rsidR="00ED0E85" w:rsidRDefault="00ED0E85" w:rsidP="00ED0E85">
            <w:pPr>
              <w:pStyle w:val="TableDataEntries"/>
              <w:rPr>
                <w:lang w:val="en-GB"/>
              </w:rPr>
            </w:pPr>
            <w:r>
              <w:rPr>
                <w:lang w:val="en-GB"/>
              </w:rPr>
              <w:t xml:space="preserve"> 8.4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800A70" w14:textId="77777777" w:rsidR="00ED0E85" w:rsidRDefault="00ED0E85" w:rsidP="00ED0E85">
            <w:pPr>
              <w:pStyle w:val="TableDataEntries"/>
              <w:rPr>
                <w:lang w:val="en-GB"/>
              </w:rPr>
            </w:pPr>
            <w:r>
              <w:rPr>
                <w:lang w:val="en-GB"/>
              </w:rPr>
              <w:t xml:space="preserve"> 7.4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1D44D3"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E64033" w14:textId="77777777" w:rsidR="00ED0E85" w:rsidRDefault="00ED0E85" w:rsidP="00ED0E85">
            <w:pPr>
              <w:pStyle w:val="TableDataEntries"/>
              <w:rPr>
                <w:lang w:val="en-GB"/>
              </w:rPr>
            </w:pPr>
            <w:r>
              <w:rPr>
                <w:lang w:val="en-GB"/>
              </w:rPr>
              <w:t xml:space="preserve"> 61.2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39AD95"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C50ACB" w14:textId="77777777" w:rsidR="00ED0E85" w:rsidRDefault="00ED0E85" w:rsidP="00ED0E85">
            <w:pPr>
              <w:pStyle w:val="TableDataEntries"/>
              <w:rPr>
                <w:lang w:val="en-GB"/>
              </w:rPr>
            </w:pPr>
            <w:r>
              <w:rPr>
                <w:lang w:val="en-GB"/>
              </w:rPr>
              <w:t xml:space="preserve"> 3.0</w:t>
            </w:r>
          </w:p>
        </w:tc>
      </w:tr>
      <w:tr w:rsidR="00ED0E85" w14:paraId="7998EDFD"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BB3605" w14:textId="77777777" w:rsidR="00ED0E85" w:rsidRDefault="00ED0E85" w:rsidP="00ED0E85">
            <w:pPr>
              <w:pStyle w:val="TableDataEntries"/>
              <w:jc w:val="left"/>
              <w:rPr>
                <w:lang w:val="en-GB"/>
              </w:rPr>
            </w:pPr>
            <w:r>
              <w:rPr>
                <w:lang w:val="en-GB"/>
              </w:rPr>
              <w:t>4</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1418CA" w14:textId="77777777" w:rsidR="00ED0E85" w:rsidRDefault="00ED0E85" w:rsidP="00ED0E85">
            <w:pPr>
              <w:pStyle w:val="TableDataEntries"/>
              <w:rPr>
                <w:lang w:val="en-GB"/>
              </w:rPr>
            </w:pPr>
            <w:r>
              <w:rPr>
                <w:lang w:val="en-GB"/>
              </w:rPr>
              <w:t xml:space="preserve"> 15.1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07AEFC" w14:textId="77777777" w:rsidR="00ED0E85" w:rsidRDefault="00ED0E85" w:rsidP="00ED0E85">
            <w:pPr>
              <w:pStyle w:val="TableDataEntries"/>
              <w:rPr>
                <w:lang w:val="en-GB"/>
              </w:rPr>
            </w:pPr>
            <w:r>
              <w:rPr>
                <w:lang w:val="en-GB"/>
              </w:rPr>
              <w:t xml:space="preserve"> 21.9</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D0DCD4" w14:textId="77777777" w:rsidR="00ED0E85" w:rsidRDefault="00ED0E85" w:rsidP="00ED0E85">
            <w:pPr>
              <w:pStyle w:val="TableDataEntries"/>
              <w:rPr>
                <w:lang w:val="en-GB"/>
              </w:rPr>
            </w:pPr>
            <w:r>
              <w:rPr>
                <w:lang w:val="en-GB"/>
              </w:rPr>
              <w:t xml:space="preserve"> 7.6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B47E6B" w14:textId="77777777" w:rsidR="00ED0E85" w:rsidRDefault="00ED0E85" w:rsidP="00ED0E85">
            <w:pPr>
              <w:pStyle w:val="TableDataEntries"/>
              <w:rPr>
                <w:lang w:val="en-GB"/>
              </w:rPr>
            </w:pPr>
            <w:r>
              <w:rPr>
                <w:lang w:val="en-GB"/>
              </w:rPr>
              <w:t xml:space="preserve"> 10.8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629AB3"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D597F9" w14:textId="77777777" w:rsidR="00ED0E85" w:rsidRDefault="00ED0E85" w:rsidP="00ED0E85">
            <w:pPr>
              <w:pStyle w:val="TableDataEntries"/>
              <w:rPr>
                <w:lang w:val="en-GB"/>
              </w:rPr>
            </w:pPr>
            <w:r>
              <w:rPr>
                <w:lang w:val="en-GB"/>
              </w:rPr>
              <w:t xml:space="preserve"> 22.3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340838"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2C213C" w14:textId="77777777" w:rsidR="00ED0E85" w:rsidRDefault="00ED0E85" w:rsidP="00ED0E85">
            <w:pPr>
              <w:pStyle w:val="TableDataEntries"/>
              <w:rPr>
                <w:lang w:val="en-GB"/>
              </w:rPr>
            </w:pPr>
            <w:r>
              <w:rPr>
                <w:lang w:val="en-GB"/>
              </w:rPr>
              <w:t xml:space="preserve"> 35.3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03F347" w14:textId="77777777" w:rsidR="00ED0E85" w:rsidRDefault="00ED0E85" w:rsidP="00ED0E85">
            <w:pPr>
              <w:pStyle w:val="TableDataEntries"/>
              <w:rPr>
                <w:lang w:val="en-GB"/>
              </w:rPr>
            </w:pPr>
            <w:r>
              <w:rPr>
                <w:lang w:val="en-GB"/>
              </w:rPr>
              <w:t xml:space="preserve"> 1.0</w:t>
            </w:r>
          </w:p>
        </w:tc>
      </w:tr>
      <w:tr w:rsidR="00ED0E85" w14:paraId="42AE872D"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EF0535" w14:textId="77777777" w:rsidR="00ED0E85" w:rsidRDefault="00ED0E85" w:rsidP="00ED0E85">
            <w:pPr>
              <w:pStyle w:val="TableDataEntries"/>
              <w:jc w:val="left"/>
              <w:rPr>
                <w:lang w:val="en-GB"/>
              </w:rPr>
            </w:pPr>
            <w:r>
              <w:rPr>
                <w:lang w:val="en-GB"/>
              </w:rPr>
              <w:t>4.5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A7BDA9" w14:textId="77777777" w:rsidR="00ED0E85" w:rsidRDefault="00ED0E85" w:rsidP="00ED0E85">
            <w:pPr>
              <w:pStyle w:val="TableDataEntries"/>
              <w:rPr>
                <w:lang w:val="en-GB"/>
              </w:rPr>
            </w:pPr>
            <w:r>
              <w:rPr>
                <w:lang w:val="en-GB"/>
              </w:rPr>
              <w:t xml:space="preserve"> 94.8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23DC87" w14:textId="77777777" w:rsidR="00ED0E85" w:rsidRDefault="00ED0E85" w:rsidP="00ED0E85">
            <w:pPr>
              <w:pStyle w:val="TableDataEntries"/>
              <w:rPr>
                <w:lang w:val="en-GB"/>
              </w:rPr>
            </w:pPr>
            <w:r>
              <w:rPr>
                <w:lang w:val="en-GB"/>
              </w:rPr>
              <w:t xml:space="preserve"> 22.8</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D0029B" w14:textId="77777777" w:rsidR="00ED0E85" w:rsidRDefault="00ED0E85" w:rsidP="00ED0E85">
            <w:pPr>
              <w:pStyle w:val="TableDataEntries"/>
              <w:rPr>
                <w:lang w:val="en-GB"/>
              </w:rPr>
            </w:pPr>
            <w:r>
              <w:rPr>
                <w:lang w:val="en-GB"/>
              </w:rPr>
              <w:t xml:space="preserve"> 73.1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00CCCC" w14:textId="77777777" w:rsidR="00ED0E85" w:rsidRDefault="00ED0E85" w:rsidP="00ED0E85">
            <w:pPr>
              <w:pStyle w:val="TableDataEntries"/>
              <w:rPr>
                <w:lang w:val="en-GB"/>
              </w:rPr>
            </w:pPr>
            <w:r>
              <w:rPr>
                <w:lang w:val="en-GB"/>
              </w:rPr>
              <w:t xml:space="preserve"> 26.1</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BD9BCE" w14:textId="77777777" w:rsidR="00ED0E85" w:rsidRDefault="00ED0E85" w:rsidP="00ED0E85">
            <w:pPr>
              <w:pStyle w:val="TableDataEntries"/>
              <w:rPr>
                <w:lang w:val="en-GB"/>
              </w:rPr>
            </w:pPr>
            <w:r>
              <w:rPr>
                <w:lang w:val="en-GB"/>
              </w:rPr>
              <w:t xml:space="preserve"> 44.0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0F04AD" w14:textId="77777777" w:rsidR="00ED0E85" w:rsidRDefault="00ED0E85" w:rsidP="00ED0E85">
            <w:pPr>
              <w:pStyle w:val="TableDataEntries"/>
              <w:rPr>
                <w:lang w:val="en-GB"/>
              </w:rPr>
            </w:pPr>
            <w:r>
              <w:rPr>
                <w:lang w:val="en-GB"/>
              </w:rPr>
              <w:t xml:space="preserve"> 7.8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334EB1" w14:textId="77777777" w:rsidR="00ED0E85" w:rsidRDefault="00ED0E85" w:rsidP="00ED0E85">
            <w:pPr>
              <w:pStyle w:val="TableDataEntries"/>
              <w:rPr>
                <w:lang w:val="en-GB"/>
              </w:rPr>
            </w:pPr>
            <w:r>
              <w:rPr>
                <w:lang w:val="en-GB"/>
              </w:rPr>
              <w:t xml:space="preserve"> 16.7</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5EC114" w14:textId="77777777" w:rsidR="00ED0E85" w:rsidRDefault="00ED0E85" w:rsidP="00ED0E85">
            <w:pPr>
              <w:pStyle w:val="TableDataEntries"/>
              <w:rPr>
                <w:lang w:val="en-GB"/>
              </w:rPr>
            </w:pPr>
            <w:r>
              <w:rPr>
                <w:lang w:val="en-GB"/>
              </w:rPr>
              <w:t xml:space="preserve"> 25.0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2201DE" w14:textId="77777777" w:rsidR="00ED0E85" w:rsidRDefault="00ED0E85" w:rsidP="00ED0E85">
            <w:pPr>
              <w:pStyle w:val="TableDataEntries"/>
              <w:rPr>
                <w:lang w:val="en-GB"/>
              </w:rPr>
            </w:pPr>
            <w:r>
              <w:rPr>
                <w:lang w:val="en-GB"/>
              </w:rPr>
              <w:t xml:space="preserve"> 12.0</w:t>
            </w:r>
          </w:p>
        </w:tc>
      </w:tr>
      <w:tr w:rsidR="00ED0E85" w14:paraId="7013BE9F"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84A7E8" w14:textId="77777777" w:rsidR="00ED0E85" w:rsidRDefault="00ED0E85" w:rsidP="00ED0E85">
            <w:pPr>
              <w:pStyle w:val="TableDataEntries"/>
              <w:jc w:val="left"/>
              <w:rPr>
                <w:lang w:val="en-GB"/>
              </w:rPr>
            </w:pPr>
            <w:r>
              <w:rPr>
                <w:lang w:val="en-GB"/>
              </w:rPr>
              <w:t>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2A51F6" w14:textId="77777777" w:rsidR="00ED0E85" w:rsidRDefault="00ED0E85" w:rsidP="00ED0E85">
            <w:pPr>
              <w:pStyle w:val="TableDataEntries"/>
              <w:rPr>
                <w:lang w:val="en-GB"/>
              </w:rPr>
            </w:pPr>
            <w:r>
              <w:rPr>
                <w:lang w:val="en-GB"/>
              </w:rPr>
              <w:t xml:space="preserve"> 11.5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972CAD" w14:textId="77777777" w:rsidR="00ED0E85" w:rsidRDefault="00ED0E85" w:rsidP="00ED0E85">
            <w:pPr>
              <w:pStyle w:val="TableDataEntries"/>
              <w:rPr>
                <w:lang w:val="en-GB"/>
              </w:rPr>
            </w:pPr>
            <w:r>
              <w:rPr>
                <w:lang w:val="en-GB"/>
              </w:rPr>
              <w:t xml:space="preserve"> 7.1</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99A850"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DAD923" w14:textId="77777777" w:rsidR="00ED0E85" w:rsidRDefault="00ED0E85" w:rsidP="00ED0E85">
            <w:pPr>
              <w:pStyle w:val="TableDataEntries"/>
              <w:rPr>
                <w:lang w:val="en-GB"/>
              </w:rPr>
            </w:pPr>
            <w:r>
              <w:rPr>
                <w:lang w:val="en-GB"/>
              </w:rPr>
              <w:t xml:space="preserve"> 54.7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C8BF8C" w14:textId="77777777" w:rsidR="00ED0E85" w:rsidRDefault="00ED0E85" w:rsidP="00ED0E85">
            <w:pPr>
              <w:pStyle w:val="TableDataEntries"/>
              <w:rPr>
                <w:lang w:val="en-GB"/>
              </w:rPr>
            </w:pPr>
            <w:r>
              <w:rPr>
                <w:lang w:val="en-GB"/>
              </w:rPr>
              <w:t xml:space="preserve"> 28.8</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6941AA" w14:textId="77777777" w:rsidR="00ED0E85" w:rsidRDefault="00ED0E85" w:rsidP="00ED0E85">
            <w:pPr>
              <w:pStyle w:val="TableDataEntries"/>
              <w:rPr>
                <w:lang w:val="en-GB"/>
              </w:rPr>
            </w:pPr>
            <w:r>
              <w:rPr>
                <w:lang w:val="en-GB"/>
              </w:rPr>
              <w:t xml:space="preserve"> 21.5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08EE81" w14:textId="77777777" w:rsidR="00ED0E85" w:rsidRDefault="00ED0E85" w:rsidP="00ED0E85">
            <w:pPr>
              <w:pStyle w:val="TableDataEntries"/>
              <w:rPr>
                <w:lang w:val="en-GB"/>
              </w:rPr>
            </w:pPr>
            <w:r>
              <w:rPr>
                <w:lang w:val="en-GB"/>
              </w:rPr>
              <w:t xml:space="preserve"> 14.1</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B272DF" w14:textId="77777777" w:rsidR="00ED0E85" w:rsidRDefault="00ED0E85" w:rsidP="00ED0E85">
            <w:pPr>
              <w:pStyle w:val="TableDataEntries"/>
              <w:rPr>
                <w:lang w:val="en-GB"/>
              </w:rPr>
            </w:pPr>
            <w:r>
              <w:rPr>
                <w:lang w:val="en-GB"/>
              </w:rPr>
              <w:t xml:space="preserve"> 35.2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EDD510" w14:textId="77777777" w:rsidR="00ED0E85" w:rsidRDefault="00ED0E85" w:rsidP="00ED0E85">
            <w:pPr>
              <w:pStyle w:val="TableDataEntries"/>
              <w:rPr>
                <w:lang w:val="en-GB"/>
              </w:rPr>
            </w:pPr>
            <w:r>
              <w:rPr>
                <w:lang w:val="en-GB"/>
              </w:rPr>
              <w:t xml:space="preserve"> 0.0</w:t>
            </w:r>
          </w:p>
        </w:tc>
      </w:tr>
      <w:tr w:rsidR="00ED0E85" w14:paraId="13D448C1"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84C49C" w14:textId="77777777" w:rsidR="00ED0E85" w:rsidRDefault="00ED0E85" w:rsidP="00ED0E85">
            <w:pPr>
              <w:pStyle w:val="TableDataEntries"/>
              <w:jc w:val="left"/>
              <w:rPr>
                <w:lang w:val="en-GB"/>
              </w:rPr>
            </w:pPr>
            <w:r>
              <w:rPr>
                <w:lang w:val="en-GB"/>
              </w:rPr>
              <w:t>5.5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776F69"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F9E7B6" w14:textId="77777777" w:rsidR="00ED0E85" w:rsidRDefault="00ED0E85" w:rsidP="00ED0E85">
            <w:pPr>
              <w:pStyle w:val="TableDataEntries"/>
              <w:rPr>
                <w:lang w:val="en-GB"/>
              </w:rPr>
            </w:pPr>
            <w:r>
              <w:rPr>
                <w:lang w:val="en-GB"/>
              </w:rPr>
              <w:t xml:space="preserve"> 84.2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3AFF6B"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657E97" w14:textId="77777777" w:rsidR="00ED0E85" w:rsidRDefault="00ED0E85" w:rsidP="00ED0E85">
            <w:pPr>
              <w:pStyle w:val="TableDataEntries"/>
              <w:rPr>
                <w:lang w:val="en-GB"/>
              </w:rPr>
            </w:pPr>
            <w:r>
              <w:rPr>
                <w:lang w:val="en-GB"/>
              </w:rPr>
              <w:t xml:space="preserve"> 6.9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B65512"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EA9B2A"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4F450B"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1885F9"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D8662C" w14:textId="77777777" w:rsidR="00ED0E85" w:rsidRDefault="00ED0E85" w:rsidP="00ED0E85">
            <w:pPr>
              <w:pStyle w:val="TableDataEntries"/>
              <w:rPr>
                <w:lang w:val="en-GB"/>
              </w:rPr>
            </w:pPr>
            <w:r>
              <w:rPr>
                <w:lang w:val="en-GB"/>
              </w:rPr>
              <w:t xml:space="preserve"> 0.0</w:t>
            </w:r>
          </w:p>
        </w:tc>
      </w:tr>
      <w:tr w:rsidR="00ED0E85" w14:paraId="7C41710A"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F7D261" w14:textId="77777777" w:rsidR="00ED0E85" w:rsidRDefault="00ED0E85" w:rsidP="00ED0E85">
            <w:pPr>
              <w:pStyle w:val="TableDataEntries"/>
              <w:jc w:val="left"/>
              <w:rPr>
                <w:lang w:val="en-GB"/>
              </w:rPr>
            </w:pPr>
            <w:r>
              <w:rPr>
                <w:lang w:val="en-GB"/>
              </w:rPr>
              <w:t>6</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4EAAE8"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FF4DB1"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5436BF"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C5271C"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7A4266"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522C1B"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72D4C3"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590538"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2A2104" w14:textId="77777777" w:rsidR="00ED0E85" w:rsidRDefault="00ED0E85" w:rsidP="00ED0E85">
            <w:pPr>
              <w:pStyle w:val="TableDataEntries"/>
              <w:rPr>
                <w:lang w:val="en-GB"/>
              </w:rPr>
            </w:pPr>
            <w:r>
              <w:rPr>
                <w:lang w:val="en-GB"/>
              </w:rPr>
              <w:t xml:space="preserve"> 0.0</w:t>
            </w:r>
          </w:p>
        </w:tc>
      </w:tr>
      <w:tr w:rsidR="001540E1" w:rsidRPr="001540E1" w14:paraId="686B8229"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9A7D9F" w14:textId="77777777" w:rsidR="00ED0E85" w:rsidRPr="001540E1" w:rsidRDefault="00ED0E85" w:rsidP="00ED0E85">
            <w:pPr>
              <w:pStyle w:val="TableDataEntries"/>
              <w:jc w:val="left"/>
              <w:rPr>
                <w:rFonts w:ascii="Franklin Gothic Demi" w:hAnsi="Franklin Gothic Demi"/>
                <w:lang w:val="en-GB"/>
              </w:rPr>
            </w:pPr>
            <w:r w:rsidRPr="001540E1">
              <w:rPr>
                <w:rFonts w:ascii="Franklin Gothic Demi" w:hAnsi="Franklin Gothic Demi"/>
                <w:lang w:val="en-GB"/>
              </w:rPr>
              <w:t>Total</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D239AB"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210.9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FB272C"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196.2</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1A727D"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95.7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A70565"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140.8</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86C151"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94.3</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B32128"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95.4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0BE87B"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132.5</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E26E34"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153.4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AAB196"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26.0</w:t>
            </w:r>
          </w:p>
        </w:tc>
      </w:tr>
      <w:tr w:rsidR="00ED0E85" w14:paraId="155AC553"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F6D4159" w14:textId="77777777" w:rsidR="00ED0E85" w:rsidRDefault="00ED0E85" w:rsidP="00ED0E85">
            <w:pPr>
              <w:pStyle w:val="TableHeading1"/>
              <w:rPr>
                <w:lang w:val="en-GB"/>
              </w:rPr>
            </w:pPr>
            <w:r>
              <w:rPr>
                <w:lang w:val="en-GB"/>
              </w:rPr>
              <w:t>NT</w:t>
            </w:r>
          </w:p>
        </w:tc>
        <w:tc>
          <w:tcPr>
            <w:tcW w:w="736"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D70E719"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F5E75FD"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5E11E76"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85A6D83"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027E97E"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6357BBC"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CD8C9E3" w14:textId="77777777" w:rsidR="00ED0E85" w:rsidRDefault="00ED0E85" w:rsidP="00ED0E85">
            <w:pPr>
              <w:pStyle w:val="TableHeading1"/>
              <w:rPr>
                <w:lang w:val="en-GB"/>
              </w:rPr>
            </w:pPr>
          </w:p>
        </w:tc>
        <w:tc>
          <w:tcPr>
            <w:tcW w:w="793"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3C60D91" w14:textId="77777777" w:rsidR="00ED0E85" w:rsidRDefault="00ED0E85" w:rsidP="00ED0E85">
            <w:pPr>
              <w:pStyle w:val="TableHeading1"/>
              <w:rPr>
                <w:lang w:val="en-GB"/>
              </w:rPr>
            </w:pPr>
          </w:p>
        </w:tc>
        <w:tc>
          <w:tcPr>
            <w:tcW w:w="794"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0033026" w14:textId="77777777" w:rsidR="00ED0E85" w:rsidRDefault="00ED0E85" w:rsidP="00ED0E85">
            <w:pPr>
              <w:pStyle w:val="TableHeading1"/>
              <w:rPr>
                <w:lang w:val="en-GB"/>
              </w:rPr>
            </w:pPr>
          </w:p>
        </w:tc>
      </w:tr>
      <w:tr w:rsidR="00ED0E85" w14:paraId="180E0062"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50B860" w14:textId="77777777" w:rsidR="00ED0E85" w:rsidRDefault="00ED0E85" w:rsidP="00ED0E85">
            <w:pPr>
              <w:pStyle w:val="TableDataEntries"/>
              <w:jc w:val="left"/>
              <w:rPr>
                <w:lang w:val="en-GB"/>
              </w:rPr>
            </w:pPr>
            <w:r>
              <w:rPr>
                <w:lang w:val="en-GB"/>
              </w:rPr>
              <w:t>0</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BE1D84" w14:textId="77777777" w:rsidR="00ED0E85" w:rsidRDefault="00ED0E85" w:rsidP="00ED0E85">
            <w:pPr>
              <w:pStyle w:val="TableDataEntries"/>
              <w:rPr>
                <w:lang w:val="en-GB"/>
              </w:rPr>
            </w:pPr>
            <w:r>
              <w:rPr>
                <w:lang w:val="en-GB"/>
              </w:rPr>
              <w:t xml:space="preserve"> 4.0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7F42FF" w14:textId="77777777" w:rsidR="00ED0E85" w:rsidRDefault="00ED0E85" w:rsidP="00ED0E85">
            <w:pPr>
              <w:pStyle w:val="TableDataEntries"/>
              <w:rPr>
                <w:lang w:val="en-GB"/>
              </w:rPr>
            </w:pPr>
            <w:r>
              <w:rPr>
                <w:lang w:val="en-GB"/>
              </w:rPr>
              <w:t xml:space="preserve"> 0.7</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39F5CC"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975FB0"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3EAED7"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C64806"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C5C074"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751DC7" w14:textId="77777777" w:rsidR="00ED0E85" w:rsidRDefault="00ED0E85" w:rsidP="00ED0E85">
            <w:pPr>
              <w:pStyle w:val="TableDataEntries"/>
              <w:rPr>
                <w:lang w:val="en-GB"/>
              </w:rPr>
            </w:pPr>
            <w:r>
              <w:rPr>
                <w:lang w:val="en-GB"/>
              </w:rPr>
              <w:t xml:space="preserve"> 2.6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0403AE" w14:textId="77777777" w:rsidR="00ED0E85" w:rsidRDefault="00ED0E85" w:rsidP="00ED0E85">
            <w:pPr>
              <w:pStyle w:val="TableDataEntries"/>
              <w:rPr>
                <w:lang w:val="en-GB"/>
              </w:rPr>
            </w:pPr>
            <w:r>
              <w:rPr>
                <w:lang w:val="en-GB"/>
              </w:rPr>
              <w:t xml:space="preserve"> 0.0</w:t>
            </w:r>
          </w:p>
        </w:tc>
      </w:tr>
      <w:tr w:rsidR="00ED0E85" w14:paraId="5C2EBFAF"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315EBB" w14:textId="77777777" w:rsidR="00ED0E85" w:rsidRDefault="00ED0E85" w:rsidP="00ED0E85">
            <w:pPr>
              <w:pStyle w:val="TableDataEntries"/>
              <w:jc w:val="left"/>
              <w:rPr>
                <w:lang w:val="en-GB"/>
              </w:rPr>
            </w:pPr>
            <w:r>
              <w:rPr>
                <w:lang w:val="en-GB"/>
              </w:rPr>
              <w:t>1</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0C0F70"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B91DEC" w14:textId="77777777" w:rsidR="00ED0E85" w:rsidRDefault="00ED0E85" w:rsidP="00ED0E85">
            <w:pPr>
              <w:pStyle w:val="TableDataEntries"/>
              <w:rPr>
                <w:lang w:val="en-GB"/>
              </w:rPr>
            </w:pPr>
            <w:r>
              <w:rPr>
                <w:lang w:val="en-GB"/>
              </w:rPr>
              <w:t xml:space="preserve"> 2.1</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BD9F3B"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9272A0"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4435F2"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D66C3D"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034C82"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9AE3BA" w14:textId="77777777" w:rsidR="00ED0E85" w:rsidRDefault="00ED0E85" w:rsidP="00ED0E85">
            <w:pPr>
              <w:pStyle w:val="TableDataEntries"/>
              <w:rPr>
                <w:lang w:val="en-GB"/>
              </w:rPr>
            </w:pPr>
            <w:r>
              <w:rPr>
                <w:lang w:val="en-GB"/>
              </w:rPr>
              <w:t xml:space="preserve"> 1.7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1F41DE" w14:textId="77777777" w:rsidR="00ED0E85" w:rsidRDefault="00ED0E85" w:rsidP="00ED0E85">
            <w:pPr>
              <w:pStyle w:val="TableDataEntries"/>
              <w:rPr>
                <w:lang w:val="en-GB"/>
              </w:rPr>
            </w:pPr>
            <w:r>
              <w:rPr>
                <w:lang w:val="en-GB"/>
              </w:rPr>
              <w:t xml:space="preserve"> 0.0</w:t>
            </w:r>
          </w:p>
        </w:tc>
      </w:tr>
      <w:tr w:rsidR="00ED0E85" w14:paraId="59D5ECED"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7C74D8" w14:textId="77777777" w:rsidR="00ED0E85" w:rsidRDefault="00ED0E85" w:rsidP="00ED0E85">
            <w:pPr>
              <w:pStyle w:val="TableDataEntries"/>
              <w:jc w:val="left"/>
              <w:rPr>
                <w:lang w:val="en-GB"/>
              </w:rPr>
            </w:pPr>
            <w:r>
              <w:rPr>
                <w:lang w:val="en-GB"/>
              </w:rPr>
              <w:t>1.5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9B34E6" w14:textId="77777777" w:rsidR="00ED0E85" w:rsidRDefault="00ED0E85" w:rsidP="00ED0E85">
            <w:pPr>
              <w:pStyle w:val="TableDataEntries"/>
              <w:rPr>
                <w:lang w:val="en-GB"/>
              </w:rPr>
            </w:pPr>
            <w:r>
              <w:rPr>
                <w:lang w:val="en-GB"/>
              </w:rPr>
              <w:t xml:space="preserve"> 1.3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491866"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39C76B"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A3F67E"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33F01B"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8EF55C"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676AB6"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75D355"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39509A" w14:textId="77777777" w:rsidR="00ED0E85" w:rsidRDefault="00ED0E85" w:rsidP="00ED0E85">
            <w:pPr>
              <w:pStyle w:val="TableDataEntries"/>
              <w:rPr>
                <w:lang w:val="en-GB"/>
              </w:rPr>
            </w:pPr>
            <w:r>
              <w:rPr>
                <w:lang w:val="en-GB"/>
              </w:rPr>
              <w:t xml:space="preserve"> 0.0</w:t>
            </w:r>
          </w:p>
        </w:tc>
      </w:tr>
      <w:tr w:rsidR="00ED0E85" w14:paraId="6090A453"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EF16C9" w14:textId="77777777" w:rsidR="00ED0E85" w:rsidRDefault="00ED0E85" w:rsidP="00ED0E85">
            <w:pPr>
              <w:pStyle w:val="TableDataEntries"/>
              <w:jc w:val="left"/>
              <w:rPr>
                <w:lang w:val="en-GB"/>
              </w:rPr>
            </w:pPr>
            <w:r>
              <w:rPr>
                <w:lang w:val="en-GB"/>
              </w:rPr>
              <w:t>2</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4A234B" w14:textId="77777777" w:rsidR="00ED0E85" w:rsidRDefault="00ED0E85" w:rsidP="00ED0E85">
            <w:pPr>
              <w:pStyle w:val="TableDataEntries"/>
              <w:rPr>
                <w:lang w:val="en-GB"/>
              </w:rPr>
            </w:pPr>
            <w:r>
              <w:rPr>
                <w:lang w:val="en-GB"/>
              </w:rPr>
              <w:t xml:space="preserve"> 4.2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38BAE6"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6714C6"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94B64A" w14:textId="77777777" w:rsidR="00ED0E85" w:rsidRDefault="00ED0E85" w:rsidP="00ED0E85">
            <w:pPr>
              <w:pStyle w:val="TableDataEntries"/>
              <w:rPr>
                <w:lang w:val="en-GB"/>
              </w:rPr>
            </w:pPr>
            <w:r>
              <w:rPr>
                <w:lang w:val="en-GB"/>
              </w:rPr>
              <w:t xml:space="preserve"> 2.2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21FDDD"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14DDFA"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949FBB"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C08F98"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5178B5" w14:textId="77777777" w:rsidR="00ED0E85" w:rsidRDefault="00ED0E85" w:rsidP="00ED0E85">
            <w:pPr>
              <w:pStyle w:val="TableDataEntries"/>
              <w:rPr>
                <w:lang w:val="en-GB"/>
              </w:rPr>
            </w:pPr>
            <w:r>
              <w:rPr>
                <w:lang w:val="en-GB"/>
              </w:rPr>
              <w:t xml:space="preserve"> 0.0</w:t>
            </w:r>
          </w:p>
        </w:tc>
      </w:tr>
      <w:tr w:rsidR="00ED0E85" w14:paraId="22248FB7"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FCE590" w14:textId="77777777" w:rsidR="00ED0E85" w:rsidRDefault="00ED0E85" w:rsidP="00ED0E85">
            <w:pPr>
              <w:pStyle w:val="TableDataEntries"/>
              <w:jc w:val="left"/>
              <w:rPr>
                <w:lang w:val="en-GB"/>
              </w:rPr>
            </w:pPr>
            <w:r>
              <w:rPr>
                <w:lang w:val="en-GB"/>
              </w:rPr>
              <w:t>2.5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FF7DE3" w14:textId="77777777" w:rsidR="00ED0E85" w:rsidRDefault="00ED0E85" w:rsidP="00ED0E85">
            <w:pPr>
              <w:pStyle w:val="TableDataEntries"/>
              <w:rPr>
                <w:lang w:val="en-GB"/>
              </w:rPr>
            </w:pPr>
            <w:r>
              <w:rPr>
                <w:lang w:val="en-GB"/>
              </w:rPr>
              <w:t xml:space="preserve"> 1.0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8D2644"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01A60A"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4BB556"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7866B5"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08E5A6"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5EFE79"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555ABE"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8735B8" w14:textId="77777777" w:rsidR="00ED0E85" w:rsidRDefault="00ED0E85" w:rsidP="00ED0E85">
            <w:pPr>
              <w:pStyle w:val="TableDataEntries"/>
              <w:rPr>
                <w:lang w:val="en-GB"/>
              </w:rPr>
            </w:pPr>
            <w:r>
              <w:rPr>
                <w:lang w:val="en-GB"/>
              </w:rPr>
              <w:t xml:space="preserve"> 0.0</w:t>
            </w:r>
          </w:p>
        </w:tc>
      </w:tr>
      <w:tr w:rsidR="00ED0E85" w14:paraId="23B87E76"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AA17F9" w14:textId="77777777" w:rsidR="00ED0E85" w:rsidRDefault="00ED0E85" w:rsidP="00ED0E85">
            <w:pPr>
              <w:pStyle w:val="TableDataEntries"/>
              <w:jc w:val="left"/>
              <w:rPr>
                <w:lang w:val="en-GB"/>
              </w:rPr>
            </w:pPr>
            <w:r>
              <w:rPr>
                <w:lang w:val="en-GB"/>
              </w:rPr>
              <w:t>3</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66AA02" w14:textId="77777777" w:rsidR="00ED0E85" w:rsidRDefault="00ED0E85" w:rsidP="00ED0E85">
            <w:pPr>
              <w:pStyle w:val="TableDataEntries"/>
              <w:rPr>
                <w:lang w:val="en-GB"/>
              </w:rPr>
            </w:pPr>
            <w:r>
              <w:rPr>
                <w:lang w:val="en-GB"/>
              </w:rPr>
              <w:t xml:space="preserve"> 6.0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9506FC"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39DFEA"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500334"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97AAA6"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7A6418"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5EB2A1" w14:textId="77777777" w:rsidR="00ED0E85" w:rsidRDefault="00ED0E85" w:rsidP="00ED0E85">
            <w:pPr>
              <w:pStyle w:val="TableDataEntries"/>
              <w:rPr>
                <w:lang w:val="en-GB"/>
              </w:rPr>
            </w:pPr>
            <w:r>
              <w:rPr>
                <w:lang w:val="en-GB"/>
              </w:rPr>
              <w:t xml:space="preserve"> 0.7</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F79006"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5CFF3B" w14:textId="77777777" w:rsidR="00ED0E85" w:rsidRDefault="00ED0E85" w:rsidP="00ED0E85">
            <w:pPr>
              <w:pStyle w:val="TableDataEntries"/>
              <w:rPr>
                <w:lang w:val="en-GB"/>
              </w:rPr>
            </w:pPr>
            <w:r>
              <w:rPr>
                <w:lang w:val="en-GB"/>
              </w:rPr>
              <w:t xml:space="preserve"> 0.0</w:t>
            </w:r>
          </w:p>
        </w:tc>
      </w:tr>
      <w:tr w:rsidR="00ED0E85" w14:paraId="0931C6A6"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D82A70" w14:textId="77777777" w:rsidR="00ED0E85" w:rsidRDefault="00ED0E85" w:rsidP="00ED0E85">
            <w:pPr>
              <w:pStyle w:val="TableDataEntries"/>
              <w:jc w:val="left"/>
              <w:rPr>
                <w:lang w:val="en-GB"/>
              </w:rPr>
            </w:pPr>
            <w:r>
              <w:rPr>
                <w:lang w:val="en-GB"/>
              </w:rPr>
              <w:t>3.5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E10605" w14:textId="77777777" w:rsidR="00ED0E85" w:rsidRDefault="00ED0E85" w:rsidP="00ED0E85">
            <w:pPr>
              <w:pStyle w:val="TableDataEntries"/>
              <w:rPr>
                <w:lang w:val="en-GB"/>
              </w:rPr>
            </w:pPr>
            <w:r>
              <w:rPr>
                <w:lang w:val="en-GB"/>
              </w:rPr>
              <w:t xml:space="preserve"> 2.0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B0C70E"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D14ABD"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2D08A7"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B1E042" w14:textId="77777777" w:rsidR="00ED0E85" w:rsidRDefault="00ED0E85" w:rsidP="00ED0E85">
            <w:pPr>
              <w:pStyle w:val="TableDataEntries"/>
              <w:rPr>
                <w:lang w:val="en-GB"/>
              </w:rPr>
            </w:pPr>
            <w:r>
              <w:rPr>
                <w:lang w:val="en-GB"/>
              </w:rPr>
              <w:t xml:space="preserve"> 4.4</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F52BE8"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A21448"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F1066A" w14:textId="77777777" w:rsidR="00ED0E85" w:rsidRDefault="00ED0E85" w:rsidP="00ED0E85">
            <w:pPr>
              <w:pStyle w:val="TableDataEntries"/>
              <w:rPr>
                <w:lang w:val="en-GB"/>
              </w:rPr>
            </w:pPr>
            <w:r>
              <w:rPr>
                <w:lang w:val="en-GB"/>
              </w:rPr>
              <w:t xml:space="preserve"> 2.6</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8FFEE1" w14:textId="77777777" w:rsidR="00ED0E85" w:rsidRDefault="00ED0E85" w:rsidP="00ED0E85">
            <w:pPr>
              <w:pStyle w:val="TableDataEntries"/>
              <w:rPr>
                <w:lang w:val="en-GB"/>
              </w:rPr>
            </w:pPr>
            <w:r>
              <w:rPr>
                <w:lang w:val="en-GB"/>
              </w:rPr>
              <w:t xml:space="preserve"> 0.0</w:t>
            </w:r>
          </w:p>
        </w:tc>
      </w:tr>
      <w:tr w:rsidR="00ED0E85" w14:paraId="4A836E0A" w14:textId="77777777" w:rsidTr="00ED0E85">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9E77AA" w14:textId="77777777" w:rsidR="00ED0E85" w:rsidRDefault="00ED0E85" w:rsidP="00ED0E85">
            <w:pPr>
              <w:pStyle w:val="TableDataEntries"/>
              <w:jc w:val="left"/>
              <w:rPr>
                <w:lang w:val="en-GB"/>
              </w:rPr>
            </w:pPr>
            <w:r>
              <w:rPr>
                <w:lang w:val="en-GB"/>
              </w:rPr>
              <w:t>4</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6198CA" w14:textId="77777777" w:rsidR="00ED0E85" w:rsidRDefault="00ED0E85" w:rsidP="00ED0E85">
            <w:pPr>
              <w:pStyle w:val="TableDataEntries"/>
              <w:rPr>
                <w:lang w:val="en-GB"/>
              </w:rPr>
            </w:pPr>
            <w:r>
              <w:rPr>
                <w:lang w:val="en-GB"/>
              </w:rPr>
              <w:t xml:space="preserve"> 8.2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2F43AB"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43B921" w14:textId="77777777" w:rsidR="00ED0E85" w:rsidRDefault="00ED0E85" w:rsidP="00ED0E85">
            <w:pPr>
              <w:pStyle w:val="TableDataEntries"/>
              <w:rPr>
                <w:lang w:val="en-GB"/>
              </w:rPr>
            </w:pPr>
            <w:r>
              <w:rPr>
                <w:lang w:val="en-GB"/>
              </w:rPr>
              <w:t xml:space="preserve"> 8.7</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22282B"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6BB2CA"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B6DFED" w14:textId="77777777" w:rsidR="00ED0E85" w:rsidRDefault="00ED0E85" w:rsidP="00ED0E85">
            <w:pPr>
              <w:pStyle w:val="TableDataEntries"/>
              <w:rPr>
                <w:lang w:val="en-GB"/>
              </w:rPr>
            </w:pPr>
            <w:r>
              <w:rPr>
                <w:lang w:val="en-GB"/>
              </w:rPr>
              <w:t xml:space="preserve"> 4.9</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B95A32"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C5F481" w14:textId="77777777" w:rsidR="00ED0E85" w:rsidRDefault="00ED0E85" w:rsidP="00ED0E85">
            <w:pPr>
              <w:pStyle w:val="TableDataEntries"/>
              <w:rPr>
                <w:lang w:val="en-GB"/>
              </w:rPr>
            </w:pPr>
            <w:r>
              <w:rPr>
                <w:lang w:val="en-GB"/>
              </w:rPr>
              <w:t xml:space="preserve"> 0.3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419F27" w14:textId="77777777" w:rsidR="00ED0E85" w:rsidRDefault="00ED0E85" w:rsidP="00ED0E85">
            <w:pPr>
              <w:pStyle w:val="TableDataEntries"/>
              <w:rPr>
                <w:lang w:val="en-GB"/>
              </w:rPr>
            </w:pPr>
            <w:r>
              <w:rPr>
                <w:lang w:val="en-GB"/>
              </w:rPr>
              <w:t xml:space="preserve"> 0.0</w:t>
            </w:r>
          </w:p>
        </w:tc>
      </w:tr>
      <w:tr w:rsidR="00ED0E85" w14:paraId="3C53B505"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21626E" w14:textId="77777777" w:rsidR="00ED0E85" w:rsidRDefault="00ED0E85" w:rsidP="00ED0E85">
            <w:pPr>
              <w:pStyle w:val="TableDataEntries"/>
              <w:jc w:val="left"/>
              <w:rPr>
                <w:lang w:val="en-GB"/>
              </w:rPr>
            </w:pPr>
            <w:r>
              <w:rPr>
                <w:lang w:val="en-GB"/>
              </w:rPr>
              <w:t>4.5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C9E5E9" w14:textId="77777777" w:rsidR="00ED0E85" w:rsidRDefault="00ED0E85" w:rsidP="00ED0E85">
            <w:pPr>
              <w:pStyle w:val="TableDataEntries"/>
              <w:rPr>
                <w:lang w:val="en-GB"/>
              </w:rPr>
            </w:pPr>
            <w:r>
              <w:rPr>
                <w:lang w:val="en-GB"/>
              </w:rPr>
              <w:t xml:space="preserve"> 3.5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85EE38" w14:textId="77777777" w:rsidR="00ED0E85" w:rsidRDefault="00ED0E85" w:rsidP="00ED0E85">
            <w:pPr>
              <w:pStyle w:val="TableDataEntries"/>
              <w:rPr>
                <w:lang w:val="en-GB"/>
              </w:rPr>
            </w:pPr>
            <w:r>
              <w:rPr>
                <w:lang w:val="en-GB"/>
              </w:rPr>
              <w:t xml:space="preserve"> 9.1</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109444" w14:textId="77777777" w:rsidR="00ED0E85" w:rsidRDefault="00ED0E85" w:rsidP="00ED0E85">
            <w:pPr>
              <w:pStyle w:val="TableDataEntries"/>
              <w:rPr>
                <w:lang w:val="en-GB"/>
              </w:rPr>
            </w:pPr>
            <w:r>
              <w:rPr>
                <w:lang w:val="en-GB"/>
              </w:rPr>
              <w:t xml:space="preserve"> 6.3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14B7D8" w14:textId="77777777" w:rsidR="00ED0E85" w:rsidRDefault="00ED0E85" w:rsidP="00ED0E85">
            <w:pPr>
              <w:pStyle w:val="TableDataEntries"/>
              <w:rPr>
                <w:lang w:val="en-GB"/>
              </w:rPr>
            </w:pPr>
            <w:r>
              <w:rPr>
                <w:lang w:val="en-GB"/>
              </w:rPr>
              <w:t xml:space="preserve"> 2.2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DD835B" w14:textId="77777777" w:rsidR="00ED0E85" w:rsidRDefault="00ED0E85" w:rsidP="00ED0E85">
            <w:pPr>
              <w:pStyle w:val="TableDataEntries"/>
              <w:rPr>
                <w:lang w:val="en-GB"/>
              </w:rPr>
            </w:pPr>
            <w:r>
              <w:rPr>
                <w:lang w:val="en-GB"/>
              </w:rPr>
              <w:t xml:space="preserve"> 15.9</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050224"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2FEEE0"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EBF260" w14:textId="77777777" w:rsidR="00ED0E85" w:rsidRDefault="00ED0E85" w:rsidP="00ED0E85">
            <w:pPr>
              <w:pStyle w:val="TableDataEntries"/>
              <w:rPr>
                <w:lang w:val="en-GB"/>
              </w:rPr>
            </w:pPr>
            <w:r>
              <w:rPr>
                <w:lang w:val="en-GB"/>
              </w:rPr>
              <w:t xml:space="preserve"> 12.0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BE0F09" w14:textId="77777777" w:rsidR="00ED0E85" w:rsidRDefault="00ED0E85" w:rsidP="00ED0E85">
            <w:pPr>
              <w:pStyle w:val="TableDataEntries"/>
              <w:rPr>
                <w:lang w:val="en-GB"/>
              </w:rPr>
            </w:pPr>
            <w:r>
              <w:rPr>
                <w:lang w:val="en-GB"/>
              </w:rPr>
              <w:t xml:space="preserve"> 0.0</w:t>
            </w:r>
          </w:p>
        </w:tc>
      </w:tr>
      <w:tr w:rsidR="00ED0E85" w14:paraId="0C5FAABB"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54581B" w14:textId="77777777" w:rsidR="00ED0E85" w:rsidRDefault="00ED0E85" w:rsidP="00ED0E85">
            <w:pPr>
              <w:pStyle w:val="TableDataEntries"/>
              <w:jc w:val="left"/>
              <w:rPr>
                <w:lang w:val="en-GB"/>
              </w:rPr>
            </w:pPr>
            <w:r>
              <w:rPr>
                <w:lang w:val="en-GB"/>
              </w:rPr>
              <w:t>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C4F51A" w14:textId="77777777" w:rsidR="00ED0E85" w:rsidRDefault="00ED0E85" w:rsidP="00ED0E85">
            <w:pPr>
              <w:pStyle w:val="TableDataEntries"/>
              <w:rPr>
                <w:lang w:val="en-GB"/>
              </w:rPr>
            </w:pPr>
            <w:r>
              <w:rPr>
                <w:lang w:val="en-GB"/>
              </w:rPr>
              <w:t xml:space="preserve"> 5.4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FBB280"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FB99FD" w14:textId="77777777" w:rsidR="00ED0E85" w:rsidRDefault="00ED0E85" w:rsidP="00ED0E85">
            <w:pPr>
              <w:pStyle w:val="TableDataEntries"/>
              <w:rPr>
                <w:lang w:val="en-GB"/>
              </w:rPr>
            </w:pPr>
            <w:r>
              <w:rPr>
                <w:lang w:val="en-GB"/>
              </w:rPr>
              <w:t xml:space="preserve"> 11.0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4F4F4E"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A25FB7"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3EDD68"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C07DCE"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A702F5" w14:textId="77777777" w:rsidR="00ED0E85" w:rsidRDefault="00ED0E85" w:rsidP="00ED0E85">
            <w:pPr>
              <w:pStyle w:val="TableDataEntries"/>
              <w:rPr>
                <w:lang w:val="en-GB"/>
              </w:rPr>
            </w:pPr>
            <w:r>
              <w:rPr>
                <w:lang w:val="en-GB"/>
              </w:rPr>
              <w:t xml:space="preserve"> 14.3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293EEC" w14:textId="77777777" w:rsidR="00ED0E85" w:rsidRDefault="00ED0E85" w:rsidP="00ED0E85">
            <w:pPr>
              <w:pStyle w:val="TableDataEntries"/>
              <w:rPr>
                <w:lang w:val="en-GB"/>
              </w:rPr>
            </w:pPr>
            <w:r>
              <w:rPr>
                <w:lang w:val="en-GB"/>
              </w:rPr>
              <w:t xml:space="preserve"> 0.0</w:t>
            </w:r>
          </w:p>
        </w:tc>
      </w:tr>
      <w:tr w:rsidR="00ED0E85" w14:paraId="4647A299"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259299" w14:textId="77777777" w:rsidR="00ED0E85" w:rsidRDefault="00ED0E85" w:rsidP="00ED0E85">
            <w:pPr>
              <w:pStyle w:val="TableDataEntries"/>
              <w:jc w:val="left"/>
              <w:rPr>
                <w:lang w:val="en-GB"/>
              </w:rPr>
            </w:pPr>
            <w:r>
              <w:rPr>
                <w:lang w:val="en-GB"/>
              </w:rPr>
              <w:t>5.5</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75E4CA"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D6FC71" w14:textId="77777777" w:rsidR="00ED0E85" w:rsidRDefault="00ED0E85" w:rsidP="00ED0E85">
            <w:pPr>
              <w:pStyle w:val="TableDataEntries"/>
              <w:rPr>
                <w:lang w:val="en-GB"/>
              </w:rPr>
            </w:pPr>
            <w:r>
              <w:rPr>
                <w:lang w:val="en-GB"/>
              </w:rPr>
              <w:t xml:space="preserve"> 9.1</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9F337A"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867A2D"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0A0CA8"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94553C" w14:textId="77777777" w:rsidR="00ED0E85" w:rsidRDefault="00ED0E85" w:rsidP="00ED0E85">
            <w:pPr>
              <w:pStyle w:val="TableDataEntries"/>
              <w:rPr>
                <w:lang w:val="en-GB"/>
              </w:rPr>
            </w:pPr>
            <w:r>
              <w:rPr>
                <w:lang w:val="en-GB"/>
              </w:rPr>
              <w:t xml:space="preserve"> 2.4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96AE39"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A688DD"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DD5D0E" w14:textId="77777777" w:rsidR="00ED0E85" w:rsidRDefault="00ED0E85" w:rsidP="00ED0E85">
            <w:pPr>
              <w:pStyle w:val="TableDataEntries"/>
              <w:rPr>
                <w:lang w:val="en-GB"/>
              </w:rPr>
            </w:pPr>
            <w:r>
              <w:rPr>
                <w:lang w:val="en-GB"/>
              </w:rPr>
              <w:t xml:space="preserve"> 0.0</w:t>
            </w:r>
          </w:p>
        </w:tc>
      </w:tr>
      <w:tr w:rsidR="00ED0E85" w14:paraId="01EDBDBE"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35B07B" w14:textId="77777777" w:rsidR="00ED0E85" w:rsidRDefault="00ED0E85" w:rsidP="00ED0E85">
            <w:pPr>
              <w:pStyle w:val="TableDataEntries"/>
              <w:jc w:val="left"/>
              <w:rPr>
                <w:lang w:val="en-GB"/>
              </w:rPr>
            </w:pPr>
            <w:r>
              <w:rPr>
                <w:lang w:val="en-GB"/>
              </w:rPr>
              <w:t>6</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C043EA"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FA2AB1"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44BB77"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D8A509"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403E2F"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9E6AEB"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7864AF" w14:textId="77777777" w:rsidR="00ED0E85" w:rsidRDefault="00ED0E85" w:rsidP="00ED0E85">
            <w:pPr>
              <w:pStyle w:val="TableDataEntries"/>
              <w:rPr>
                <w:lang w:val="en-GB"/>
              </w:rPr>
            </w:pPr>
            <w:r>
              <w:rPr>
                <w:lang w:val="en-GB"/>
              </w:rPr>
              <w:t xml:space="preserve"> 0.0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BB4099" w14:textId="77777777" w:rsidR="00ED0E85" w:rsidRDefault="00ED0E85" w:rsidP="00ED0E85">
            <w:pPr>
              <w:pStyle w:val="TableDataEntries"/>
              <w:rPr>
                <w:lang w:val="en-GB"/>
              </w:rPr>
            </w:pPr>
            <w:r>
              <w:rPr>
                <w:lang w:val="en-GB"/>
              </w:rPr>
              <w:t xml:space="preserve"> 0.0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AA222D" w14:textId="77777777" w:rsidR="00ED0E85" w:rsidRDefault="00ED0E85" w:rsidP="00ED0E85">
            <w:pPr>
              <w:pStyle w:val="TableDataEntries"/>
              <w:rPr>
                <w:lang w:val="en-GB"/>
              </w:rPr>
            </w:pPr>
            <w:r>
              <w:rPr>
                <w:lang w:val="en-GB"/>
              </w:rPr>
              <w:t xml:space="preserve"> 0.0</w:t>
            </w:r>
          </w:p>
        </w:tc>
      </w:tr>
      <w:tr w:rsidR="001540E1" w:rsidRPr="001540E1" w14:paraId="3C3071EA" w14:textId="77777777" w:rsidTr="001540E1">
        <w:trPr>
          <w:trHeight w:val="230"/>
        </w:trPr>
        <w:tc>
          <w:tcPr>
            <w:tcW w:w="851"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94C7A4" w14:textId="77777777" w:rsidR="00ED0E85" w:rsidRPr="001540E1" w:rsidRDefault="00ED0E85" w:rsidP="00ED0E85">
            <w:pPr>
              <w:pStyle w:val="TableDataEntries"/>
              <w:jc w:val="left"/>
              <w:rPr>
                <w:rFonts w:ascii="Franklin Gothic Demi" w:hAnsi="Franklin Gothic Demi"/>
                <w:lang w:val="en-GB"/>
              </w:rPr>
            </w:pPr>
            <w:r w:rsidRPr="001540E1">
              <w:rPr>
                <w:rFonts w:ascii="Franklin Gothic Demi" w:hAnsi="Franklin Gothic Demi"/>
                <w:lang w:val="en-GB"/>
              </w:rPr>
              <w:t>Total</w:t>
            </w:r>
          </w:p>
        </w:tc>
        <w:tc>
          <w:tcPr>
            <w:tcW w:w="736"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BB991A"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35.5</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ED3F9B"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21.0</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ADE9E3"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26.0</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F2755D"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4.4</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8D7110"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20.3</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374B73"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7.2</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567669"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0.7</w:t>
            </w:r>
          </w:p>
        </w:tc>
        <w:tc>
          <w:tcPr>
            <w:tcW w:w="793"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0968E5"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33.3</w:t>
            </w:r>
          </w:p>
        </w:tc>
        <w:tc>
          <w:tcPr>
            <w:tcW w:w="794"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09EF5B" w14:textId="77777777" w:rsidR="00ED0E85" w:rsidRPr="001540E1" w:rsidRDefault="00ED0E85" w:rsidP="00ED0E85">
            <w:pPr>
              <w:pStyle w:val="TableDataEntries"/>
              <w:rPr>
                <w:rFonts w:ascii="Franklin Gothic Demi" w:hAnsi="Franklin Gothic Demi"/>
                <w:lang w:val="en-GB"/>
              </w:rPr>
            </w:pPr>
            <w:r w:rsidRPr="001540E1">
              <w:rPr>
                <w:rFonts w:ascii="Franklin Gothic Demi" w:hAnsi="Franklin Gothic Demi"/>
                <w:lang w:val="en-GB"/>
              </w:rPr>
              <w:t xml:space="preserve"> 0.0</w:t>
            </w:r>
          </w:p>
        </w:tc>
      </w:tr>
      <w:tr w:rsidR="00ED0E85" w:rsidRPr="00916F49" w14:paraId="29515360" w14:textId="77777777" w:rsidTr="00ED0E85">
        <w:trPr>
          <w:trHeight w:val="230"/>
        </w:trPr>
        <w:tc>
          <w:tcPr>
            <w:tcW w:w="851"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98F0197" w14:textId="77777777" w:rsidR="00ED0E85" w:rsidRPr="00916F49" w:rsidRDefault="00ED0E85" w:rsidP="00ED0E85">
            <w:pPr>
              <w:pStyle w:val="TableDataEntries"/>
              <w:jc w:val="left"/>
              <w:rPr>
                <w:rFonts w:ascii="Franklin Gothic Demi" w:hAnsi="Franklin Gothic Demi"/>
                <w:lang w:val="en-GB"/>
              </w:rPr>
            </w:pPr>
            <w:r w:rsidRPr="00916F49">
              <w:rPr>
                <w:rFonts w:ascii="Franklin Gothic Demi" w:hAnsi="Franklin Gothic Demi"/>
                <w:lang w:val="en-GB"/>
              </w:rPr>
              <w:t>Grand total</w:t>
            </w:r>
          </w:p>
        </w:tc>
        <w:tc>
          <w:tcPr>
            <w:tcW w:w="736"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6E3CC0B0" w14:textId="77777777" w:rsidR="00ED0E85" w:rsidRPr="00916F49" w:rsidRDefault="00ED0E85" w:rsidP="00ED0E85">
            <w:pPr>
              <w:pStyle w:val="TableDataEntries"/>
              <w:rPr>
                <w:rFonts w:ascii="Franklin Gothic Demi" w:hAnsi="Franklin Gothic Demi"/>
                <w:lang w:val="en-GB"/>
              </w:rPr>
            </w:pPr>
            <w:r w:rsidRPr="00916F49">
              <w:rPr>
                <w:rFonts w:ascii="Franklin Gothic Demi" w:hAnsi="Franklin Gothic Demi"/>
                <w:lang w:val="en-GB"/>
              </w:rPr>
              <w:t>3 979.9</w:t>
            </w:r>
          </w:p>
        </w:tc>
        <w:tc>
          <w:tcPr>
            <w:tcW w:w="79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2BB9210A" w14:textId="77777777" w:rsidR="00ED0E85" w:rsidRPr="00916F49" w:rsidRDefault="00ED0E85" w:rsidP="00ED0E85">
            <w:pPr>
              <w:pStyle w:val="TableDataEntries"/>
              <w:rPr>
                <w:rFonts w:ascii="Franklin Gothic Demi" w:hAnsi="Franklin Gothic Demi"/>
                <w:lang w:val="en-GB"/>
              </w:rPr>
            </w:pPr>
            <w:r w:rsidRPr="00916F49">
              <w:rPr>
                <w:rFonts w:ascii="Franklin Gothic Demi" w:hAnsi="Franklin Gothic Demi"/>
                <w:lang w:val="en-GB"/>
              </w:rPr>
              <w:t>2 504.2</w:t>
            </w:r>
          </w:p>
        </w:tc>
        <w:tc>
          <w:tcPr>
            <w:tcW w:w="79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8355545" w14:textId="77777777" w:rsidR="00ED0E85" w:rsidRPr="00916F49" w:rsidRDefault="00ED0E85" w:rsidP="00ED0E85">
            <w:pPr>
              <w:pStyle w:val="TableDataEntries"/>
              <w:rPr>
                <w:rFonts w:ascii="Franklin Gothic Demi" w:hAnsi="Franklin Gothic Demi"/>
                <w:lang w:val="en-GB"/>
              </w:rPr>
            </w:pPr>
            <w:r w:rsidRPr="00916F49">
              <w:rPr>
                <w:rFonts w:ascii="Franklin Gothic Demi" w:hAnsi="Franklin Gothic Demi"/>
                <w:lang w:val="en-GB"/>
              </w:rPr>
              <w:t>1 709.4</w:t>
            </w:r>
          </w:p>
        </w:tc>
        <w:tc>
          <w:tcPr>
            <w:tcW w:w="79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311533B3" w14:textId="77777777" w:rsidR="00ED0E85" w:rsidRPr="00916F49" w:rsidRDefault="00ED0E85" w:rsidP="00ED0E85">
            <w:pPr>
              <w:pStyle w:val="TableDataEntries"/>
              <w:rPr>
                <w:rFonts w:ascii="Franklin Gothic Demi" w:hAnsi="Franklin Gothic Demi"/>
                <w:lang w:val="en-GB"/>
              </w:rPr>
            </w:pPr>
            <w:r w:rsidRPr="00916F49">
              <w:rPr>
                <w:rFonts w:ascii="Franklin Gothic Demi" w:hAnsi="Franklin Gothic Demi"/>
                <w:lang w:val="en-GB"/>
              </w:rPr>
              <w:t>2 016.8</w:t>
            </w:r>
          </w:p>
        </w:tc>
        <w:tc>
          <w:tcPr>
            <w:tcW w:w="79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56D28C8" w14:textId="77777777" w:rsidR="00ED0E85" w:rsidRPr="00916F49" w:rsidRDefault="00ED0E85" w:rsidP="00ED0E85">
            <w:pPr>
              <w:pStyle w:val="TableDataEntries"/>
              <w:rPr>
                <w:rFonts w:ascii="Franklin Gothic Demi" w:hAnsi="Franklin Gothic Demi"/>
                <w:lang w:val="en-GB"/>
              </w:rPr>
            </w:pPr>
            <w:r w:rsidRPr="00916F49">
              <w:rPr>
                <w:rFonts w:ascii="Franklin Gothic Demi" w:hAnsi="Franklin Gothic Demi"/>
                <w:lang w:val="en-GB"/>
              </w:rPr>
              <w:t>1 277.0</w:t>
            </w:r>
          </w:p>
        </w:tc>
        <w:tc>
          <w:tcPr>
            <w:tcW w:w="79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17C23077" w14:textId="77777777" w:rsidR="00ED0E85" w:rsidRPr="00916F49" w:rsidRDefault="00ED0E85" w:rsidP="00ED0E85">
            <w:pPr>
              <w:pStyle w:val="TableDataEntries"/>
              <w:rPr>
                <w:rFonts w:ascii="Franklin Gothic Demi" w:hAnsi="Franklin Gothic Demi"/>
                <w:lang w:val="en-GB"/>
              </w:rPr>
            </w:pPr>
            <w:r w:rsidRPr="00916F49">
              <w:rPr>
                <w:rFonts w:ascii="Franklin Gothic Demi" w:hAnsi="Franklin Gothic Demi"/>
                <w:lang w:val="en-GB"/>
              </w:rPr>
              <w:t xml:space="preserve"> 811.8</w:t>
            </w:r>
          </w:p>
        </w:tc>
        <w:tc>
          <w:tcPr>
            <w:tcW w:w="79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0FC9F45D" w14:textId="77777777" w:rsidR="00ED0E85" w:rsidRPr="00916F49" w:rsidRDefault="00ED0E85" w:rsidP="00ED0E85">
            <w:pPr>
              <w:pStyle w:val="TableDataEntries"/>
              <w:rPr>
                <w:rFonts w:ascii="Franklin Gothic Demi" w:hAnsi="Franklin Gothic Demi"/>
                <w:lang w:val="en-GB"/>
              </w:rPr>
            </w:pPr>
            <w:r w:rsidRPr="00916F49">
              <w:rPr>
                <w:rFonts w:ascii="Franklin Gothic Demi" w:hAnsi="Franklin Gothic Demi"/>
                <w:lang w:val="en-GB"/>
              </w:rPr>
              <w:t xml:space="preserve"> 892.3</w:t>
            </w:r>
          </w:p>
        </w:tc>
        <w:tc>
          <w:tcPr>
            <w:tcW w:w="793"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51B050ED" w14:textId="77777777" w:rsidR="00ED0E85" w:rsidRPr="00916F49" w:rsidRDefault="00ED0E85" w:rsidP="00ED0E85">
            <w:pPr>
              <w:pStyle w:val="TableDataEntries"/>
              <w:rPr>
                <w:rFonts w:ascii="Franklin Gothic Demi" w:hAnsi="Franklin Gothic Demi"/>
                <w:lang w:val="en-GB"/>
              </w:rPr>
            </w:pPr>
            <w:r w:rsidRPr="00916F49">
              <w:rPr>
                <w:rFonts w:ascii="Franklin Gothic Demi" w:hAnsi="Franklin Gothic Demi"/>
                <w:lang w:val="en-GB"/>
              </w:rPr>
              <w:t>1 542.3</w:t>
            </w:r>
          </w:p>
        </w:tc>
        <w:tc>
          <w:tcPr>
            <w:tcW w:w="794" w:type="dxa"/>
            <w:tcBorders>
              <w:top w:val="single" w:sz="8" w:space="0" w:color="FFFFFF" w:themeColor="background1"/>
              <w:bottom w:val="single" w:sz="6" w:space="0" w:color="6F6652"/>
            </w:tcBorders>
            <w:shd w:val="clear" w:color="auto" w:fill="C2DADB" w:themeFill="accent6" w:themeFillTint="99"/>
            <w:tcMar>
              <w:left w:w="57" w:type="dxa"/>
              <w:right w:w="57" w:type="dxa"/>
            </w:tcMar>
          </w:tcPr>
          <w:p w14:paraId="741D7653" w14:textId="77777777" w:rsidR="00ED0E85" w:rsidRPr="00916F49" w:rsidRDefault="00ED0E85" w:rsidP="00ED0E85">
            <w:pPr>
              <w:pStyle w:val="TableDataEntries"/>
              <w:rPr>
                <w:rFonts w:ascii="Franklin Gothic Demi" w:hAnsi="Franklin Gothic Demi"/>
                <w:lang w:val="en-GB"/>
              </w:rPr>
            </w:pPr>
            <w:r w:rsidRPr="00916F49">
              <w:rPr>
                <w:rFonts w:ascii="Franklin Gothic Demi" w:hAnsi="Franklin Gothic Demi"/>
                <w:lang w:val="en-GB"/>
              </w:rPr>
              <w:t xml:space="preserve"> 597.5</w:t>
            </w:r>
          </w:p>
        </w:tc>
      </w:tr>
    </w:tbl>
    <w:p w14:paraId="2FF86237" w14:textId="77777777" w:rsidR="00ED0E85" w:rsidRDefault="00ED0E85" w:rsidP="00ED0E85">
      <w:pPr>
        <w:pStyle w:val="Note"/>
        <w:rPr>
          <w:lang w:bidi="fa-IR"/>
        </w:rPr>
      </w:pPr>
      <w:r w:rsidRPr="007D1B4F">
        <w:rPr>
          <w:i/>
        </w:rPr>
        <w:t>Note:</w:t>
      </w:r>
      <w:r w:rsidRPr="00E879B8">
        <w:t xml:space="preserve"> </w:t>
      </w:r>
      <w:r>
        <w:t>Includes both base building and whole building ratings.</w:t>
      </w:r>
    </w:p>
    <w:p w14:paraId="66DCB7BD" w14:textId="77777777" w:rsidR="00ED0E85" w:rsidRDefault="00ED0E85" w:rsidP="00ED0E85">
      <w:pPr>
        <w:pStyle w:val="Source"/>
        <w:rPr>
          <w:lang w:bidi="fa-IR"/>
        </w:rPr>
      </w:pPr>
      <w:r w:rsidRPr="003F08BD">
        <w:rPr>
          <w:i/>
          <w:lang w:bidi="fa-IR"/>
        </w:rPr>
        <w:t>Source:</w:t>
      </w:r>
      <w:r>
        <w:rPr>
          <w:lang w:bidi="fa-IR"/>
        </w:rPr>
        <w:t xml:space="preserve"> NABERS database.</w:t>
      </w:r>
    </w:p>
    <w:p w14:paraId="3C81ACBF" w14:textId="77777777" w:rsidR="00ED0E85" w:rsidRDefault="00ED0E85" w:rsidP="00ED0E85">
      <w:pPr>
        <w:pStyle w:val="Heading7"/>
        <w:numPr>
          <w:ilvl w:val="6"/>
          <w:numId w:val="5"/>
        </w:numPr>
        <w:rPr>
          <w:lang w:bidi="fa-IR"/>
        </w:rPr>
      </w:pPr>
      <w:r>
        <w:rPr>
          <w:lang w:bidi="fa-IR"/>
        </w:rPr>
        <w:t>Energy intensity</w:t>
      </w:r>
    </w:p>
    <w:p w14:paraId="55CCE21E" w14:textId="1CBC6BCF" w:rsidR="00ED0E85" w:rsidRDefault="00ED0E85" w:rsidP="00ED0E85">
      <w:pPr>
        <w:pStyle w:val="BodyText"/>
        <w:rPr>
          <w:lang w:bidi="fa-IR"/>
        </w:rPr>
      </w:pPr>
      <w:r>
        <w:rPr>
          <w:lang w:bidi="fa-IR"/>
        </w:rPr>
        <w:t>The average energy intensity of building’s entering the NABERS system for the first time by star rating and state is shown in table </w:t>
      </w:r>
      <w:r>
        <w:rPr>
          <w:lang w:bidi="fa-IR"/>
        </w:rPr>
        <w:fldChar w:fldCharType="begin"/>
      </w:r>
      <w:r>
        <w:rPr>
          <w:lang w:bidi="fa-IR"/>
        </w:rPr>
        <w:instrText xml:space="preserve"> REF _Caption8393 </w:instrText>
      </w:r>
      <w:r>
        <w:rPr>
          <w:lang w:bidi="fa-IR"/>
        </w:rPr>
        <w:fldChar w:fldCharType="separate"/>
      </w:r>
      <w:r w:rsidR="00AD3561">
        <w:rPr>
          <w:noProof/>
        </w:rPr>
        <w:t>D</w:t>
      </w:r>
      <w:r w:rsidR="00AD3561" w:rsidRPr="00695C93">
        <w:rPr>
          <w:noProof/>
        </w:rPr>
        <w:t>.</w:t>
      </w:r>
      <w:r w:rsidR="00AD3561">
        <w:rPr>
          <w:noProof/>
        </w:rPr>
        <w:t>2</w:t>
      </w:r>
      <w:r>
        <w:rPr>
          <w:lang w:bidi="fa-IR"/>
        </w:rPr>
        <w:fldChar w:fldCharType="end"/>
      </w:r>
      <w:r>
        <w:rPr>
          <w:lang w:bidi="fa-IR"/>
        </w:rPr>
        <w:t>.</w:t>
      </w:r>
    </w:p>
    <w:p w14:paraId="300B84B9" w14:textId="32FC81F7" w:rsidR="00ED0E85" w:rsidRDefault="00ED0E85" w:rsidP="00ED0E85">
      <w:pPr>
        <w:pStyle w:val="Caption"/>
      </w:pPr>
      <w:r w:rsidRPr="00695C93">
        <w:fldChar w:fldCharType="begin"/>
      </w:r>
      <w:r w:rsidRPr="00695C93">
        <w:instrText xml:space="preserve"> IF 1 = 1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D</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0</w:instrText>
      </w:r>
      <w:r w:rsidR="004550CB">
        <w:rPr>
          <w:noProof/>
        </w:rPr>
        <w:fldChar w:fldCharType="end"/>
      </w:r>
      <w:r w:rsidRPr="00695C93">
        <w:instrText xml:space="preserve"> = 0 ""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2</w:instrText>
      </w:r>
      <w:r w:rsidR="004550CB">
        <w:rPr>
          <w:noProof/>
        </w:rPr>
        <w:fldChar w:fldCharType="end"/>
      </w:r>
      <w:r w:rsidRPr="00695C93">
        <w:instrText xml:space="preserve">." </w:instrText>
      </w:r>
      <w:r w:rsidRPr="00695C93">
        <w:fldChar w:fldCharType="end"/>
      </w:r>
      <w:r w:rsidRPr="00695C93">
        <w:instrText>"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D</w:instrText>
      </w:r>
      <w:r w:rsidR="004550CB">
        <w:rPr>
          <w:noProof/>
        </w:rPr>
        <w:fldChar w:fldCharType="end"/>
      </w:r>
      <w:r w:rsidRPr="00695C93">
        <w:instrText xml:space="preserve">." </w:instrText>
      </w:r>
      <w:r w:rsidRPr="00695C93">
        <w:fldChar w:fldCharType="separate"/>
      </w:r>
      <w:r w:rsidR="00AD3561">
        <w:rPr>
          <w:noProof/>
        </w:rPr>
        <w:instrText>D</w:instrText>
      </w:r>
      <w:r w:rsidR="00AD3561" w:rsidRPr="00695C93">
        <w:rPr>
          <w:noProof/>
        </w:rPr>
        <w:instrText>.</w:instrText>
      </w:r>
      <w:r w:rsidRPr="00695C93">
        <w:fldChar w:fldCharType="end"/>
      </w:r>
      <w:r w:rsidRPr="00695C93">
        <w:fldChar w:fldCharType="begin"/>
      </w:r>
      <w:r w:rsidRPr="00695C93">
        <w:instrText xml:space="preserve"> SEQ Item \* ARABIC \s </w:instrText>
      </w:r>
      <w:r w:rsidRPr="00695C93">
        <w:fldChar w:fldCharType="begin"/>
      </w:r>
      <w:r w:rsidRPr="00695C93">
        <w:instrText xml:space="preserve"> IF </w:instrText>
      </w:r>
      <w:r w:rsidR="004550CB">
        <w:rPr>
          <w:noProof/>
        </w:rPr>
        <w:fldChar w:fldCharType="begin"/>
      </w:r>
      <w:r w:rsidR="004550CB">
        <w:rPr>
          <w:noProof/>
        </w:rPr>
        <w:instrText xml:space="preserve"> STYLEREF "Heading 6" \l \n </w:instrText>
      </w:r>
      <w:r w:rsidR="004550CB">
        <w:rPr>
          <w:noProof/>
        </w:rPr>
        <w:fldChar w:fldCharType="separate"/>
      </w:r>
      <w:r w:rsidR="00AD3561">
        <w:rPr>
          <w:noProof/>
        </w:rPr>
        <w:instrText>D</w:instrText>
      </w:r>
      <w:r w:rsidR="004550CB">
        <w:rPr>
          <w:noProof/>
        </w:rPr>
        <w:fldChar w:fldCharType="end"/>
      </w:r>
      <w:r w:rsidRPr="00695C93">
        <w:instrText xml:space="preserve"> = 0 "</w:instrText>
      </w:r>
      <w:r w:rsidRPr="00695C93">
        <w:fldChar w:fldCharType="begin"/>
      </w:r>
      <w:r w:rsidRPr="00695C93">
        <w:instrText xml:space="preserve"> IF </w:instrText>
      </w:r>
      <w:r w:rsidR="004550CB">
        <w:rPr>
          <w:noProof/>
        </w:rPr>
        <w:fldChar w:fldCharType="begin"/>
      </w:r>
      <w:r w:rsidR="004550CB">
        <w:rPr>
          <w:noProof/>
        </w:rPr>
        <w:instrText xml:space="preserve"> STYLEREF "Heading 1" \l \n </w:instrText>
      </w:r>
      <w:r w:rsidR="004550CB">
        <w:rPr>
          <w:noProof/>
        </w:rPr>
        <w:fldChar w:fldCharType="separate"/>
      </w:r>
      <w:r>
        <w:rPr>
          <w:noProof/>
        </w:rPr>
        <w:instrText>0</w:instrText>
      </w:r>
      <w:r w:rsidR="004550CB">
        <w:rPr>
          <w:noProof/>
        </w:rPr>
        <w:fldChar w:fldCharType="end"/>
      </w:r>
      <w:r w:rsidRPr="00695C93">
        <w:instrText xml:space="preserve"> = 0 "" "1" </w:instrText>
      </w:r>
      <w:r w:rsidRPr="00695C93">
        <w:fldChar w:fldCharType="end"/>
      </w:r>
      <w:r w:rsidRPr="00695C93">
        <w:instrText xml:space="preserve">" "6" </w:instrText>
      </w:r>
      <w:r w:rsidRPr="00695C93">
        <w:fldChar w:fldCharType="separate"/>
      </w:r>
      <w:r w:rsidR="00AD3561" w:rsidRPr="00695C93">
        <w:rPr>
          <w:noProof/>
        </w:rPr>
        <w:instrText>6</w:instrText>
      </w:r>
      <w:r w:rsidRPr="00695C93">
        <w:fldChar w:fldCharType="end"/>
      </w:r>
      <w:r w:rsidRPr="00695C93">
        <w:instrText xml:space="preserve"> </w:instrText>
      </w:r>
      <w:r w:rsidRPr="00695C93">
        <w:fldChar w:fldCharType="separate"/>
      </w:r>
      <w:r w:rsidR="00AD3561">
        <w:rPr>
          <w:noProof/>
        </w:rPr>
        <w:instrText>2</w:instrText>
      </w:r>
      <w:r w:rsidRPr="00695C93">
        <w:fldChar w:fldCharType="end"/>
      </w:r>
      <w:r w:rsidRPr="00695C93">
        <w:instrText xml:space="preserve">" "" </w:instrText>
      </w:r>
      <w:r w:rsidRPr="00695C93">
        <w:fldChar w:fldCharType="separate"/>
      </w:r>
      <w:bookmarkStart w:id="8142" w:name="_Caption4150"/>
      <w:bookmarkStart w:id="8143" w:name="_Caption0722"/>
      <w:bookmarkStart w:id="8144" w:name="_Caption0979"/>
      <w:bookmarkStart w:id="8145" w:name="_Caption8393"/>
      <w:bookmarkStart w:id="8146" w:name="_Caption5329"/>
      <w:bookmarkStart w:id="8147" w:name="_Caption2028"/>
      <w:bookmarkStart w:id="8148" w:name="_Toc19275677"/>
      <w:bookmarkStart w:id="8149" w:name="_Toc19276287"/>
      <w:bookmarkStart w:id="8150" w:name="_Toc19280286"/>
      <w:r w:rsidR="00AD3561">
        <w:rPr>
          <w:noProof/>
        </w:rPr>
        <w:t>D</w:t>
      </w:r>
      <w:r w:rsidR="00AD3561" w:rsidRPr="00695C93">
        <w:rPr>
          <w:noProof/>
        </w:rPr>
        <w:t>.</w:t>
      </w:r>
      <w:r w:rsidR="00AD3561">
        <w:rPr>
          <w:noProof/>
        </w:rPr>
        <w:t>2</w:t>
      </w:r>
      <w:bookmarkEnd w:id="8142"/>
      <w:bookmarkEnd w:id="8143"/>
      <w:bookmarkEnd w:id="8144"/>
      <w:bookmarkEnd w:id="8145"/>
      <w:bookmarkEnd w:id="8146"/>
      <w:bookmarkEnd w:id="8147"/>
      <w:r w:rsidRPr="00695C93">
        <w:fldChar w:fldCharType="end"/>
      </w:r>
      <w:r w:rsidRPr="00695C93">
        <w:tab/>
      </w:r>
      <w:r>
        <w:t>Average base building energy intensity</w:t>
      </w:r>
      <w:bookmarkEnd w:id="8148"/>
      <w:bookmarkEnd w:id="8149"/>
      <w:bookmarkEnd w:id="8150"/>
    </w:p>
    <w:tbl>
      <w:tblPr>
        <w:tblW w:w="7936" w:type="dxa"/>
        <w:tblLayout w:type="fixed"/>
        <w:tblLook w:val="0000" w:firstRow="0" w:lastRow="0" w:firstColumn="0" w:lastColumn="0" w:noHBand="0" w:noVBand="0"/>
      </w:tblPr>
      <w:tblGrid>
        <w:gridCol w:w="838"/>
        <w:gridCol w:w="789"/>
        <w:gridCol w:w="788"/>
        <w:gridCol w:w="789"/>
        <w:gridCol w:w="789"/>
        <w:gridCol w:w="788"/>
        <w:gridCol w:w="789"/>
        <w:gridCol w:w="788"/>
        <w:gridCol w:w="789"/>
        <w:gridCol w:w="789"/>
      </w:tblGrid>
      <w:tr w:rsidR="00ED0E85" w14:paraId="38A29B8E" w14:textId="77777777" w:rsidTr="00ED0E85">
        <w:trPr>
          <w:trHeight w:val="230"/>
          <w:tblHeader/>
        </w:trPr>
        <w:tc>
          <w:tcPr>
            <w:tcW w:w="838" w:type="dxa"/>
            <w:shd w:val="clear" w:color="auto" w:fill="6F6652"/>
            <w:tcMar>
              <w:left w:w="57" w:type="dxa"/>
              <w:right w:w="57" w:type="dxa"/>
            </w:tcMar>
          </w:tcPr>
          <w:p w14:paraId="44EF6F4B" w14:textId="77777777" w:rsidR="00ED0E85" w:rsidRDefault="00ED0E85" w:rsidP="00ED0E85">
            <w:pPr>
              <w:pStyle w:val="TableDataColumnHeading"/>
              <w:jc w:val="left"/>
              <w:rPr>
                <w:lang w:val="en-GB"/>
              </w:rPr>
            </w:pPr>
            <w:r>
              <w:rPr>
                <w:lang w:val="en-GB"/>
              </w:rPr>
              <w:t>Star rating</w:t>
            </w:r>
          </w:p>
        </w:tc>
        <w:tc>
          <w:tcPr>
            <w:tcW w:w="789" w:type="dxa"/>
            <w:shd w:val="clear" w:color="auto" w:fill="6F6652"/>
            <w:tcMar>
              <w:left w:w="57" w:type="dxa"/>
              <w:right w:w="57" w:type="dxa"/>
            </w:tcMar>
          </w:tcPr>
          <w:p w14:paraId="308D7207" w14:textId="77777777" w:rsidR="00ED0E85" w:rsidRDefault="00ED0E85" w:rsidP="00ED0E85">
            <w:pPr>
              <w:pStyle w:val="TableDataColumnHeading"/>
              <w:rPr>
                <w:lang w:val="en-GB"/>
              </w:rPr>
            </w:pPr>
            <w:r>
              <w:rPr>
                <w:lang w:val="en-GB"/>
              </w:rPr>
              <w:t>2010-11</w:t>
            </w:r>
          </w:p>
        </w:tc>
        <w:tc>
          <w:tcPr>
            <w:tcW w:w="788" w:type="dxa"/>
            <w:shd w:val="clear" w:color="auto" w:fill="6F6652"/>
            <w:tcMar>
              <w:left w:w="57" w:type="dxa"/>
              <w:right w:w="57" w:type="dxa"/>
            </w:tcMar>
          </w:tcPr>
          <w:p w14:paraId="3D5C51F5" w14:textId="77777777" w:rsidR="00ED0E85" w:rsidRDefault="00ED0E85" w:rsidP="00ED0E85">
            <w:pPr>
              <w:pStyle w:val="TableDataColumnHeading"/>
              <w:rPr>
                <w:lang w:val="en-GB"/>
              </w:rPr>
            </w:pPr>
            <w:r>
              <w:rPr>
                <w:lang w:val="en-GB"/>
              </w:rPr>
              <w:t>2011-12</w:t>
            </w:r>
          </w:p>
        </w:tc>
        <w:tc>
          <w:tcPr>
            <w:tcW w:w="789" w:type="dxa"/>
            <w:shd w:val="clear" w:color="auto" w:fill="6F6652"/>
            <w:tcMar>
              <w:left w:w="57" w:type="dxa"/>
              <w:right w:w="57" w:type="dxa"/>
            </w:tcMar>
          </w:tcPr>
          <w:p w14:paraId="19C0EE8F" w14:textId="77777777" w:rsidR="00ED0E85" w:rsidRDefault="00ED0E85" w:rsidP="00ED0E85">
            <w:pPr>
              <w:pStyle w:val="TableDataColumnHeading"/>
              <w:rPr>
                <w:lang w:val="en-GB"/>
              </w:rPr>
            </w:pPr>
            <w:r>
              <w:rPr>
                <w:lang w:val="en-GB"/>
              </w:rPr>
              <w:t>2012-13</w:t>
            </w:r>
          </w:p>
        </w:tc>
        <w:tc>
          <w:tcPr>
            <w:tcW w:w="789" w:type="dxa"/>
            <w:shd w:val="clear" w:color="auto" w:fill="6F6652"/>
            <w:tcMar>
              <w:left w:w="57" w:type="dxa"/>
              <w:right w:w="57" w:type="dxa"/>
            </w:tcMar>
          </w:tcPr>
          <w:p w14:paraId="198CB387" w14:textId="77777777" w:rsidR="00ED0E85" w:rsidRDefault="00ED0E85" w:rsidP="00ED0E85">
            <w:pPr>
              <w:pStyle w:val="TableDataColumnHeading"/>
              <w:rPr>
                <w:lang w:val="en-GB"/>
              </w:rPr>
            </w:pPr>
            <w:r>
              <w:rPr>
                <w:lang w:val="en-GB"/>
              </w:rPr>
              <w:t>2013-14</w:t>
            </w:r>
          </w:p>
        </w:tc>
        <w:tc>
          <w:tcPr>
            <w:tcW w:w="788" w:type="dxa"/>
            <w:shd w:val="clear" w:color="auto" w:fill="6F6652"/>
            <w:tcMar>
              <w:left w:w="57" w:type="dxa"/>
              <w:right w:w="57" w:type="dxa"/>
            </w:tcMar>
          </w:tcPr>
          <w:p w14:paraId="45CFF1C6" w14:textId="77777777" w:rsidR="00ED0E85" w:rsidRDefault="00ED0E85" w:rsidP="00ED0E85">
            <w:pPr>
              <w:pStyle w:val="TableDataColumnHeading"/>
              <w:rPr>
                <w:lang w:val="en-GB"/>
              </w:rPr>
            </w:pPr>
            <w:r>
              <w:rPr>
                <w:lang w:val="en-GB"/>
              </w:rPr>
              <w:t>2014-15</w:t>
            </w:r>
          </w:p>
        </w:tc>
        <w:tc>
          <w:tcPr>
            <w:tcW w:w="789" w:type="dxa"/>
            <w:shd w:val="clear" w:color="auto" w:fill="6F6652"/>
            <w:tcMar>
              <w:left w:w="57" w:type="dxa"/>
              <w:right w:w="57" w:type="dxa"/>
            </w:tcMar>
          </w:tcPr>
          <w:p w14:paraId="557B0774" w14:textId="77777777" w:rsidR="00ED0E85" w:rsidRDefault="00ED0E85" w:rsidP="00ED0E85">
            <w:pPr>
              <w:pStyle w:val="TableDataColumnHeading"/>
              <w:rPr>
                <w:lang w:val="en-GB"/>
              </w:rPr>
            </w:pPr>
            <w:r>
              <w:rPr>
                <w:lang w:val="en-GB"/>
              </w:rPr>
              <w:t>2015-16</w:t>
            </w:r>
          </w:p>
        </w:tc>
        <w:tc>
          <w:tcPr>
            <w:tcW w:w="788" w:type="dxa"/>
            <w:shd w:val="clear" w:color="auto" w:fill="6F6652"/>
            <w:tcMar>
              <w:left w:w="57" w:type="dxa"/>
              <w:right w:w="57" w:type="dxa"/>
            </w:tcMar>
          </w:tcPr>
          <w:p w14:paraId="6BD9D4C4" w14:textId="77777777" w:rsidR="00ED0E85" w:rsidRDefault="00ED0E85" w:rsidP="00ED0E85">
            <w:pPr>
              <w:pStyle w:val="TableDataColumnHeading"/>
              <w:rPr>
                <w:lang w:val="en-GB"/>
              </w:rPr>
            </w:pPr>
            <w:r>
              <w:rPr>
                <w:lang w:val="en-GB"/>
              </w:rPr>
              <w:t>2016-17</w:t>
            </w:r>
          </w:p>
        </w:tc>
        <w:tc>
          <w:tcPr>
            <w:tcW w:w="789" w:type="dxa"/>
            <w:shd w:val="clear" w:color="auto" w:fill="6F6652"/>
            <w:tcMar>
              <w:left w:w="57" w:type="dxa"/>
              <w:right w:w="57" w:type="dxa"/>
            </w:tcMar>
          </w:tcPr>
          <w:p w14:paraId="1EC44510" w14:textId="77777777" w:rsidR="00ED0E85" w:rsidRDefault="00ED0E85" w:rsidP="00ED0E85">
            <w:pPr>
              <w:pStyle w:val="TableDataColumnHeading"/>
              <w:rPr>
                <w:lang w:val="en-GB"/>
              </w:rPr>
            </w:pPr>
            <w:r>
              <w:rPr>
                <w:lang w:val="en-GB"/>
              </w:rPr>
              <w:t>2017-18</w:t>
            </w:r>
          </w:p>
        </w:tc>
        <w:tc>
          <w:tcPr>
            <w:tcW w:w="789" w:type="dxa"/>
            <w:shd w:val="clear" w:color="auto" w:fill="6F6652"/>
            <w:tcMar>
              <w:left w:w="57" w:type="dxa"/>
              <w:right w:w="57" w:type="dxa"/>
            </w:tcMar>
          </w:tcPr>
          <w:p w14:paraId="6A9A32FA" w14:textId="77777777" w:rsidR="00ED0E85" w:rsidRDefault="00ED0E85" w:rsidP="00ED0E85">
            <w:pPr>
              <w:pStyle w:val="TableDataColumnHeading"/>
              <w:rPr>
                <w:lang w:val="en-GB"/>
              </w:rPr>
            </w:pPr>
            <w:r>
              <w:rPr>
                <w:lang w:val="en-GB"/>
              </w:rPr>
              <w:t>2018-19</w:t>
            </w:r>
          </w:p>
        </w:tc>
      </w:tr>
      <w:tr w:rsidR="00ED0E85" w14:paraId="75DCBB0E" w14:textId="77777777" w:rsidTr="00ED0E85">
        <w:trPr>
          <w:trHeight w:val="230"/>
          <w:tblHeader/>
        </w:trPr>
        <w:tc>
          <w:tcPr>
            <w:tcW w:w="838" w:type="dxa"/>
            <w:tcBorders>
              <w:bottom w:val="single" w:sz="8" w:space="0" w:color="FFFFFF" w:themeColor="background1"/>
            </w:tcBorders>
            <w:shd w:val="clear" w:color="auto" w:fill="auto"/>
            <w:tcMar>
              <w:left w:w="57" w:type="dxa"/>
              <w:right w:w="57" w:type="dxa"/>
            </w:tcMar>
          </w:tcPr>
          <w:p w14:paraId="51365E4B" w14:textId="77777777" w:rsidR="00ED0E85" w:rsidRDefault="00ED0E85" w:rsidP="00ED0E85">
            <w:pPr>
              <w:pStyle w:val="TableUnit"/>
              <w:jc w:val="left"/>
              <w:rPr>
                <w:lang w:val="en-GB"/>
              </w:rPr>
            </w:pPr>
          </w:p>
        </w:tc>
        <w:tc>
          <w:tcPr>
            <w:tcW w:w="789" w:type="dxa"/>
            <w:tcBorders>
              <w:bottom w:val="single" w:sz="8" w:space="0" w:color="FFFFFF" w:themeColor="background1"/>
            </w:tcBorders>
            <w:shd w:val="clear" w:color="auto" w:fill="auto"/>
            <w:tcMar>
              <w:left w:w="57" w:type="dxa"/>
              <w:right w:w="57" w:type="dxa"/>
            </w:tcMar>
          </w:tcPr>
          <w:p w14:paraId="2DCC3691" w14:textId="77777777" w:rsidR="00ED0E85" w:rsidRDefault="00ED0E85" w:rsidP="00ED0E85">
            <w:pPr>
              <w:pStyle w:val="TableUnit"/>
              <w:rPr>
                <w:lang w:val="en-GB"/>
              </w:rPr>
            </w:pPr>
            <w:r>
              <w:rPr>
                <w:lang w:val="en-GB"/>
              </w:rPr>
              <w:t>MJ per m</w:t>
            </w:r>
            <w:r w:rsidRPr="00865421">
              <w:rPr>
                <w:vertAlign w:val="superscript"/>
                <w:lang w:val="en-GB"/>
              </w:rPr>
              <w:t>2</w:t>
            </w:r>
          </w:p>
        </w:tc>
        <w:tc>
          <w:tcPr>
            <w:tcW w:w="788" w:type="dxa"/>
            <w:tcBorders>
              <w:bottom w:val="single" w:sz="8" w:space="0" w:color="FFFFFF" w:themeColor="background1"/>
            </w:tcBorders>
            <w:shd w:val="clear" w:color="auto" w:fill="auto"/>
            <w:tcMar>
              <w:left w:w="57" w:type="dxa"/>
              <w:right w:w="57" w:type="dxa"/>
            </w:tcMar>
          </w:tcPr>
          <w:p w14:paraId="0E5631EB" w14:textId="77777777" w:rsidR="00ED0E85" w:rsidRDefault="00ED0E85" w:rsidP="00ED0E85">
            <w:pPr>
              <w:pStyle w:val="TableUnit"/>
              <w:rPr>
                <w:lang w:val="en-GB"/>
              </w:rPr>
            </w:pPr>
            <w:r>
              <w:rPr>
                <w:lang w:val="en-GB"/>
              </w:rPr>
              <w:t>MJ per m</w:t>
            </w:r>
            <w:r w:rsidRPr="00865421">
              <w:rPr>
                <w:vertAlign w:val="superscript"/>
                <w:lang w:val="en-GB"/>
              </w:rPr>
              <w:t>2</w:t>
            </w:r>
          </w:p>
        </w:tc>
        <w:tc>
          <w:tcPr>
            <w:tcW w:w="789" w:type="dxa"/>
            <w:tcBorders>
              <w:bottom w:val="single" w:sz="8" w:space="0" w:color="FFFFFF" w:themeColor="background1"/>
            </w:tcBorders>
            <w:shd w:val="clear" w:color="auto" w:fill="auto"/>
            <w:tcMar>
              <w:left w:w="57" w:type="dxa"/>
              <w:right w:w="57" w:type="dxa"/>
            </w:tcMar>
          </w:tcPr>
          <w:p w14:paraId="1BC5C4A9" w14:textId="77777777" w:rsidR="00ED0E85" w:rsidRDefault="00ED0E85" w:rsidP="00ED0E85">
            <w:pPr>
              <w:pStyle w:val="TableUnit"/>
              <w:rPr>
                <w:lang w:val="en-GB"/>
              </w:rPr>
            </w:pPr>
            <w:r>
              <w:rPr>
                <w:lang w:val="en-GB"/>
              </w:rPr>
              <w:t>MJ per m</w:t>
            </w:r>
            <w:r w:rsidRPr="00865421">
              <w:rPr>
                <w:vertAlign w:val="superscript"/>
                <w:lang w:val="en-GB"/>
              </w:rPr>
              <w:t>2</w:t>
            </w:r>
          </w:p>
        </w:tc>
        <w:tc>
          <w:tcPr>
            <w:tcW w:w="789" w:type="dxa"/>
            <w:tcBorders>
              <w:bottom w:val="single" w:sz="8" w:space="0" w:color="FFFFFF" w:themeColor="background1"/>
            </w:tcBorders>
            <w:shd w:val="clear" w:color="auto" w:fill="auto"/>
            <w:tcMar>
              <w:left w:w="57" w:type="dxa"/>
              <w:right w:w="57" w:type="dxa"/>
            </w:tcMar>
          </w:tcPr>
          <w:p w14:paraId="0D165B65" w14:textId="77777777" w:rsidR="00ED0E85" w:rsidRDefault="00ED0E85" w:rsidP="00ED0E85">
            <w:pPr>
              <w:pStyle w:val="TableUnit"/>
              <w:rPr>
                <w:lang w:val="en-GB"/>
              </w:rPr>
            </w:pPr>
            <w:r>
              <w:rPr>
                <w:lang w:val="en-GB"/>
              </w:rPr>
              <w:t>MJ per m</w:t>
            </w:r>
            <w:r w:rsidRPr="00865421">
              <w:rPr>
                <w:vertAlign w:val="superscript"/>
                <w:lang w:val="en-GB"/>
              </w:rPr>
              <w:t>2</w:t>
            </w:r>
          </w:p>
        </w:tc>
        <w:tc>
          <w:tcPr>
            <w:tcW w:w="788" w:type="dxa"/>
            <w:tcBorders>
              <w:bottom w:val="single" w:sz="8" w:space="0" w:color="FFFFFF" w:themeColor="background1"/>
            </w:tcBorders>
            <w:shd w:val="clear" w:color="auto" w:fill="auto"/>
            <w:tcMar>
              <w:left w:w="57" w:type="dxa"/>
              <w:right w:w="57" w:type="dxa"/>
            </w:tcMar>
          </w:tcPr>
          <w:p w14:paraId="2DBCD68F" w14:textId="77777777" w:rsidR="00ED0E85" w:rsidRDefault="00ED0E85" w:rsidP="00ED0E85">
            <w:pPr>
              <w:pStyle w:val="TableUnit"/>
              <w:rPr>
                <w:lang w:val="en-GB"/>
              </w:rPr>
            </w:pPr>
            <w:r>
              <w:rPr>
                <w:lang w:val="en-GB"/>
              </w:rPr>
              <w:t>MJ per m</w:t>
            </w:r>
            <w:r w:rsidRPr="00865421">
              <w:rPr>
                <w:vertAlign w:val="superscript"/>
                <w:lang w:val="en-GB"/>
              </w:rPr>
              <w:t>2</w:t>
            </w:r>
          </w:p>
        </w:tc>
        <w:tc>
          <w:tcPr>
            <w:tcW w:w="789" w:type="dxa"/>
            <w:tcBorders>
              <w:bottom w:val="single" w:sz="8" w:space="0" w:color="FFFFFF" w:themeColor="background1"/>
            </w:tcBorders>
            <w:shd w:val="clear" w:color="auto" w:fill="auto"/>
            <w:tcMar>
              <w:left w:w="57" w:type="dxa"/>
              <w:right w:w="57" w:type="dxa"/>
            </w:tcMar>
          </w:tcPr>
          <w:p w14:paraId="407FED83" w14:textId="77777777" w:rsidR="00ED0E85" w:rsidRDefault="00ED0E85" w:rsidP="00ED0E85">
            <w:pPr>
              <w:pStyle w:val="TableUnit"/>
              <w:rPr>
                <w:lang w:val="en-GB"/>
              </w:rPr>
            </w:pPr>
            <w:r>
              <w:rPr>
                <w:lang w:val="en-GB"/>
              </w:rPr>
              <w:t>MJ per m</w:t>
            </w:r>
            <w:r w:rsidRPr="00865421">
              <w:rPr>
                <w:vertAlign w:val="superscript"/>
                <w:lang w:val="en-GB"/>
              </w:rPr>
              <w:t>2</w:t>
            </w:r>
          </w:p>
        </w:tc>
        <w:tc>
          <w:tcPr>
            <w:tcW w:w="788" w:type="dxa"/>
            <w:tcBorders>
              <w:bottom w:val="single" w:sz="8" w:space="0" w:color="FFFFFF" w:themeColor="background1"/>
            </w:tcBorders>
            <w:shd w:val="clear" w:color="auto" w:fill="auto"/>
            <w:tcMar>
              <w:left w:w="57" w:type="dxa"/>
              <w:right w:w="57" w:type="dxa"/>
            </w:tcMar>
          </w:tcPr>
          <w:p w14:paraId="06C791F6" w14:textId="77777777" w:rsidR="00ED0E85" w:rsidRDefault="00ED0E85" w:rsidP="00ED0E85">
            <w:pPr>
              <w:pStyle w:val="TableUnit"/>
              <w:rPr>
                <w:lang w:val="en-GB"/>
              </w:rPr>
            </w:pPr>
            <w:r>
              <w:rPr>
                <w:lang w:val="en-GB"/>
              </w:rPr>
              <w:t>MJ per m</w:t>
            </w:r>
            <w:r w:rsidRPr="00865421">
              <w:rPr>
                <w:vertAlign w:val="superscript"/>
                <w:lang w:val="en-GB"/>
              </w:rPr>
              <w:t>2</w:t>
            </w:r>
          </w:p>
        </w:tc>
        <w:tc>
          <w:tcPr>
            <w:tcW w:w="789" w:type="dxa"/>
            <w:tcBorders>
              <w:bottom w:val="single" w:sz="8" w:space="0" w:color="FFFFFF" w:themeColor="background1"/>
            </w:tcBorders>
            <w:shd w:val="clear" w:color="auto" w:fill="auto"/>
            <w:tcMar>
              <w:left w:w="57" w:type="dxa"/>
              <w:right w:w="57" w:type="dxa"/>
            </w:tcMar>
          </w:tcPr>
          <w:p w14:paraId="313735E7" w14:textId="77777777" w:rsidR="00ED0E85" w:rsidRDefault="00ED0E85" w:rsidP="00ED0E85">
            <w:pPr>
              <w:pStyle w:val="TableUnit"/>
              <w:rPr>
                <w:lang w:val="en-GB"/>
              </w:rPr>
            </w:pPr>
            <w:r>
              <w:rPr>
                <w:lang w:val="en-GB"/>
              </w:rPr>
              <w:t>MJ per m</w:t>
            </w:r>
            <w:r w:rsidRPr="00865421">
              <w:rPr>
                <w:vertAlign w:val="superscript"/>
                <w:lang w:val="en-GB"/>
              </w:rPr>
              <w:t>2</w:t>
            </w:r>
          </w:p>
        </w:tc>
        <w:tc>
          <w:tcPr>
            <w:tcW w:w="789" w:type="dxa"/>
            <w:tcBorders>
              <w:bottom w:val="single" w:sz="8" w:space="0" w:color="FFFFFF" w:themeColor="background1"/>
            </w:tcBorders>
            <w:shd w:val="clear" w:color="auto" w:fill="auto"/>
            <w:tcMar>
              <w:left w:w="57" w:type="dxa"/>
              <w:right w:w="57" w:type="dxa"/>
            </w:tcMar>
          </w:tcPr>
          <w:p w14:paraId="2E1BA6DA" w14:textId="77777777" w:rsidR="00ED0E85" w:rsidRDefault="00ED0E85" w:rsidP="00ED0E85">
            <w:pPr>
              <w:pStyle w:val="TableUnit"/>
              <w:rPr>
                <w:lang w:val="en-GB"/>
              </w:rPr>
            </w:pPr>
            <w:r>
              <w:rPr>
                <w:lang w:val="en-GB"/>
              </w:rPr>
              <w:t>MJ per m</w:t>
            </w:r>
            <w:r w:rsidRPr="00865421">
              <w:rPr>
                <w:vertAlign w:val="superscript"/>
                <w:lang w:val="en-GB"/>
              </w:rPr>
              <w:t>2</w:t>
            </w:r>
          </w:p>
        </w:tc>
      </w:tr>
      <w:tr w:rsidR="00ED0E85" w14:paraId="23E26227"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000FB54" w14:textId="77777777" w:rsidR="00ED0E85" w:rsidRDefault="00ED0E85" w:rsidP="00ED0E85">
            <w:pPr>
              <w:pStyle w:val="TableHeading1"/>
              <w:rPr>
                <w:lang w:val="en-GB"/>
              </w:rPr>
            </w:pPr>
            <w:r>
              <w:rPr>
                <w:lang w:val="en-GB"/>
              </w:rPr>
              <w:t>NSW</w:t>
            </w: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0B68714"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568E1A1"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3A4D5C1"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5A8EEAE"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CD97170"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CE1A290"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7265616"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4C179C8"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D69EE29" w14:textId="77777777" w:rsidR="00ED0E85" w:rsidRDefault="00ED0E85" w:rsidP="00ED0E85">
            <w:pPr>
              <w:pStyle w:val="TableHeading1"/>
              <w:rPr>
                <w:lang w:val="en-GB"/>
              </w:rPr>
            </w:pPr>
          </w:p>
        </w:tc>
      </w:tr>
      <w:tr w:rsidR="00ED0E85" w14:paraId="60ED89BB"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DC420B" w14:textId="77777777" w:rsidR="00ED0E85" w:rsidRDefault="00ED0E85" w:rsidP="00ED0E85">
            <w:pPr>
              <w:pStyle w:val="TableDataEntries"/>
              <w:jc w:val="left"/>
              <w:rPr>
                <w:lang w:val="en-GB"/>
              </w:rPr>
            </w:pPr>
            <w:r>
              <w:rPr>
                <w:lang w:val="en-GB"/>
              </w:rPr>
              <w:t>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DE6B9A" w14:textId="77777777" w:rsidR="00ED0E85" w:rsidRDefault="00ED0E85" w:rsidP="00ED0E85">
            <w:pPr>
              <w:pStyle w:val="TableDataEntries"/>
              <w:rPr>
                <w:lang w:val="en-GB"/>
              </w:rPr>
            </w:pPr>
            <w:r>
              <w:rPr>
                <w:lang w:val="en-GB"/>
              </w:rPr>
              <w:t>1 390.7</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D2B0FC" w14:textId="77777777" w:rsidR="00ED0E85" w:rsidRDefault="00ED0E85" w:rsidP="00ED0E85">
            <w:pPr>
              <w:pStyle w:val="TableDataEntries"/>
              <w:rPr>
                <w:lang w:val="en-GB"/>
              </w:rPr>
            </w:pPr>
            <w:r>
              <w:rPr>
                <w:lang w:val="en-GB"/>
              </w:rPr>
              <w:t>1 861.5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DC9CAC" w14:textId="77777777" w:rsidR="00ED0E85" w:rsidRDefault="00ED0E85" w:rsidP="00ED0E85">
            <w:pPr>
              <w:pStyle w:val="TableDataEntries"/>
              <w:rPr>
                <w:lang w:val="en-GB"/>
              </w:rPr>
            </w:pPr>
            <w:r>
              <w:rPr>
                <w:lang w:val="en-GB"/>
              </w:rPr>
              <w:t>3 110.7</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734641" w14:textId="77777777" w:rsidR="00ED0E85" w:rsidRDefault="00ED0E85" w:rsidP="00ED0E85">
            <w:pPr>
              <w:pStyle w:val="TableDataEntries"/>
              <w:rPr>
                <w:lang w:val="en-GB"/>
              </w:rPr>
            </w:pPr>
            <w:r>
              <w:rPr>
                <w:lang w:val="en-GB"/>
              </w:rPr>
              <w:t>1 467.0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5B084C" w14:textId="77777777" w:rsidR="00ED0E85" w:rsidRDefault="00ED0E85" w:rsidP="00ED0E85">
            <w:pPr>
              <w:pStyle w:val="TableDataEntries"/>
              <w:rPr>
                <w:lang w:val="en-GB"/>
              </w:rPr>
            </w:pPr>
            <w:r>
              <w:rPr>
                <w:lang w:val="en-GB"/>
              </w:rPr>
              <w:t xml:space="preserve"> 921.5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5A3FE5"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5230CC" w14:textId="77777777" w:rsidR="00ED0E85" w:rsidRDefault="00ED0E85" w:rsidP="00ED0E85">
            <w:pPr>
              <w:pStyle w:val="TableDataEntries"/>
              <w:rPr>
                <w:lang w:val="en-GB"/>
              </w:rPr>
            </w:pPr>
            <w:r>
              <w:rPr>
                <w:lang w:val="en-GB"/>
              </w:rPr>
              <w:t xml:space="preserve"> 914.0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26DEA5" w14:textId="77777777" w:rsidR="00ED0E85" w:rsidRDefault="00ED0E85" w:rsidP="00ED0E85">
            <w:pPr>
              <w:pStyle w:val="TableDataEntries"/>
              <w:rPr>
                <w:lang w:val="en-GB"/>
              </w:rPr>
            </w:pPr>
            <w:r>
              <w:rPr>
                <w:lang w:val="en-GB"/>
              </w:rPr>
              <w:t>1 681.7</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38464B" w14:textId="77777777" w:rsidR="00ED0E85" w:rsidRDefault="00ED0E85" w:rsidP="00ED0E85">
            <w:pPr>
              <w:pStyle w:val="TableDataEntries"/>
              <w:rPr>
                <w:lang w:val="en-GB"/>
              </w:rPr>
            </w:pPr>
            <w:r>
              <w:rPr>
                <w:lang w:val="en-GB"/>
              </w:rPr>
              <w:t xml:space="preserve"> 938.0</w:t>
            </w:r>
          </w:p>
        </w:tc>
      </w:tr>
      <w:tr w:rsidR="00ED0E85" w14:paraId="15538334"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C9A6A6" w14:textId="77777777" w:rsidR="00ED0E85" w:rsidRDefault="00ED0E85" w:rsidP="00ED0E85">
            <w:pPr>
              <w:pStyle w:val="TableDataEntries"/>
              <w:jc w:val="left"/>
              <w:rPr>
                <w:lang w:val="en-GB"/>
              </w:rPr>
            </w:pPr>
            <w:r>
              <w:rPr>
                <w:lang w:val="en-GB"/>
              </w:rPr>
              <w:t>1</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0AEE5E" w14:textId="77777777" w:rsidR="00ED0E85" w:rsidRDefault="00ED0E85" w:rsidP="00ED0E85">
            <w:pPr>
              <w:pStyle w:val="TableDataEntries"/>
              <w:rPr>
                <w:lang w:val="en-GB"/>
              </w:rPr>
            </w:pPr>
            <w:r>
              <w:rPr>
                <w:lang w:val="en-GB"/>
              </w:rPr>
              <w:t xml:space="preserve"> 871.0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67719A" w14:textId="77777777" w:rsidR="00ED0E85" w:rsidRDefault="00ED0E85" w:rsidP="00ED0E85">
            <w:pPr>
              <w:pStyle w:val="TableDataEntries"/>
              <w:rPr>
                <w:lang w:val="en-GB"/>
              </w:rPr>
            </w:pPr>
            <w:r>
              <w:rPr>
                <w:lang w:val="en-GB"/>
              </w:rPr>
              <w:t xml:space="preserve"> 771.0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7DF88A" w14:textId="77777777" w:rsidR="00ED0E85" w:rsidRDefault="00ED0E85" w:rsidP="00ED0E85">
            <w:pPr>
              <w:pStyle w:val="TableDataEntries"/>
              <w:rPr>
                <w:lang w:val="en-GB"/>
              </w:rPr>
            </w:pPr>
            <w:r>
              <w:rPr>
                <w:lang w:val="en-GB"/>
              </w:rPr>
              <w:t xml:space="preserve"> 784.3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B48693" w14:textId="77777777" w:rsidR="00ED0E85" w:rsidRDefault="00ED0E85" w:rsidP="00ED0E85">
            <w:pPr>
              <w:pStyle w:val="TableDataEntries"/>
              <w:rPr>
                <w:lang w:val="en-GB"/>
              </w:rPr>
            </w:pPr>
            <w:r>
              <w:rPr>
                <w:lang w:val="en-GB"/>
              </w:rPr>
              <w:t>1 152.0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9B70F9" w14:textId="77777777" w:rsidR="00ED0E85" w:rsidRDefault="00ED0E85" w:rsidP="00ED0E85">
            <w:pPr>
              <w:pStyle w:val="TableDataEntries"/>
              <w:rPr>
                <w:lang w:val="en-GB"/>
              </w:rPr>
            </w:pPr>
            <w:r>
              <w:rPr>
                <w:lang w:val="en-GB"/>
              </w:rPr>
              <w:t xml:space="preserve"> 752.0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49C371"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DBAEBA"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CAE5E5" w14:textId="77777777" w:rsidR="00ED0E85" w:rsidRDefault="00ED0E85" w:rsidP="00ED0E85">
            <w:pPr>
              <w:pStyle w:val="TableDataEntries"/>
              <w:rPr>
                <w:lang w:val="en-GB"/>
              </w:rPr>
            </w:pPr>
            <w:r>
              <w:rPr>
                <w:lang w:val="en-GB"/>
              </w:rPr>
              <w:t>1 055.0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E2513D" w14:textId="77777777" w:rsidR="00ED0E85" w:rsidRDefault="00ED0E85" w:rsidP="00ED0E85">
            <w:pPr>
              <w:pStyle w:val="TableDataEntries"/>
              <w:rPr>
                <w:lang w:val="en-GB"/>
              </w:rPr>
            </w:pPr>
            <w:r>
              <w:rPr>
                <w:lang w:val="en-GB"/>
              </w:rPr>
              <w:t xml:space="preserve"> 0.0</w:t>
            </w:r>
          </w:p>
        </w:tc>
      </w:tr>
      <w:tr w:rsidR="00ED0E85" w14:paraId="2058A3D5"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DD26E6" w14:textId="77777777" w:rsidR="00ED0E85" w:rsidRDefault="00ED0E85" w:rsidP="00ED0E85">
            <w:pPr>
              <w:pStyle w:val="TableDataEntries"/>
              <w:jc w:val="left"/>
              <w:rPr>
                <w:lang w:val="en-GB"/>
              </w:rPr>
            </w:pPr>
            <w:r>
              <w:rPr>
                <w:lang w:val="en-GB"/>
              </w:rPr>
              <w:t>1.5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2A2A8F" w14:textId="77777777" w:rsidR="00ED0E85" w:rsidRDefault="00ED0E85" w:rsidP="00ED0E85">
            <w:pPr>
              <w:pStyle w:val="TableDataEntries"/>
              <w:rPr>
                <w:lang w:val="en-GB"/>
              </w:rPr>
            </w:pPr>
            <w:r>
              <w:rPr>
                <w:lang w:val="en-GB"/>
              </w:rPr>
              <w:t xml:space="preserve"> 801.4</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AF8418" w14:textId="77777777" w:rsidR="00ED0E85" w:rsidRDefault="00ED0E85" w:rsidP="00ED0E85">
            <w:pPr>
              <w:pStyle w:val="TableDataEntries"/>
              <w:rPr>
                <w:lang w:val="en-GB"/>
              </w:rPr>
            </w:pPr>
            <w:r>
              <w:rPr>
                <w:lang w:val="en-GB"/>
              </w:rPr>
              <w:t xml:space="preserve"> 716.8</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6B65E2" w14:textId="77777777" w:rsidR="00ED0E85" w:rsidRDefault="00ED0E85" w:rsidP="00ED0E85">
            <w:pPr>
              <w:pStyle w:val="TableDataEntries"/>
              <w:rPr>
                <w:lang w:val="en-GB"/>
              </w:rPr>
            </w:pPr>
            <w:r>
              <w:rPr>
                <w:lang w:val="en-GB"/>
              </w:rPr>
              <w:t xml:space="preserve"> 812.3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306EC8" w14:textId="77777777" w:rsidR="00ED0E85" w:rsidRDefault="00ED0E85" w:rsidP="00ED0E85">
            <w:pPr>
              <w:pStyle w:val="TableDataEntries"/>
              <w:rPr>
                <w:lang w:val="en-GB"/>
              </w:rPr>
            </w:pPr>
            <w:r>
              <w:rPr>
                <w:lang w:val="en-GB"/>
              </w:rPr>
              <w:t xml:space="preserve"> 843.5</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16ED22" w14:textId="77777777" w:rsidR="00ED0E85" w:rsidRDefault="00ED0E85" w:rsidP="00ED0E85">
            <w:pPr>
              <w:pStyle w:val="TableDataEntries"/>
              <w:rPr>
                <w:lang w:val="en-GB"/>
              </w:rPr>
            </w:pPr>
            <w:r>
              <w:rPr>
                <w:lang w:val="en-GB"/>
              </w:rPr>
              <w:t xml:space="preserve"> 622.0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942292" w14:textId="77777777" w:rsidR="00ED0E85" w:rsidRDefault="00ED0E85" w:rsidP="00ED0E85">
            <w:pPr>
              <w:pStyle w:val="TableDataEntries"/>
              <w:rPr>
                <w:lang w:val="en-GB"/>
              </w:rPr>
            </w:pPr>
            <w:r>
              <w:rPr>
                <w:lang w:val="en-GB"/>
              </w:rPr>
              <w:t xml:space="preserve"> 712.0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FF0020" w14:textId="77777777" w:rsidR="00ED0E85" w:rsidRDefault="00ED0E85" w:rsidP="00ED0E85">
            <w:pPr>
              <w:pStyle w:val="TableDataEntries"/>
              <w:rPr>
                <w:lang w:val="en-GB"/>
              </w:rPr>
            </w:pPr>
            <w:r>
              <w:rPr>
                <w:lang w:val="en-GB"/>
              </w:rPr>
              <w:t xml:space="preserve"> 684.0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B4913C" w14:textId="77777777" w:rsidR="00ED0E85" w:rsidRDefault="00ED0E85" w:rsidP="00ED0E85">
            <w:pPr>
              <w:pStyle w:val="TableDataEntries"/>
              <w:rPr>
                <w:lang w:val="en-GB"/>
              </w:rPr>
            </w:pPr>
            <w:r>
              <w:rPr>
                <w:lang w:val="en-GB"/>
              </w:rPr>
              <w:t xml:space="preserve"> 663.0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347AD2" w14:textId="77777777" w:rsidR="00ED0E85" w:rsidRDefault="00ED0E85" w:rsidP="00ED0E85">
            <w:pPr>
              <w:pStyle w:val="TableDataEntries"/>
              <w:rPr>
                <w:lang w:val="en-GB"/>
              </w:rPr>
            </w:pPr>
            <w:r>
              <w:rPr>
                <w:lang w:val="en-GB"/>
              </w:rPr>
              <w:t xml:space="preserve"> 0.0</w:t>
            </w:r>
          </w:p>
        </w:tc>
      </w:tr>
      <w:tr w:rsidR="00ED0E85" w14:paraId="745A2419"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91D82E" w14:textId="77777777" w:rsidR="00ED0E85" w:rsidRDefault="00ED0E85" w:rsidP="00ED0E85">
            <w:pPr>
              <w:pStyle w:val="TableDataEntries"/>
              <w:jc w:val="left"/>
              <w:rPr>
                <w:lang w:val="en-GB"/>
              </w:rPr>
            </w:pPr>
            <w:r>
              <w:rPr>
                <w:lang w:val="en-GB"/>
              </w:rPr>
              <w:t>2</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1F203A" w14:textId="77777777" w:rsidR="00ED0E85" w:rsidRDefault="00ED0E85" w:rsidP="00ED0E85">
            <w:pPr>
              <w:pStyle w:val="TableDataEntries"/>
              <w:rPr>
                <w:lang w:val="en-GB"/>
              </w:rPr>
            </w:pPr>
            <w:r>
              <w:rPr>
                <w:lang w:val="en-GB"/>
              </w:rPr>
              <w:t xml:space="preserve"> 781.3</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23F76E" w14:textId="77777777" w:rsidR="00ED0E85" w:rsidRDefault="00ED0E85" w:rsidP="00ED0E85">
            <w:pPr>
              <w:pStyle w:val="TableDataEntries"/>
              <w:rPr>
                <w:lang w:val="en-GB"/>
              </w:rPr>
            </w:pPr>
            <w:r>
              <w:rPr>
                <w:lang w:val="en-GB"/>
              </w:rPr>
              <w:t xml:space="preserve"> 685.1</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D8372A" w14:textId="77777777" w:rsidR="00ED0E85" w:rsidRDefault="00ED0E85" w:rsidP="00ED0E85">
            <w:pPr>
              <w:pStyle w:val="TableDataEntries"/>
              <w:rPr>
                <w:lang w:val="en-GB"/>
              </w:rPr>
            </w:pPr>
            <w:r>
              <w:rPr>
                <w:lang w:val="en-GB"/>
              </w:rPr>
              <w:t xml:space="preserve"> 691.0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C91801" w14:textId="77777777" w:rsidR="00ED0E85" w:rsidRDefault="00ED0E85" w:rsidP="00ED0E85">
            <w:pPr>
              <w:pStyle w:val="TableDataEntries"/>
              <w:rPr>
                <w:lang w:val="en-GB"/>
              </w:rPr>
            </w:pPr>
            <w:r>
              <w:rPr>
                <w:lang w:val="en-GB"/>
              </w:rPr>
              <w:t xml:space="preserve"> 627.0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AABEB8"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63894F" w14:textId="77777777" w:rsidR="00ED0E85" w:rsidRDefault="00ED0E85" w:rsidP="00ED0E85">
            <w:pPr>
              <w:pStyle w:val="TableDataEntries"/>
              <w:rPr>
                <w:lang w:val="en-GB"/>
              </w:rPr>
            </w:pPr>
            <w:r>
              <w:rPr>
                <w:lang w:val="en-GB"/>
              </w:rPr>
              <w:t xml:space="preserve"> 978.0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978E44" w14:textId="77777777" w:rsidR="00ED0E85" w:rsidRDefault="00ED0E85" w:rsidP="00ED0E85">
            <w:pPr>
              <w:pStyle w:val="TableDataEntries"/>
              <w:rPr>
                <w:lang w:val="en-GB"/>
              </w:rPr>
            </w:pPr>
            <w:r>
              <w:rPr>
                <w:lang w:val="en-GB"/>
              </w:rPr>
              <w:t xml:space="preserve"> 661.3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399635" w14:textId="77777777" w:rsidR="00ED0E85" w:rsidRDefault="00ED0E85" w:rsidP="00ED0E85">
            <w:pPr>
              <w:pStyle w:val="TableDataEntries"/>
              <w:rPr>
                <w:lang w:val="en-GB"/>
              </w:rPr>
            </w:pPr>
            <w:r>
              <w:rPr>
                <w:lang w:val="en-GB"/>
              </w:rPr>
              <w:t xml:space="preserve"> 975.0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441803" w14:textId="77777777" w:rsidR="00ED0E85" w:rsidRDefault="00ED0E85" w:rsidP="00ED0E85">
            <w:pPr>
              <w:pStyle w:val="TableDataEntries"/>
              <w:rPr>
                <w:lang w:val="en-GB"/>
              </w:rPr>
            </w:pPr>
            <w:r>
              <w:rPr>
                <w:lang w:val="en-GB"/>
              </w:rPr>
              <w:t xml:space="preserve"> 584.0</w:t>
            </w:r>
          </w:p>
        </w:tc>
      </w:tr>
      <w:tr w:rsidR="00ED0E85" w14:paraId="5664B117"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27BA55" w14:textId="77777777" w:rsidR="00ED0E85" w:rsidRDefault="00ED0E85" w:rsidP="00ED0E85">
            <w:pPr>
              <w:pStyle w:val="TableDataEntries"/>
              <w:jc w:val="left"/>
              <w:rPr>
                <w:lang w:val="en-GB"/>
              </w:rPr>
            </w:pPr>
            <w:r>
              <w:rPr>
                <w:lang w:val="en-GB"/>
              </w:rPr>
              <w:t>2.5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243469" w14:textId="77777777" w:rsidR="00ED0E85" w:rsidRDefault="00ED0E85" w:rsidP="00ED0E85">
            <w:pPr>
              <w:pStyle w:val="TableDataEntries"/>
              <w:rPr>
                <w:lang w:val="en-GB"/>
              </w:rPr>
            </w:pPr>
            <w:r>
              <w:rPr>
                <w:lang w:val="en-GB"/>
              </w:rPr>
              <w:t xml:space="preserve"> 710.9</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FB5858" w14:textId="77777777" w:rsidR="00ED0E85" w:rsidRDefault="00ED0E85" w:rsidP="00ED0E85">
            <w:pPr>
              <w:pStyle w:val="TableDataEntries"/>
              <w:rPr>
                <w:lang w:val="en-GB"/>
              </w:rPr>
            </w:pPr>
            <w:r>
              <w:rPr>
                <w:lang w:val="en-GB"/>
              </w:rPr>
              <w:t xml:space="preserve"> 624.0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78E449" w14:textId="77777777" w:rsidR="00ED0E85" w:rsidRDefault="00ED0E85" w:rsidP="00ED0E85">
            <w:pPr>
              <w:pStyle w:val="TableDataEntries"/>
              <w:rPr>
                <w:lang w:val="en-GB"/>
              </w:rPr>
            </w:pPr>
            <w:r>
              <w:rPr>
                <w:lang w:val="en-GB"/>
              </w:rPr>
              <w:t xml:space="preserve"> 658.5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DAA6D4" w14:textId="77777777" w:rsidR="00ED0E85" w:rsidRDefault="00ED0E85" w:rsidP="00ED0E85">
            <w:pPr>
              <w:pStyle w:val="TableDataEntries"/>
              <w:rPr>
                <w:lang w:val="en-GB"/>
              </w:rPr>
            </w:pPr>
            <w:r>
              <w:rPr>
                <w:lang w:val="en-GB"/>
              </w:rPr>
              <w:t xml:space="preserve"> 780.4</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3ED27A" w14:textId="77777777" w:rsidR="00ED0E85" w:rsidRDefault="00ED0E85" w:rsidP="00ED0E85">
            <w:pPr>
              <w:pStyle w:val="TableDataEntries"/>
              <w:rPr>
                <w:lang w:val="en-GB"/>
              </w:rPr>
            </w:pPr>
            <w:r>
              <w:rPr>
                <w:lang w:val="en-GB"/>
              </w:rPr>
              <w:t xml:space="preserve"> 619.0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1D8CC1" w14:textId="77777777" w:rsidR="00ED0E85" w:rsidRDefault="00ED0E85" w:rsidP="00ED0E85">
            <w:pPr>
              <w:pStyle w:val="TableDataEntries"/>
              <w:rPr>
                <w:lang w:val="en-GB"/>
              </w:rPr>
            </w:pPr>
            <w:r>
              <w:rPr>
                <w:lang w:val="en-GB"/>
              </w:rPr>
              <w:t xml:space="preserve"> 572.5</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AD9A76"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0B6C3F" w14:textId="77777777" w:rsidR="00ED0E85" w:rsidRDefault="00ED0E85" w:rsidP="00ED0E85">
            <w:pPr>
              <w:pStyle w:val="TableDataEntries"/>
              <w:rPr>
                <w:lang w:val="en-GB"/>
              </w:rPr>
            </w:pPr>
            <w:r>
              <w:rPr>
                <w:lang w:val="en-GB"/>
              </w:rPr>
              <w:t xml:space="preserve"> 564.5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447C62" w14:textId="77777777" w:rsidR="00ED0E85" w:rsidRDefault="00ED0E85" w:rsidP="00ED0E85">
            <w:pPr>
              <w:pStyle w:val="TableDataEntries"/>
              <w:rPr>
                <w:lang w:val="en-GB"/>
              </w:rPr>
            </w:pPr>
            <w:r>
              <w:rPr>
                <w:lang w:val="en-GB"/>
              </w:rPr>
              <w:t xml:space="preserve"> 508.0</w:t>
            </w:r>
          </w:p>
        </w:tc>
      </w:tr>
      <w:tr w:rsidR="00ED0E85" w14:paraId="27C1114C"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EA9200" w14:textId="77777777" w:rsidR="00ED0E85" w:rsidRDefault="00ED0E85" w:rsidP="00ED0E85">
            <w:pPr>
              <w:pStyle w:val="TableDataEntries"/>
              <w:jc w:val="left"/>
              <w:rPr>
                <w:lang w:val="en-GB"/>
              </w:rPr>
            </w:pPr>
            <w:r>
              <w:rPr>
                <w:lang w:val="en-GB"/>
              </w:rPr>
              <w:t>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EFF141" w14:textId="77777777" w:rsidR="00ED0E85" w:rsidRDefault="00ED0E85" w:rsidP="00ED0E85">
            <w:pPr>
              <w:pStyle w:val="TableDataEntries"/>
              <w:rPr>
                <w:lang w:val="en-GB"/>
              </w:rPr>
            </w:pPr>
            <w:r>
              <w:rPr>
                <w:lang w:val="en-GB"/>
              </w:rPr>
              <w:t xml:space="preserve"> 597.7</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0709C7" w14:textId="77777777" w:rsidR="00ED0E85" w:rsidRDefault="00ED0E85" w:rsidP="00ED0E85">
            <w:pPr>
              <w:pStyle w:val="TableDataEntries"/>
              <w:rPr>
                <w:lang w:val="en-GB"/>
              </w:rPr>
            </w:pPr>
            <w:r>
              <w:rPr>
                <w:lang w:val="en-GB"/>
              </w:rPr>
              <w:t xml:space="preserve"> 569.7</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0EF5DB" w14:textId="77777777" w:rsidR="00ED0E85" w:rsidRDefault="00ED0E85" w:rsidP="00ED0E85">
            <w:pPr>
              <w:pStyle w:val="TableDataEntries"/>
              <w:rPr>
                <w:lang w:val="en-GB"/>
              </w:rPr>
            </w:pPr>
            <w:r>
              <w:rPr>
                <w:lang w:val="en-GB"/>
              </w:rPr>
              <w:t xml:space="preserve"> 594.9</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FA8EE1" w14:textId="77777777" w:rsidR="00ED0E85" w:rsidRDefault="00ED0E85" w:rsidP="00ED0E85">
            <w:pPr>
              <w:pStyle w:val="TableDataEntries"/>
              <w:rPr>
                <w:lang w:val="en-GB"/>
              </w:rPr>
            </w:pPr>
            <w:r>
              <w:rPr>
                <w:lang w:val="en-GB"/>
              </w:rPr>
              <w:t xml:space="preserve"> 708.0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4809AE" w14:textId="77777777" w:rsidR="00ED0E85" w:rsidRDefault="00ED0E85" w:rsidP="00ED0E85">
            <w:pPr>
              <w:pStyle w:val="TableDataEntries"/>
              <w:rPr>
                <w:lang w:val="en-GB"/>
              </w:rPr>
            </w:pPr>
            <w:r>
              <w:rPr>
                <w:lang w:val="en-GB"/>
              </w:rPr>
              <w:t xml:space="preserve"> 549.0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A83E0B"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60D9C6"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8F8075" w14:textId="77777777" w:rsidR="00ED0E85" w:rsidRDefault="00ED0E85" w:rsidP="00ED0E85">
            <w:pPr>
              <w:pStyle w:val="TableDataEntries"/>
              <w:rPr>
                <w:lang w:val="en-GB"/>
              </w:rPr>
            </w:pPr>
            <w:r>
              <w:rPr>
                <w:lang w:val="en-GB"/>
              </w:rPr>
              <w:t xml:space="preserve"> 572.0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3FE856" w14:textId="77777777" w:rsidR="00ED0E85" w:rsidRDefault="00ED0E85" w:rsidP="00ED0E85">
            <w:pPr>
              <w:pStyle w:val="TableDataEntries"/>
              <w:rPr>
                <w:lang w:val="en-GB"/>
              </w:rPr>
            </w:pPr>
            <w:r>
              <w:rPr>
                <w:lang w:val="en-GB"/>
              </w:rPr>
              <w:t xml:space="preserve"> 542.5</w:t>
            </w:r>
          </w:p>
        </w:tc>
      </w:tr>
      <w:tr w:rsidR="00ED0E85" w14:paraId="542D0206"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C15339" w14:textId="77777777" w:rsidR="00ED0E85" w:rsidRDefault="00ED0E85" w:rsidP="00ED0E85">
            <w:pPr>
              <w:pStyle w:val="TableDataEntries"/>
              <w:jc w:val="left"/>
              <w:rPr>
                <w:lang w:val="en-GB"/>
              </w:rPr>
            </w:pPr>
            <w:r>
              <w:rPr>
                <w:lang w:val="en-GB"/>
              </w:rPr>
              <w:t>3.5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A2778A" w14:textId="77777777" w:rsidR="00ED0E85" w:rsidRDefault="00ED0E85" w:rsidP="00ED0E85">
            <w:pPr>
              <w:pStyle w:val="TableDataEntries"/>
              <w:rPr>
                <w:lang w:val="en-GB"/>
              </w:rPr>
            </w:pPr>
            <w:r>
              <w:rPr>
                <w:lang w:val="en-GB"/>
              </w:rPr>
              <w:t xml:space="preserve"> 513.3</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D0CE10" w14:textId="77777777" w:rsidR="00ED0E85" w:rsidRDefault="00ED0E85" w:rsidP="00ED0E85">
            <w:pPr>
              <w:pStyle w:val="TableDataEntries"/>
              <w:rPr>
                <w:lang w:val="en-GB"/>
              </w:rPr>
            </w:pPr>
            <w:r>
              <w:rPr>
                <w:lang w:val="en-GB"/>
              </w:rPr>
              <w:t xml:space="preserve"> 543.3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7E0911" w14:textId="77777777" w:rsidR="00ED0E85" w:rsidRDefault="00ED0E85" w:rsidP="00ED0E85">
            <w:pPr>
              <w:pStyle w:val="TableDataEntries"/>
              <w:rPr>
                <w:lang w:val="en-GB"/>
              </w:rPr>
            </w:pPr>
            <w:r>
              <w:rPr>
                <w:lang w:val="en-GB"/>
              </w:rPr>
              <w:t xml:space="preserve"> 477.5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2E8F11" w14:textId="77777777" w:rsidR="00ED0E85" w:rsidRDefault="00ED0E85" w:rsidP="00ED0E85">
            <w:pPr>
              <w:pStyle w:val="TableDataEntries"/>
              <w:rPr>
                <w:lang w:val="en-GB"/>
              </w:rPr>
            </w:pPr>
            <w:r>
              <w:rPr>
                <w:lang w:val="en-GB"/>
              </w:rPr>
              <w:t xml:space="preserve"> 551.8</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335A5E" w14:textId="77777777" w:rsidR="00ED0E85" w:rsidRDefault="00ED0E85" w:rsidP="00ED0E85">
            <w:pPr>
              <w:pStyle w:val="TableDataEntries"/>
              <w:rPr>
                <w:lang w:val="en-GB"/>
              </w:rPr>
            </w:pPr>
            <w:r>
              <w:rPr>
                <w:lang w:val="en-GB"/>
              </w:rPr>
              <w:t xml:space="preserve"> 497.5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1E7DCC" w14:textId="77777777" w:rsidR="00ED0E85" w:rsidRDefault="00ED0E85" w:rsidP="00ED0E85">
            <w:pPr>
              <w:pStyle w:val="TableDataEntries"/>
              <w:rPr>
                <w:lang w:val="en-GB"/>
              </w:rPr>
            </w:pPr>
            <w:r>
              <w:rPr>
                <w:lang w:val="en-GB"/>
              </w:rPr>
              <w:t xml:space="preserve"> 529.0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CCD70C" w14:textId="77777777" w:rsidR="00ED0E85" w:rsidRDefault="00ED0E85" w:rsidP="00ED0E85">
            <w:pPr>
              <w:pStyle w:val="TableDataEntries"/>
              <w:rPr>
                <w:lang w:val="en-GB"/>
              </w:rPr>
            </w:pPr>
            <w:r>
              <w:rPr>
                <w:lang w:val="en-GB"/>
              </w:rPr>
              <w:t xml:space="preserve"> 459.5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62BC55" w14:textId="77777777" w:rsidR="00ED0E85" w:rsidRDefault="00ED0E85" w:rsidP="00ED0E85">
            <w:pPr>
              <w:pStyle w:val="TableDataEntries"/>
              <w:rPr>
                <w:lang w:val="en-GB"/>
              </w:rPr>
            </w:pPr>
            <w:r>
              <w:rPr>
                <w:lang w:val="en-GB"/>
              </w:rPr>
              <w:t xml:space="preserve"> 540.3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DFBB9B" w14:textId="77777777" w:rsidR="00ED0E85" w:rsidRDefault="00ED0E85" w:rsidP="00ED0E85">
            <w:pPr>
              <w:pStyle w:val="TableDataEntries"/>
              <w:rPr>
                <w:lang w:val="en-GB"/>
              </w:rPr>
            </w:pPr>
            <w:r>
              <w:rPr>
                <w:lang w:val="en-GB"/>
              </w:rPr>
              <w:t xml:space="preserve"> 0.0</w:t>
            </w:r>
          </w:p>
        </w:tc>
      </w:tr>
      <w:tr w:rsidR="00ED0E85" w14:paraId="14763616"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B37C6A" w14:textId="77777777" w:rsidR="00ED0E85" w:rsidRDefault="00ED0E85" w:rsidP="00ED0E85">
            <w:pPr>
              <w:pStyle w:val="TableDataEntries"/>
              <w:jc w:val="left"/>
              <w:rPr>
                <w:lang w:val="en-GB"/>
              </w:rPr>
            </w:pPr>
            <w:r>
              <w:rPr>
                <w:lang w:val="en-GB"/>
              </w:rPr>
              <w:t>4</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B8DF59" w14:textId="77777777" w:rsidR="00ED0E85" w:rsidRDefault="00ED0E85" w:rsidP="00ED0E85">
            <w:pPr>
              <w:pStyle w:val="TableDataEntries"/>
              <w:rPr>
                <w:lang w:val="en-GB"/>
              </w:rPr>
            </w:pPr>
            <w:r>
              <w:rPr>
                <w:lang w:val="en-GB"/>
              </w:rPr>
              <w:t xml:space="preserve"> 429.4</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5D484D" w14:textId="77777777" w:rsidR="00ED0E85" w:rsidRDefault="00ED0E85" w:rsidP="00ED0E85">
            <w:pPr>
              <w:pStyle w:val="TableDataEntries"/>
              <w:rPr>
                <w:lang w:val="en-GB"/>
              </w:rPr>
            </w:pPr>
            <w:r>
              <w:rPr>
                <w:lang w:val="en-GB"/>
              </w:rPr>
              <w:t xml:space="preserve"> 479.0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AB8C30" w14:textId="77777777" w:rsidR="00ED0E85" w:rsidRDefault="00ED0E85" w:rsidP="00ED0E85">
            <w:pPr>
              <w:pStyle w:val="TableDataEntries"/>
              <w:rPr>
                <w:lang w:val="en-GB"/>
              </w:rPr>
            </w:pPr>
            <w:r>
              <w:rPr>
                <w:lang w:val="en-GB"/>
              </w:rPr>
              <w:t xml:space="preserve"> 416.0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2DDB96" w14:textId="77777777" w:rsidR="00ED0E85" w:rsidRDefault="00ED0E85" w:rsidP="00ED0E85">
            <w:pPr>
              <w:pStyle w:val="TableDataEntries"/>
              <w:rPr>
                <w:lang w:val="en-GB"/>
              </w:rPr>
            </w:pPr>
            <w:r>
              <w:rPr>
                <w:lang w:val="en-GB"/>
              </w:rPr>
              <w:t xml:space="preserve"> 424.8</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4DF4A4" w14:textId="77777777" w:rsidR="00ED0E85" w:rsidRDefault="00ED0E85" w:rsidP="00ED0E85">
            <w:pPr>
              <w:pStyle w:val="TableDataEntries"/>
              <w:rPr>
                <w:lang w:val="en-GB"/>
              </w:rPr>
            </w:pPr>
            <w:r>
              <w:rPr>
                <w:lang w:val="en-GB"/>
              </w:rPr>
              <w:t xml:space="preserve"> 438.0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AF07AD" w14:textId="77777777" w:rsidR="00ED0E85" w:rsidRDefault="00ED0E85" w:rsidP="00ED0E85">
            <w:pPr>
              <w:pStyle w:val="TableDataEntries"/>
              <w:rPr>
                <w:lang w:val="en-GB"/>
              </w:rPr>
            </w:pPr>
            <w:r>
              <w:rPr>
                <w:lang w:val="en-GB"/>
              </w:rPr>
              <w:t xml:space="preserve"> 821.0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C6585C" w14:textId="77777777" w:rsidR="00ED0E85" w:rsidRDefault="00ED0E85" w:rsidP="00ED0E85">
            <w:pPr>
              <w:pStyle w:val="TableDataEntries"/>
              <w:rPr>
                <w:lang w:val="en-GB"/>
              </w:rPr>
            </w:pPr>
            <w:r>
              <w:rPr>
                <w:lang w:val="en-GB"/>
              </w:rPr>
              <w:t xml:space="preserve"> 377.0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387319" w14:textId="77777777" w:rsidR="00ED0E85" w:rsidRDefault="00ED0E85" w:rsidP="00ED0E85">
            <w:pPr>
              <w:pStyle w:val="TableDataEntries"/>
              <w:rPr>
                <w:lang w:val="en-GB"/>
              </w:rPr>
            </w:pPr>
            <w:r>
              <w:rPr>
                <w:lang w:val="en-GB"/>
              </w:rPr>
              <w:t xml:space="preserve"> 381.4</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A47054" w14:textId="77777777" w:rsidR="00ED0E85" w:rsidRDefault="00ED0E85" w:rsidP="00ED0E85">
            <w:pPr>
              <w:pStyle w:val="TableDataEntries"/>
              <w:rPr>
                <w:lang w:val="en-GB"/>
              </w:rPr>
            </w:pPr>
            <w:r>
              <w:rPr>
                <w:lang w:val="en-GB"/>
              </w:rPr>
              <w:t xml:space="preserve"> 457.0</w:t>
            </w:r>
          </w:p>
        </w:tc>
      </w:tr>
      <w:tr w:rsidR="00ED0E85" w14:paraId="6152895B"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05AF3B" w14:textId="77777777" w:rsidR="00ED0E85" w:rsidRDefault="00ED0E85" w:rsidP="00ED0E85">
            <w:pPr>
              <w:pStyle w:val="TableDataEntries"/>
              <w:jc w:val="left"/>
              <w:rPr>
                <w:lang w:val="en-GB"/>
              </w:rPr>
            </w:pPr>
            <w:r>
              <w:rPr>
                <w:lang w:val="en-GB"/>
              </w:rPr>
              <w:t>4.5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20179D" w14:textId="77777777" w:rsidR="00ED0E85" w:rsidRDefault="00ED0E85" w:rsidP="00ED0E85">
            <w:pPr>
              <w:pStyle w:val="TableDataEntries"/>
              <w:rPr>
                <w:lang w:val="en-GB"/>
              </w:rPr>
            </w:pPr>
            <w:r>
              <w:rPr>
                <w:lang w:val="en-GB"/>
              </w:rPr>
              <w:t xml:space="preserve"> 402.0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36D02E" w14:textId="77777777" w:rsidR="00ED0E85" w:rsidRDefault="00ED0E85" w:rsidP="00ED0E85">
            <w:pPr>
              <w:pStyle w:val="TableDataEntries"/>
              <w:rPr>
                <w:lang w:val="en-GB"/>
              </w:rPr>
            </w:pPr>
            <w:r>
              <w:rPr>
                <w:lang w:val="en-GB"/>
              </w:rPr>
              <w:t xml:space="preserve"> 380.5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DD4F27" w14:textId="77777777" w:rsidR="00ED0E85" w:rsidRDefault="00ED0E85" w:rsidP="00ED0E85">
            <w:pPr>
              <w:pStyle w:val="TableDataEntries"/>
              <w:rPr>
                <w:lang w:val="en-GB"/>
              </w:rPr>
            </w:pPr>
            <w:r>
              <w:rPr>
                <w:lang w:val="en-GB"/>
              </w:rPr>
              <w:t xml:space="preserve"> 385.7</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3247DD" w14:textId="77777777" w:rsidR="00ED0E85" w:rsidRDefault="00ED0E85" w:rsidP="00ED0E85">
            <w:pPr>
              <w:pStyle w:val="TableDataEntries"/>
              <w:rPr>
                <w:lang w:val="en-GB"/>
              </w:rPr>
            </w:pPr>
            <w:r>
              <w:rPr>
                <w:lang w:val="en-GB"/>
              </w:rPr>
              <w:t xml:space="preserve"> 408.3</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FBA1B5" w14:textId="77777777" w:rsidR="00ED0E85" w:rsidRDefault="00ED0E85" w:rsidP="00ED0E85">
            <w:pPr>
              <w:pStyle w:val="TableDataEntries"/>
              <w:rPr>
                <w:lang w:val="en-GB"/>
              </w:rPr>
            </w:pPr>
            <w:r>
              <w:rPr>
                <w:lang w:val="en-GB"/>
              </w:rPr>
              <w:t xml:space="preserve"> 350.3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776DFA" w14:textId="77777777" w:rsidR="00ED0E85" w:rsidRDefault="00ED0E85" w:rsidP="00ED0E85">
            <w:pPr>
              <w:pStyle w:val="TableDataEntries"/>
              <w:rPr>
                <w:lang w:val="en-GB"/>
              </w:rPr>
            </w:pPr>
            <w:r>
              <w:rPr>
                <w:lang w:val="en-GB"/>
              </w:rPr>
              <w:t xml:space="preserve"> 475.7</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C2E5C3" w14:textId="77777777" w:rsidR="00ED0E85" w:rsidRDefault="00ED0E85" w:rsidP="00ED0E85">
            <w:pPr>
              <w:pStyle w:val="TableDataEntries"/>
              <w:rPr>
                <w:lang w:val="en-GB"/>
              </w:rPr>
            </w:pPr>
            <w:r>
              <w:rPr>
                <w:lang w:val="en-GB"/>
              </w:rPr>
              <w:t xml:space="preserve"> 410.1</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F550CA" w14:textId="77777777" w:rsidR="00ED0E85" w:rsidRDefault="00ED0E85" w:rsidP="00ED0E85">
            <w:pPr>
              <w:pStyle w:val="TableDataEntries"/>
              <w:rPr>
                <w:lang w:val="en-GB"/>
              </w:rPr>
            </w:pPr>
            <w:r>
              <w:rPr>
                <w:lang w:val="en-GB"/>
              </w:rPr>
              <w:t xml:space="preserve"> 377.7</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294541" w14:textId="77777777" w:rsidR="00ED0E85" w:rsidRDefault="00ED0E85" w:rsidP="00ED0E85">
            <w:pPr>
              <w:pStyle w:val="TableDataEntries"/>
              <w:rPr>
                <w:lang w:val="en-GB"/>
              </w:rPr>
            </w:pPr>
            <w:r>
              <w:rPr>
                <w:lang w:val="en-GB"/>
              </w:rPr>
              <w:t xml:space="preserve"> 385.0</w:t>
            </w:r>
          </w:p>
        </w:tc>
      </w:tr>
      <w:tr w:rsidR="00ED0E85" w14:paraId="6742B136"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6C517C" w14:textId="77777777" w:rsidR="00ED0E85" w:rsidRDefault="00ED0E85" w:rsidP="00ED0E85">
            <w:pPr>
              <w:pStyle w:val="TableDataEntries"/>
              <w:jc w:val="left"/>
              <w:rPr>
                <w:lang w:val="en-GB"/>
              </w:rPr>
            </w:pPr>
            <w:r>
              <w:rPr>
                <w:lang w:val="en-GB"/>
              </w:rPr>
              <w:t>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7EE254" w14:textId="77777777" w:rsidR="00ED0E85" w:rsidRDefault="00ED0E85" w:rsidP="00ED0E85">
            <w:pPr>
              <w:pStyle w:val="TableDataEntries"/>
              <w:rPr>
                <w:lang w:val="en-GB"/>
              </w:rPr>
            </w:pPr>
            <w:r>
              <w:rPr>
                <w:lang w:val="en-GB"/>
              </w:rPr>
              <w:t xml:space="preserve"> 300.8</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BD9A04" w14:textId="77777777" w:rsidR="00ED0E85" w:rsidRDefault="00ED0E85" w:rsidP="00ED0E85">
            <w:pPr>
              <w:pStyle w:val="TableDataEntries"/>
              <w:rPr>
                <w:lang w:val="en-GB"/>
              </w:rPr>
            </w:pPr>
            <w:r>
              <w:rPr>
                <w:lang w:val="en-GB"/>
              </w:rPr>
              <w:t xml:space="preserve"> 321.8</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CA5BB3" w14:textId="77777777" w:rsidR="00ED0E85" w:rsidRDefault="00ED0E85" w:rsidP="00ED0E85">
            <w:pPr>
              <w:pStyle w:val="TableDataEntries"/>
              <w:rPr>
                <w:lang w:val="en-GB"/>
              </w:rPr>
            </w:pPr>
            <w:r>
              <w:rPr>
                <w:lang w:val="en-GB"/>
              </w:rPr>
              <w:t xml:space="preserve"> 313.0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2CD079" w14:textId="77777777" w:rsidR="00ED0E85" w:rsidRDefault="00ED0E85" w:rsidP="00ED0E85">
            <w:pPr>
              <w:pStyle w:val="TableDataEntries"/>
              <w:rPr>
                <w:lang w:val="en-GB"/>
              </w:rPr>
            </w:pPr>
            <w:r>
              <w:rPr>
                <w:lang w:val="en-GB"/>
              </w:rPr>
              <w:t xml:space="preserve"> 411.5</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4681E8" w14:textId="77777777" w:rsidR="00ED0E85" w:rsidRDefault="00ED0E85" w:rsidP="00ED0E85">
            <w:pPr>
              <w:pStyle w:val="TableDataEntries"/>
              <w:rPr>
                <w:lang w:val="en-GB"/>
              </w:rPr>
            </w:pPr>
            <w:r>
              <w:rPr>
                <w:lang w:val="en-GB"/>
              </w:rPr>
              <w:t xml:space="preserve"> 313.8</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F273DA" w14:textId="77777777" w:rsidR="00ED0E85" w:rsidRDefault="00ED0E85" w:rsidP="00ED0E85">
            <w:pPr>
              <w:pStyle w:val="TableDataEntries"/>
              <w:rPr>
                <w:lang w:val="en-GB"/>
              </w:rPr>
            </w:pPr>
            <w:r>
              <w:rPr>
                <w:lang w:val="en-GB"/>
              </w:rPr>
              <w:t xml:space="preserve"> 291.0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53527A" w14:textId="77777777" w:rsidR="00ED0E85" w:rsidRDefault="00ED0E85" w:rsidP="00ED0E85">
            <w:pPr>
              <w:pStyle w:val="TableDataEntries"/>
              <w:rPr>
                <w:lang w:val="en-GB"/>
              </w:rPr>
            </w:pPr>
            <w:r>
              <w:rPr>
                <w:lang w:val="en-GB"/>
              </w:rPr>
              <w:t xml:space="preserve"> 281.8</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8FFBD2" w14:textId="77777777" w:rsidR="00ED0E85" w:rsidRDefault="00ED0E85" w:rsidP="00ED0E85">
            <w:pPr>
              <w:pStyle w:val="TableDataEntries"/>
              <w:rPr>
                <w:lang w:val="en-GB"/>
              </w:rPr>
            </w:pPr>
            <w:r>
              <w:rPr>
                <w:lang w:val="en-GB"/>
              </w:rPr>
              <w:t xml:space="preserve"> 334.7</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BC7789" w14:textId="77777777" w:rsidR="00ED0E85" w:rsidRDefault="00ED0E85" w:rsidP="00ED0E85">
            <w:pPr>
              <w:pStyle w:val="TableDataEntries"/>
              <w:rPr>
                <w:lang w:val="en-GB"/>
              </w:rPr>
            </w:pPr>
            <w:r>
              <w:rPr>
                <w:lang w:val="en-GB"/>
              </w:rPr>
              <w:t xml:space="preserve"> 351.8</w:t>
            </w:r>
          </w:p>
        </w:tc>
      </w:tr>
      <w:tr w:rsidR="00ED0E85" w14:paraId="4D7C1112"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955AC8" w14:textId="77777777" w:rsidR="00ED0E85" w:rsidRDefault="00ED0E85" w:rsidP="00ED0E85">
            <w:pPr>
              <w:pStyle w:val="TableDataEntries"/>
              <w:jc w:val="left"/>
              <w:rPr>
                <w:lang w:val="en-GB"/>
              </w:rPr>
            </w:pPr>
            <w:r>
              <w:rPr>
                <w:lang w:val="en-GB"/>
              </w:rPr>
              <w:t>5.5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C86F4A" w14:textId="77777777" w:rsidR="00ED0E85" w:rsidRDefault="00ED0E85" w:rsidP="00ED0E85">
            <w:pPr>
              <w:pStyle w:val="TableDataEntries"/>
              <w:rPr>
                <w:lang w:val="en-GB"/>
              </w:rPr>
            </w:pPr>
            <w:r>
              <w:rPr>
                <w:lang w:val="en-GB"/>
              </w:rPr>
              <w:t xml:space="preserve"> 274.5</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625268" w14:textId="77777777" w:rsidR="00ED0E85" w:rsidRDefault="00ED0E85" w:rsidP="00ED0E85">
            <w:pPr>
              <w:pStyle w:val="TableDataEntries"/>
              <w:rPr>
                <w:lang w:val="en-GB"/>
              </w:rPr>
            </w:pPr>
            <w:r>
              <w:rPr>
                <w:lang w:val="en-GB"/>
              </w:rPr>
              <w:t xml:space="preserve"> 409.0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00489B" w14:textId="77777777" w:rsidR="00ED0E85" w:rsidRDefault="00ED0E85" w:rsidP="00ED0E85">
            <w:pPr>
              <w:pStyle w:val="TableDataEntries"/>
              <w:rPr>
                <w:lang w:val="en-GB"/>
              </w:rPr>
            </w:pPr>
            <w:r>
              <w:rPr>
                <w:lang w:val="en-GB"/>
              </w:rPr>
              <w:t xml:space="preserve"> 200.3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EE4092" w14:textId="77777777" w:rsidR="00ED0E85" w:rsidRDefault="00ED0E85" w:rsidP="00ED0E85">
            <w:pPr>
              <w:pStyle w:val="TableDataEntries"/>
              <w:rPr>
                <w:lang w:val="en-GB"/>
              </w:rPr>
            </w:pPr>
            <w:r>
              <w:rPr>
                <w:lang w:val="en-GB"/>
              </w:rPr>
              <w:t xml:space="preserve"> 265.0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2FE7D9" w14:textId="77777777" w:rsidR="00ED0E85" w:rsidRDefault="00ED0E85" w:rsidP="00ED0E85">
            <w:pPr>
              <w:pStyle w:val="TableDataEntries"/>
              <w:rPr>
                <w:lang w:val="en-GB"/>
              </w:rPr>
            </w:pPr>
            <w:r>
              <w:rPr>
                <w:lang w:val="en-GB"/>
              </w:rPr>
              <w:t xml:space="preserve"> 241.2</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DE3C42"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BA944F" w14:textId="77777777" w:rsidR="00ED0E85" w:rsidRDefault="00ED0E85" w:rsidP="00ED0E85">
            <w:pPr>
              <w:pStyle w:val="TableDataEntries"/>
              <w:rPr>
                <w:lang w:val="en-GB"/>
              </w:rPr>
            </w:pPr>
            <w:r>
              <w:rPr>
                <w:lang w:val="en-GB"/>
              </w:rPr>
              <w:t xml:space="preserve"> 307.0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D8567E" w14:textId="77777777" w:rsidR="00ED0E85" w:rsidRDefault="00ED0E85" w:rsidP="00ED0E85">
            <w:pPr>
              <w:pStyle w:val="TableDataEntries"/>
              <w:rPr>
                <w:lang w:val="en-GB"/>
              </w:rPr>
            </w:pPr>
            <w:r>
              <w:rPr>
                <w:lang w:val="en-GB"/>
              </w:rPr>
              <w:t xml:space="preserve"> 199.2</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7AF7AB" w14:textId="77777777" w:rsidR="00ED0E85" w:rsidRDefault="00ED0E85" w:rsidP="00ED0E85">
            <w:pPr>
              <w:pStyle w:val="TableDataEntries"/>
              <w:rPr>
                <w:lang w:val="en-GB"/>
              </w:rPr>
            </w:pPr>
            <w:r>
              <w:rPr>
                <w:lang w:val="en-GB"/>
              </w:rPr>
              <w:t xml:space="preserve"> 260.0</w:t>
            </w:r>
          </w:p>
        </w:tc>
      </w:tr>
      <w:tr w:rsidR="00ED0E85" w14:paraId="3B867616"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A7B0FD" w14:textId="77777777" w:rsidR="00ED0E85" w:rsidRDefault="00ED0E85" w:rsidP="00ED0E85">
            <w:pPr>
              <w:pStyle w:val="TableDataEntries"/>
              <w:jc w:val="left"/>
              <w:rPr>
                <w:lang w:val="en-GB"/>
              </w:rPr>
            </w:pPr>
            <w:r>
              <w:rPr>
                <w:lang w:val="en-GB"/>
              </w:rPr>
              <w:t>6</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3D9E65" w14:textId="77777777" w:rsidR="00ED0E85" w:rsidRDefault="00ED0E85" w:rsidP="00ED0E85">
            <w:pPr>
              <w:pStyle w:val="TableDataEntries"/>
              <w:rPr>
                <w:lang w:val="en-GB"/>
              </w:rPr>
            </w:pPr>
            <w:r>
              <w:rPr>
                <w:lang w:val="en-GB"/>
              </w:rPr>
              <w:t xml:space="preserve"> 104.0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F26347"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D78BCA" w14:textId="77777777" w:rsidR="00ED0E85" w:rsidRDefault="00ED0E85" w:rsidP="00ED0E85">
            <w:pPr>
              <w:pStyle w:val="TableDataEntries"/>
              <w:rPr>
                <w:lang w:val="en-GB"/>
              </w:rPr>
            </w:pPr>
            <w:r>
              <w:rPr>
                <w:lang w:val="en-GB"/>
              </w:rPr>
              <w:t xml:space="preserve"> 759.0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1A7490"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F68A48"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23E16A" w14:textId="77777777" w:rsidR="00ED0E85" w:rsidRDefault="00ED0E85" w:rsidP="00ED0E85">
            <w:pPr>
              <w:pStyle w:val="TableDataEntries"/>
              <w:rPr>
                <w:lang w:val="en-GB"/>
              </w:rPr>
            </w:pPr>
            <w:r>
              <w:rPr>
                <w:lang w:val="en-GB"/>
              </w:rPr>
              <w:t xml:space="preserve"> 69.5</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8BA9FA" w14:textId="77777777" w:rsidR="00ED0E85" w:rsidRDefault="00ED0E85" w:rsidP="00ED0E85">
            <w:pPr>
              <w:pStyle w:val="TableDataEntries"/>
              <w:rPr>
                <w:lang w:val="en-GB"/>
              </w:rPr>
            </w:pPr>
            <w:r>
              <w:rPr>
                <w:lang w:val="en-GB"/>
              </w:rPr>
              <w:t xml:space="preserve"> 162.0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04A912"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D6FBCA" w14:textId="77777777" w:rsidR="00ED0E85" w:rsidRDefault="00ED0E85" w:rsidP="00ED0E85">
            <w:pPr>
              <w:pStyle w:val="TableDataEntries"/>
              <w:rPr>
                <w:lang w:val="en-GB"/>
              </w:rPr>
            </w:pPr>
            <w:r>
              <w:rPr>
                <w:lang w:val="en-GB"/>
              </w:rPr>
              <w:t xml:space="preserve"> 121.0</w:t>
            </w:r>
          </w:p>
        </w:tc>
      </w:tr>
      <w:tr w:rsidR="00ED0E85" w14:paraId="6A162261"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06CEDA7" w14:textId="77777777" w:rsidR="00ED0E85" w:rsidRDefault="00ED0E85" w:rsidP="00ED0E85">
            <w:pPr>
              <w:pStyle w:val="TableHeading1"/>
              <w:rPr>
                <w:lang w:val="en-GB"/>
              </w:rPr>
            </w:pPr>
            <w:r>
              <w:rPr>
                <w:lang w:val="en-GB"/>
              </w:rPr>
              <w:t>Victoria</w:t>
            </w: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DE5FA54"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AC16079"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79EFABE"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9061D5F"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AA190E4"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3404A53"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47047A4"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2793139"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E623EF6" w14:textId="77777777" w:rsidR="00ED0E85" w:rsidRDefault="00ED0E85" w:rsidP="00ED0E85">
            <w:pPr>
              <w:pStyle w:val="TableHeading1"/>
              <w:rPr>
                <w:lang w:val="en-GB"/>
              </w:rPr>
            </w:pPr>
          </w:p>
        </w:tc>
      </w:tr>
      <w:tr w:rsidR="00ED0E85" w14:paraId="7EC6F939"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31DA39" w14:textId="77777777" w:rsidR="00ED0E85" w:rsidRDefault="00ED0E85" w:rsidP="00ED0E85">
            <w:pPr>
              <w:pStyle w:val="TableDataEntries"/>
              <w:jc w:val="left"/>
              <w:rPr>
                <w:lang w:val="en-GB"/>
              </w:rPr>
            </w:pPr>
            <w:r>
              <w:rPr>
                <w:lang w:val="en-GB"/>
              </w:rPr>
              <w:t>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8DA7A2" w14:textId="77777777" w:rsidR="00ED0E85" w:rsidRDefault="00ED0E85" w:rsidP="00ED0E85">
            <w:pPr>
              <w:pStyle w:val="TableDataEntries"/>
              <w:rPr>
                <w:lang w:val="en-GB"/>
              </w:rPr>
            </w:pPr>
            <w:r>
              <w:rPr>
                <w:lang w:val="en-GB"/>
              </w:rPr>
              <w:t>1 465.0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64AD1F" w14:textId="77777777" w:rsidR="00ED0E85" w:rsidRDefault="00ED0E85" w:rsidP="00ED0E85">
            <w:pPr>
              <w:pStyle w:val="TableDataEntries"/>
              <w:rPr>
                <w:lang w:val="en-GB"/>
              </w:rPr>
            </w:pPr>
            <w:r>
              <w:rPr>
                <w:lang w:val="en-GB"/>
              </w:rPr>
              <w:t>1 394.3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524BBD" w14:textId="77777777" w:rsidR="00ED0E85" w:rsidRDefault="00ED0E85" w:rsidP="00ED0E85">
            <w:pPr>
              <w:pStyle w:val="TableDataEntries"/>
              <w:rPr>
                <w:lang w:val="en-GB"/>
              </w:rPr>
            </w:pPr>
            <w:r>
              <w:rPr>
                <w:lang w:val="en-GB"/>
              </w:rPr>
              <w:t>1 430.3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306475" w14:textId="77777777" w:rsidR="00ED0E85" w:rsidRDefault="00ED0E85" w:rsidP="00ED0E85">
            <w:pPr>
              <w:pStyle w:val="TableDataEntries"/>
              <w:rPr>
                <w:lang w:val="en-GB"/>
              </w:rPr>
            </w:pPr>
            <w:r>
              <w:rPr>
                <w:lang w:val="en-GB"/>
              </w:rPr>
              <w:t>1 679.0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8AAB55" w14:textId="77777777" w:rsidR="00ED0E85" w:rsidRDefault="00ED0E85" w:rsidP="00ED0E85">
            <w:pPr>
              <w:pStyle w:val="TableDataEntries"/>
              <w:rPr>
                <w:lang w:val="en-GB"/>
              </w:rPr>
            </w:pPr>
            <w:r>
              <w:rPr>
                <w:lang w:val="en-GB"/>
              </w:rPr>
              <w:t>1 651.0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DB92A8"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95E20A" w14:textId="77777777" w:rsidR="00ED0E85" w:rsidRDefault="00ED0E85" w:rsidP="00ED0E85">
            <w:pPr>
              <w:pStyle w:val="TableDataEntries"/>
              <w:rPr>
                <w:lang w:val="en-GB"/>
              </w:rPr>
            </w:pPr>
            <w:r>
              <w:rPr>
                <w:lang w:val="en-GB"/>
              </w:rPr>
              <w:t>1 537.0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0D7D83" w14:textId="77777777" w:rsidR="00ED0E85" w:rsidRDefault="00ED0E85" w:rsidP="00ED0E85">
            <w:pPr>
              <w:pStyle w:val="TableDataEntries"/>
              <w:rPr>
                <w:lang w:val="en-GB"/>
              </w:rPr>
            </w:pPr>
            <w:r>
              <w:rPr>
                <w:lang w:val="en-GB"/>
              </w:rPr>
              <w:t>1 766.5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94E94D" w14:textId="77777777" w:rsidR="00ED0E85" w:rsidRDefault="00ED0E85" w:rsidP="00ED0E85">
            <w:pPr>
              <w:pStyle w:val="TableDataEntries"/>
              <w:rPr>
                <w:lang w:val="en-GB"/>
              </w:rPr>
            </w:pPr>
            <w:r>
              <w:rPr>
                <w:lang w:val="en-GB"/>
              </w:rPr>
              <w:t xml:space="preserve"> 0.0</w:t>
            </w:r>
          </w:p>
        </w:tc>
      </w:tr>
      <w:tr w:rsidR="00ED0E85" w14:paraId="69F17A43"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540023" w14:textId="77777777" w:rsidR="00ED0E85" w:rsidRDefault="00ED0E85" w:rsidP="00ED0E85">
            <w:pPr>
              <w:pStyle w:val="TableDataEntries"/>
              <w:jc w:val="left"/>
              <w:rPr>
                <w:lang w:val="en-GB"/>
              </w:rPr>
            </w:pPr>
            <w:r>
              <w:rPr>
                <w:lang w:val="en-GB"/>
              </w:rPr>
              <w:t>1</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95FF14" w14:textId="77777777" w:rsidR="00ED0E85" w:rsidRDefault="00ED0E85" w:rsidP="00ED0E85">
            <w:pPr>
              <w:pStyle w:val="TableDataEntries"/>
              <w:rPr>
                <w:lang w:val="en-GB"/>
              </w:rPr>
            </w:pPr>
            <w:r>
              <w:rPr>
                <w:lang w:val="en-GB"/>
              </w:rPr>
              <w:t>1 038.1</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677D3B" w14:textId="77777777" w:rsidR="00ED0E85" w:rsidRDefault="00ED0E85" w:rsidP="00ED0E85">
            <w:pPr>
              <w:pStyle w:val="TableDataEntries"/>
              <w:rPr>
                <w:lang w:val="en-GB"/>
              </w:rPr>
            </w:pPr>
            <w:r>
              <w:rPr>
                <w:lang w:val="en-GB"/>
              </w:rPr>
              <w:t>1 126.8</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3C078B"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FA216E" w14:textId="77777777" w:rsidR="00ED0E85" w:rsidRDefault="00ED0E85" w:rsidP="00ED0E85">
            <w:pPr>
              <w:pStyle w:val="TableDataEntries"/>
              <w:rPr>
                <w:lang w:val="en-GB"/>
              </w:rPr>
            </w:pPr>
            <w:r>
              <w:rPr>
                <w:lang w:val="en-GB"/>
              </w:rPr>
              <w:t>1 247.0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E1732C" w14:textId="77777777" w:rsidR="00ED0E85" w:rsidRDefault="00ED0E85" w:rsidP="00ED0E85">
            <w:pPr>
              <w:pStyle w:val="TableDataEntries"/>
              <w:rPr>
                <w:lang w:val="en-GB"/>
              </w:rPr>
            </w:pPr>
            <w:r>
              <w:rPr>
                <w:lang w:val="en-GB"/>
              </w:rPr>
              <w:t>1 102.0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0C1C46" w14:textId="77777777" w:rsidR="00ED0E85" w:rsidRDefault="00ED0E85" w:rsidP="00ED0E85">
            <w:pPr>
              <w:pStyle w:val="TableDataEntries"/>
              <w:rPr>
                <w:lang w:val="en-GB"/>
              </w:rPr>
            </w:pPr>
            <w:r>
              <w:rPr>
                <w:lang w:val="en-GB"/>
              </w:rPr>
              <w:t xml:space="preserve"> 647.0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A5999A"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025947" w14:textId="77777777" w:rsidR="00ED0E85" w:rsidRDefault="00ED0E85" w:rsidP="00ED0E85">
            <w:pPr>
              <w:pStyle w:val="TableDataEntries"/>
              <w:rPr>
                <w:lang w:val="en-GB"/>
              </w:rPr>
            </w:pPr>
            <w:r>
              <w:rPr>
                <w:lang w:val="en-GB"/>
              </w:rPr>
              <w:t xml:space="preserve"> 609.0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27B257" w14:textId="77777777" w:rsidR="00ED0E85" w:rsidRDefault="00ED0E85" w:rsidP="00ED0E85">
            <w:pPr>
              <w:pStyle w:val="TableDataEntries"/>
              <w:rPr>
                <w:lang w:val="en-GB"/>
              </w:rPr>
            </w:pPr>
            <w:r>
              <w:rPr>
                <w:lang w:val="en-GB"/>
              </w:rPr>
              <w:t xml:space="preserve"> 0.0</w:t>
            </w:r>
          </w:p>
        </w:tc>
      </w:tr>
      <w:tr w:rsidR="00ED0E85" w14:paraId="0223AF00"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EC582F" w14:textId="77777777" w:rsidR="00ED0E85" w:rsidRDefault="00ED0E85" w:rsidP="00ED0E85">
            <w:pPr>
              <w:pStyle w:val="TableDataEntries"/>
              <w:jc w:val="left"/>
              <w:rPr>
                <w:lang w:val="en-GB"/>
              </w:rPr>
            </w:pPr>
            <w:r>
              <w:rPr>
                <w:lang w:val="en-GB"/>
              </w:rPr>
              <w:t>1.5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FFFDA8" w14:textId="77777777" w:rsidR="00ED0E85" w:rsidRDefault="00ED0E85" w:rsidP="00ED0E85">
            <w:pPr>
              <w:pStyle w:val="TableDataEntries"/>
              <w:rPr>
                <w:lang w:val="en-GB"/>
              </w:rPr>
            </w:pPr>
            <w:r>
              <w:rPr>
                <w:lang w:val="en-GB"/>
              </w:rPr>
              <w:t xml:space="preserve"> 864.6</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B2F629" w14:textId="77777777" w:rsidR="00ED0E85" w:rsidRDefault="00ED0E85" w:rsidP="00ED0E85">
            <w:pPr>
              <w:pStyle w:val="TableDataEntries"/>
              <w:rPr>
                <w:lang w:val="en-GB"/>
              </w:rPr>
            </w:pPr>
            <w:r>
              <w:rPr>
                <w:lang w:val="en-GB"/>
              </w:rPr>
              <w:t xml:space="preserve"> 916.0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9A84D2" w14:textId="77777777" w:rsidR="00ED0E85" w:rsidRDefault="00ED0E85" w:rsidP="00ED0E85">
            <w:pPr>
              <w:pStyle w:val="TableDataEntries"/>
              <w:rPr>
                <w:lang w:val="en-GB"/>
              </w:rPr>
            </w:pPr>
            <w:r>
              <w:rPr>
                <w:lang w:val="en-GB"/>
              </w:rPr>
              <w:t>1 099.0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E644EE"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EF33BC" w14:textId="77777777" w:rsidR="00ED0E85" w:rsidRDefault="00ED0E85" w:rsidP="00ED0E85">
            <w:pPr>
              <w:pStyle w:val="TableDataEntries"/>
              <w:rPr>
                <w:lang w:val="en-GB"/>
              </w:rPr>
            </w:pPr>
            <w:r>
              <w:rPr>
                <w:lang w:val="en-GB"/>
              </w:rPr>
              <w:t xml:space="preserve"> 560.0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A05B89" w14:textId="77777777" w:rsidR="00ED0E85" w:rsidRDefault="00ED0E85" w:rsidP="00ED0E85">
            <w:pPr>
              <w:pStyle w:val="TableDataEntries"/>
              <w:rPr>
                <w:lang w:val="en-GB"/>
              </w:rPr>
            </w:pPr>
            <w:r>
              <w:rPr>
                <w:lang w:val="en-GB"/>
              </w:rPr>
              <w:t>1 035.3</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E45F01" w14:textId="77777777" w:rsidR="00ED0E85" w:rsidRDefault="00ED0E85" w:rsidP="00ED0E85">
            <w:pPr>
              <w:pStyle w:val="TableDataEntries"/>
              <w:rPr>
                <w:lang w:val="en-GB"/>
              </w:rPr>
            </w:pPr>
            <w:r>
              <w:rPr>
                <w:lang w:val="en-GB"/>
              </w:rPr>
              <w:t xml:space="preserve"> 977.0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1D60BC"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14EF0E" w14:textId="77777777" w:rsidR="00ED0E85" w:rsidRDefault="00ED0E85" w:rsidP="00ED0E85">
            <w:pPr>
              <w:pStyle w:val="TableDataEntries"/>
              <w:rPr>
                <w:lang w:val="en-GB"/>
              </w:rPr>
            </w:pPr>
            <w:r>
              <w:rPr>
                <w:lang w:val="en-GB"/>
              </w:rPr>
              <w:t xml:space="preserve"> 0.0</w:t>
            </w:r>
          </w:p>
        </w:tc>
      </w:tr>
      <w:tr w:rsidR="00ED0E85" w14:paraId="009E66BC"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FD4E58" w14:textId="77777777" w:rsidR="00ED0E85" w:rsidRDefault="00ED0E85" w:rsidP="00ED0E85">
            <w:pPr>
              <w:pStyle w:val="TableDataEntries"/>
              <w:jc w:val="left"/>
              <w:rPr>
                <w:lang w:val="en-GB"/>
              </w:rPr>
            </w:pPr>
            <w:r>
              <w:rPr>
                <w:lang w:val="en-GB"/>
              </w:rPr>
              <w:t>2</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B35A6A" w14:textId="77777777" w:rsidR="00ED0E85" w:rsidRDefault="00ED0E85" w:rsidP="00ED0E85">
            <w:pPr>
              <w:pStyle w:val="TableDataEntries"/>
              <w:rPr>
                <w:lang w:val="en-GB"/>
              </w:rPr>
            </w:pPr>
            <w:r>
              <w:rPr>
                <w:lang w:val="en-GB"/>
              </w:rPr>
              <w:t xml:space="preserve"> 880.1</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A07A30" w14:textId="77777777" w:rsidR="00ED0E85" w:rsidRDefault="00ED0E85" w:rsidP="00ED0E85">
            <w:pPr>
              <w:pStyle w:val="TableDataEntries"/>
              <w:rPr>
                <w:lang w:val="en-GB"/>
              </w:rPr>
            </w:pPr>
            <w:r>
              <w:rPr>
                <w:lang w:val="en-GB"/>
              </w:rPr>
              <w:t xml:space="preserve"> 811.9</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7C4992"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1F407B" w14:textId="77777777" w:rsidR="00ED0E85" w:rsidRDefault="00ED0E85" w:rsidP="00ED0E85">
            <w:pPr>
              <w:pStyle w:val="TableDataEntries"/>
              <w:rPr>
                <w:lang w:val="en-GB"/>
              </w:rPr>
            </w:pPr>
            <w:r>
              <w:rPr>
                <w:lang w:val="en-GB"/>
              </w:rPr>
              <w:t xml:space="preserve"> 663.0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F96B5F" w14:textId="77777777" w:rsidR="00ED0E85" w:rsidRDefault="00ED0E85" w:rsidP="00ED0E85">
            <w:pPr>
              <w:pStyle w:val="TableDataEntries"/>
              <w:rPr>
                <w:lang w:val="en-GB"/>
              </w:rPr>
            </w:pPr>
            <w:r>
              <w:rPr>
                <w:lang w:val="en-GB"/>
              </w:rPr>
              <w:t xml:space="preserve"> 736.3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9920A9" w14:textId="77777777" w:rsidR="00ED0E85" w:rsidRDefault="00ED0E85" w:rsidP="00ED0E85">
            <w:pPr>
              <w:pStyle w:val="TableDataEntries"/>
              <w:rPr>
                <w:lang w:val="en-GB"/>
              </w:rPr>
            </w:pPr>
            <w:r>
              <w:rPr>
                <w:lang w:val="en-GB"/>
              </w:rPr>
              <w:t xml:space="preserve"> 810.0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86C4B1"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349736" w14:textId="77777777" w:rsidR="00ED0E85" w:rsidRDefault="00ED0E85" w:rsidP="00ED0E85">
            <w:pPr>
              <w:pStyle w:val="TableDataEntries"/>
              <w:rPr>
                <w:lang w:val="en-GB"/>
              </w:rPr>
            </w:pPr>
            <w:r>
              <w:rPr>
                <w:lang w:val="en-GB"/>
              </w:rPr>
              <w:t xml:space="preserve"> 765.0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99D573" w14:textId="77777777" w:rsidR="00ED0E85" w:rsidRDefault="00ED0E85" w:rsidP="00ED0E85">
            <w:pPr>
              <w:pStyle w:val="TableDataEntries"/>
              <w:rPr>
                <w:lang w:val="en-GB"/>
              </w:rPr>
            </w:pPr>
            <w:r>
              <w:rPr>
                <w:lang w:val="en-GB"/>
              </w:rPr>
              <w:t xml:space="preserve"> 0.0</w:t>
            </w:r>
          </w:p>
        </w:tc>
      </w:tr>
      <w:tr w:rsidR="00ED0E85" w14:paraId="14EF609B"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D7F87C" w14:textId="77777777" w:rsidR="00ED0E85" w:rsidRDefault="00ED0E85" w:rsidP="00ED0E85">
            <w:pPr>
              <w:pStyle w:val="TableDataEntries"/>
              <w:jc w:val="left"/>
              <w:rPr>
                <w:lang w:val="en-GB"/>
              </w:rPr>
            </w:pPr>
            <w:r>
              <w:rPr>
                <w:lang w:val="en-GB"/>
              </w:rPr>
              <w:t>2.5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64A41D" w14:textId="77777777" w:rsidR="00ED0E85" w:rsidRDefault="00ED0E85" w:rsidP="00ED0E85">
            <w:pPr>
              <w:pStyle w:val="TableDataEntries"/>
              <w:rPr>
                <w:lang w:val="en-GB"/>
              </w:rPr>
            </w:pPr>
            <w:r>
              <w:rPr>
                <w:lang w:val="en-GB"/>
              </w:rPr>
              <w:t xml:space="preserve"> 668.1</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F89D2B" w14:textId="77777777" w:rsidR="00ED0E85" w:rsidRDefault="00ED0E85" w:rsidP="00ED0E85">
            <w:pPr>
              <w:pStyle w:val="TableDataEntries"/>
              <w:rPr>
                <w:lang w:val="en-GB"/>
              </w:rPr>
            </w:pPr>
            <w:r>
              <w:rPr>
                <w:lang w:val="en-GB"/>
              </w:rPr>
              <w:t xml:space="preserve"> 745.8</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B229AD" w14:textId="77777777" w:rsidR="00ED0E85" w:rsidRDefault="00ED0E85" w:rsidP="00ED0E85">
            <w:pPr>
              <w:pStyle w:val="TableDataEntries"/>
              <w:rPr>
                <w:lang w:val="en-GB"/>
              </w:rPr>
            </w:pPr>
            <w:r>
              <w:rPr>
                <w:lang w:val="en-GB"/>
              </w:rPr>
              <w:t xml:space="preserve"> 790.0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F5AE61" w14:textId="77777777" w:rsidR="00ED0E85" w:rsidRDefault="00ED0E85" w:rsidP="00ED0E85">
            <w:pPr>
              <w:pStyle w:val="TableDataEntries"/>
              <w:rPr>
                <w:lang w:val="en-GB"/>
              </w:rPr>
            </w:pPr>
            <w:r>
              <w:rPr>
                <w:lang w:val="en-GB"/>
              </w:rPr>
              <w:t xml:space="preserve"> 902.5</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2FCBF5" w14:textId="77777777" w:rsidR="00ED0E85" w:rsidRDefault="00ED0E85" w:rsidP="00ED0E85">
            <w:pPr>
              <w:pStyle w:val="TableDataEntries"/>
              <w:rPr>
                <w:lang w:val="en-GB"/>
              </w:rPr>
            </w:pPr>
            <w:r>
              <w:rPr>
                <w:lang w:val="en-GB"/>
              </w:rPr>
              <w:t xml:space="preserve"> 780.5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B02E47" w14:textId="77777777" w:rsidR="00ED0E85" w:rsidRDefault="00ED0E85" w:rsidP="00ED0E85">
            <w:pPr>
              <w:pStyle w:val="TableDataEntries"/>
              <w:rPr>
                <w:lang w:val="en-GB"/>
              </w:rPr>
            </w:pPr>
            <w:r>
              <w:rPr>
                <w:lang w:val="en-GB"/>
              </w:rPr>
              <w:t xml:space="preserve"> 802.0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EC1D13"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246674" w14:textId="77777777" w:rsidR="00ED0E85" w:rsidRDefault="00ED0E85" w:rsidP="00ED0E85">
            <w:pPr>
              <w:pStyle w:val="TableDataEntries"/>
              <w:rPr>
                <w:lang w:val="en-GB"/>
              </w:rPr>
            </w:pPr>
            <w:r>
              <w:rPr>
                <w:lang w:val="en-GB"/>
              </w:rPr>
              <w:t xml:space="preserve"> 874.3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7B300E" w14:textId="77777777" w:rsidR="00ED0E85" w:rsidRDefault="00ED0E85" w:rsidP="00ED0E85">
            <w:pPr>
              <w:pStyle w:val="TableDataEntries"/>
              <w:rPr>
                <w:lang w:val="en-GB"/>
              </w:rPr>
            </w:pPr>
            <w:r>
              <w:rPr>
                <w:lang w:val="en-GB"/>
              </w:rPr>
              <w:t xml:space="preserve"> 0.0</w:t>
            </w:r>
          </w:p>
        </w:tc>
      </w:tr>
      <w:tr w:rsidR="00ED0E85" w14:paraId="1EDA49CA"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59D3C7" w14:textId="77777777" w:rsidR="00ED0E85" w:rsidRDefault="00ED0E85" w:rsidP="00ED0E85">
            <w:pPr>
              <w:pStyle w:val="TableDataEntries"/>
              <w:jc w:val="left"/>
              <w:rPr>
                <w:lang w:val="en-GB"/>
              </w:rPr>
            </w:pPr>
            <w:r>
              <w:rPr>
                <w:lang w:val="en-GB"/>
              </w:rPr>
              <w:t>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1E5F59" w14:textId="77777777" w:rsidR="00ED0E85" w:rsidRDefault="00ED0E85" w:rsidP="00ED0E85">
            <w:pPr>
              <w:pStyle w:val="TableDataEntries"/>
              <w:rPr>
                <w:lang w:val="en-GB"/>
              </w:rPr>
            </w:pPr>
            <w:r>
              <w:rPr>
                <w:lang w:val="en-GB"/>
              </w:rPr>
              <w:t xml:space="preserve"> 636.1</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3C9BF3" w14:textId="77777777" w:rsidR="00ED0E85" w:rsidRDefault="00ED0E85" w:rsidP="00ED0E85">
            <w:pPr>
              <w:pStyle w:val="TableDataEntries"/>
              <w:rPr>
                <w:lang w:val="en-GB"/>
              </w:rPr>
            </w:pPr>
            <w:r>
              <w:rPr>
                <w:lang w:val="en-GB"/>
              </w:rPr>
              <w:t xml:space="preserve"> 573.0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3758BF" w14:textId="77777777" w:rsidR="00ED0E85" w:rsidRDefault="00ED0E85" w:rsidP="00ED0E85">
            <w:pPr>
              <w:pStyle w:val="TableDataEntries"/>
              <w:rPr>
                <w:lang w:val="en-GB"/>
              </w:rPr>
            </w:pPr>
            <w:r>
              <w:rPr>
                <w:lang w:val="en-GB"/>
              </w:rPr>
              <w:t xml:space="preserve"> 598.3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547C52" w14:textId="77777777" w:rsidR="00ED0E85" w:rsidRDefault="00ED0E85" w:rsidP="00ED0E85">
            <w:pPr>
              <w:pStyle w:val="TableDataEntries"/>
              <w:rPr>
                <w:lang w:val="en-GB"/>
              </w:rPr>
            </w:pPr>
            <w:r>
              <w:rPr>
                <w:lang w:val="en-GB"/>
              </w:rPr>
              <w:t xml:space="preserve"> 809.0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32139C" w14:textId="77777777" w:rsidR="00ED0E85" w:rsidRDefault="00ED0E85" w:rsidP="00ED0E85">
            <w:pPr>
              <w:pStyle w:val="TableDataEntries"/>
              <w:rPr>
                <w:lang w:val="en-GB"/>
              </w:rPr>
            </w:pPr>
            <w:r>
              <w:rPr>
                <w:lang w:val="en-GB"/>
              </w:rPr>
              <w:t xml:space="preserve"> 526.3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26F587" w14:textId="77777777" w:rsidR="00ED0E85" w:rsidRDefault="00ED0E85" w:rsidP="00ED0E85">
            <w:pPr>
              <w:pStyle w:val="TableDataEntries"/>
              <w:rPr>
                <w:lang w:val="en-GB"/>
              </w:rPr>
            </w:pPr>
            <w:r>
              <w:rPr>
                <w:lang w:val="en-GB"/>
              </w:rPr>
              <w:t xml:space="preserve"> 636.3</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A61C2C" w14:textId="77777777" w:rsidR="00ED0E85" w:rsidRDefault="00ED0E85" w:rsidP="00ED0E85">
            <w:pPr>
              <w:pStyle w:val="TableDataEntries"/>
              <w:rPr>
                <w:lang w:val="en-GB"/>
              </w:rPr>
            </w:pPr>
            <w:r>
              <w:rPr>
                <w:lang w:val="en-GB"/>
              </w:rPr>
              <w:t xml:space="preserve"> 583.5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93C5E9" w14:textId="77777777" w:rsidR="00ED0E85" w:rsidRDefault="00ED0E85" w:rsidP="00ED0E85">
            <w:pPr>
              <w:pStyle w:val="TableDataEntries"/>
              <w:rPr>
                <w:lang w:val="en-GB"/>
              </w:rPr>
            </w:pPr>
            <w:r>
              <w:rPr>
                <w:lang w:val="en-GB"/>
              </w:rPr>
              <w:t xml:space="preserve"> 562.5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1C544A" w14:textId="77777777" w:rsidR="00ED0E85" w:rsidRDefault="00ED0E85" w:rsidP="00ED0E85">
            <w:pPr>
              <w:pStyle w:val="TableDataEntries"/>
              <w:rPr>
                <w:lang w:val="en-GB"/>
              </w:rPr>
            </w:pPr>
            <w:r>
              <w:rPr>
                <w:lang w:val="en-GB"/>
              </w:rPr>
              <w:t xml:space="preserve"> 444.0</w:t>
            </w:r>
          </w:p>
        </w:tc>
      </w:tr>
      <w:tr w:rsidR="00ED0E85" w14:paraId="071F9A4C"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4D98FC" w14:textId="77777777" w:rsidR="00ED0E85" w:rsidRDefault="00ED0E85" w:rsidP="00ED0E85">
            <w:pPr>
              <w:pStyle w:val="TableDataEntries"/>
              <w:jc w:val="left"/>
              <w:rPr>
                <w:lang w:val="en-GB"/>
              </w:rPr>
            </w:pPr>
            <w:r>
              <w:rPr>
                <w:lang w:val="en-GB"/>
              </w:rPr>
              <w:t>3.5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F2C3C7" w14:textId="77777777" w:rsidR="00ED0E85" w:rsidRDefault="00ED0E85" w:rsidP="00ED0E85">
            <w:pPr>
              <w:pStyle w:val="TableDataEntries"/>
              <w:rPr>
                <w:lang w:val="en-GB"/>
              </w:rPr>
            </w:pPr>
            <w:r>
              <w:rPr>
                <w:lang w:val="en-GB"/>
              </w:rPr>
              <w:t xml:space="preserve"> 571.4</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4D8708" w14:textId="77777777" w:rsidR="00ED0E85" w:rsidRDefault="00ED0E85" w:rsidP="00ED0E85">
            <w:pPr>
              <w:pStyle w:val="TableDataEntries"/>
              <w:rPr>
                <w:lang w:val="en-GB"/>
              </w:rPr>
            </w:pPr>
            <w:r>
              <w:rPr>
                <w:lang w:val="en-GB"/>
              </w:rPr>
              <w:t xml:space="preserve"> 570.0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41FA4D" w14:textId="77777777" w:rsidR="00ED0E85" w:rsidRDefault="00ED0E85" w:rsidP="00ED0E85">
            <w:pPr>
              <w:pStyle w:val="TableDataEntries"/>
              <w:rPr>
                <w:lang w:val="en-GB"/>
              </w:rPr>
            </w:pPr>
            <w:r>
              <w:rPr>
                <w:lang w:val="en-GB"/>
              </w:rPr>
              <w:t xml:space="preserve"> 608.8</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2C1EE3" w14:textId="77777777" w:rsidR="00ED0E85" w:rsidRDefault="00ED0E85" w:rsidP="00ED0E85">
            <w:pPr>
              <w:pStyle w:val="TableDataEntries"/>
              <w:rPr>
                <w:lang w:val="en-GB"/>
              </w:rPr>
            </w:pPr>
            <w:r>
              <w:rPr>
                <w:lang w:val="en-GB"/>
              </w:rPr>
              <w:t xml:space="preserve"> 579.0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A9A5CF" w14:textId="77777777" w:rsidR="00ED0E85" w:rsidRDefault="00ED0E85" w:rsidP="00ED0E85">
            <w:pPr>
              <w:pStyle w:val="TableDataEntries"/>
              <w:rPr>
                <w:lang w:val="en-GB"/>
              </w:rPr>
            </w:pPr>
            <w:r>
              <w:rPr>
                <w:lang w:val="en-GB"/>
              </w:rPr>
              <w:t xml:space="preserve"> 321.0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4ACAA5" w14:textId="77777777" w:rsidR="00ED0E85" w:rsidRDefault="00ED0E85" w:rsidP="00ED0E85">
            <w:pPr>
              <w:pStyle w:val="TableDataEntries"/>
              <w:rPr>
                <w:lang w:val="en-GB"/>
              </w:rPr>
            </w:pPr>
            <w:r>
              <w:rPr>
                <w:lang w:val="en-GB"/>
              </w:rPr>
              <w:t xml:space="preserve"> 564.0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4CEA9E" w14:textId="77777777" w:rsidR="00ED0E85" w:rsidRDefault="00ED0E85" w:rsidP="00ED0E85">
            <w:pPr>
              <w:pStyle w:val="TableDataEntries"/>
              <w:rPr>
                <w:lang w:val="en-GB"/>
              </w:rPr>
            </w:pPr>
            <w:r>
              <w:rPr>
                <w:lang w:val="en-GB"/>
              </w:rPr>
              <w:t xml:space="preserve"> 604.8</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D17E98" w14:textId="77777777" w:rsidR="00ED0E85" w:rsidRDefault="00ED0E85" w:rsidP="00ED0E85">
            <w:pPr>
              <w:pStyle w:val="TableDataEntries"/>
              <w:rPr>
                <w:lang w:val="en-GB"/>
              </w:rPr>
            </w:pPr>
            <w:r>
              <w:rPr>
                <w:lang w:val="en-GB"/>
              </w:rPr>
              <w:t xml:space="preserve"> 472.0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F28D33" w14:textId="77777777" w:rsidR="00ED0E85" w:rsidRDefault="00ED0E85" w:rsidP="00ED0E85">
            <w:pPr>
              <w:pStyle w:val="TableDataEntries"/>
              <w:rPr>
                <w:lang w:val="en-GB"/>
              </w:rPr>
            </w:pPr>
            <w:r>
              <w:rPr>
                <w:lang w:val="en-GB"/>
              </w:rPr>
              <w:t xml:space="preserve"> 535.0</w:t>
            </w:r>
          </w:p>
        </w:tc>
      </w:tr>
      <w:tr w:rsidR="00ED0E85" w14:paraId="19C22EEA"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6F14FF" w14:textId="77777777" w:rsidR="00ED0E85" w:rsidRDefault="00ED0E85" w:rsidP="00ED0E85">
            <w:pPr>
              <w:pStyle w:val="TableDataEntries"/>
              <w:jc w:val="left"/>
              <w:rPr>
                <w:lang w:val="en-GB"/>
              </w:rPr>
            </w:pPr>
            <w:r>
              <w:rPr>
                <w:lang w:val="en-GB"/>
              </w:rPr>
              <w:t>4</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856E1A" w14:textId="77777777" w:rsidR="00ED0E85" w:rsidRDefault="00ED0E85" w:rsidP="00ED0E85">
            <w:pPr>
              <w:pStyle w:val="TableDataEntries"/>
              <w:rPr>
                <w:lang w:val="en-GB"/>
              </w:rPr>
            </w:pPr>
            <w:r>
              <w:rPr>
                <w:lang w:val="en-GB"/>
              </w:rPr>
              <w:t xml:space="preserve"> 601.0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DDB1C3" w14:textId="77777777" w:rsidR="00ED0E85" w:rsidRDefault="00ED0E85" w:rsidP="00ED0E85">
            <w:pPr>
              <w:pStyle w:val="TableDataEntries"/>
              <w:rPr>
                <w:lang w:val="en-GB"/>
              </w:rPr>
            </w:pPr>
            <w:r>
              <w:rPr>
                <w:lang w:val="en-GB"/>
              </w:rPr>
              <w:t xml:space="preserve"> 462.8</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F96946" w14:textId="77777777" w:rsidR="00ED0E85" w:rsidRDefault="00ED0E85" w:rsidP="00ED0E85">
            <w:pPr>
              <w:pStyle w:val="TableDataEntries"/>
              <w:rPr>
                <w:lang w:val="en-GB"/>
              </w:rPr>
            </w:pPr>
            <w:r>
              <w:rPr>
                <w:lang w:val="en-GB"/>
              </w:rPr>
              <w:t xml:space="preserve"> 488.5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485755" w14:textId="77777777" w:rsidR="00ED0E85" w:rsidRDefault="00ED0E85" w:rsidP="00ED0E85">
            <w:pPr>
              <w:pStyle w:val="TableDataEntries"/>
              <w:rPr>
                <w:lang w:val="en-GB"/>
              </w:rPr>
            </w:pPr>
            <w:r>
              <w:rPr>
                <w:lang w:val="en-GB"/>
              </w:rPr>
              <w:t xml:space="preserve"> 455.0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4B147F" w14:textId="77777777" w:rsidR="00ED0E85" w:rsidRDefault="00ED0E85" w:rsidP="00ED0E85">
            <w:pPr>
              <w:pStyle w:val="TableDataEntries"/>
              <w:rPr>
                <w:lang w:val="en-GB"/>
              </w:rPr>
            </w:pPr>
            <w:r>
              <w:rPr>
                <w:lang w:val="en-GB"/>
              </w:rPr>
              <w:t xml:space="preserve"> 533.0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5E23F4" w14:textId="77777777" w:rsidR="00ED0E85" w:rsidRDefault="00ED0E85" w:rsidP="00ED0E85">
            <w:pPr>
              <w:pStyle w:val="TableDataEntries"/>
              <w:rPr>
                <w:lang w:val="en-GB"/>
              </w:rPr>
            </w:pPr>
            <w:r>
              <w:rPr>
                <w:lang w:val="en-GB"/>
              </w:rPr>
              <w:t xml:space="preserve"> 407.3</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961CFB" w14:textId="77777777" w:rsidR="00ED0E85" w:rsidRDefault="00ED0E85" w:rsidP="00ED0E85">
            <w:pPr>
              <w:pStyle w:val="TableDataEntries"/>
              <w:rPr>
                <w:lang w:val="en-GB"/>
              </w:rPr>
            </w:pPr>
            <w:r>
              <w:rPr>
                <w:lang w:val="en-GB"/>
              </w:rPr>
              <w:t xml:space="preserve"> 211.0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E2C51D" w14:textId="77777777" w:rsidR="00ED0E85" w:rsidRDefault="00ED0E85" w:rsidP="00ED0E85">
            <w:pPr>
              <w:pStyle w:val="TableDataEntries"/>
              <w:rPr>
                <w:lang w:val="en-GB"/>
              </w:rPr>
            </w:pPr>
            <w:r>
              <w:rPr>
                <w:lang w:val="en-GB"/>
              </w:rPr>
              <w:t xml:space="preserve"> 286.0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B0D403" w14:textId="77777777" w:rsidR="00ED0E85" w:rsidRDefault="00ED0E85" w:rsidP="00ED0E85">
            <w:pPr>
              <w:pStyle w:val="TableDataEntries"/>
              <w:rPr>
                <w:lang w:val="en-GB"/>
              </w:rPr>
            </w:pPr>
            <w:r>
              <w:rPr>
                <w:lang w:val="en-GB"/>
              </w:rPr>
              <w:t xml:space="preserve"> 0.0</w:t>
            </w:r>
          </w:p>
        </w:tc>
      </w:tr>
      <w:tr w:rsidR="00ED0E85" w14:paraId="72292484"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8E86D9" w14:textId="77777777" w:rsidR="00ED0E85" w:rsidRDefault="00ED0E85" w:rsidP="00ED0E85">
            <w:pPr>
              <w:pStyle w:val="TableDataEntries"/>
              <w:jc w:val="left"/>
              <w:rPr>
                <w:lang w:val="en-GB"/>
              </w:rPr>
            </w:pPr>
            <w:r>
              <w:rPr>
                <w:lang w:val="en-GB"/>
              </w:rPr>
              <w:t>4.5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D80360" w14:textId="77777777" w:rsidR="00ED0E85" w:rsidRDefault="00ED0E85" w:rsidP="00ED0E85">
            <w:pPr>
              <w:pStyle w:val="TableDataEntries"/>
              <w:rPr>
                <w:lang w:val="en-GB"/>
              </w:rPr>
            </w:pPr>
            <w:r>
              <w:rPr>
                <w:lang w:val="en-GB"/>
              </w:rPr>
              <w:t xml:space="preserve"> 303.5</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068432" w14:textId="77777777" w:rsidR="00ED0E85" w:rsidRDefault="00ED0E85" w:rsidP="00ED0E85">
            <w:pPr>
              <w:pStyle w:val="TableDataEntries"/>
              <w:rPr>
                <w:lang w:val="en-GB"/>
              </w:rPr>
            </w:pPr>
            <w:r>
              <w:rPr>
                <w:lang w:val="en-GB"/>
              </w:rPr>
              <w:t xml:space="preserve"> 329.8</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0A31A0" w14:textId="77777777" w:rsidR="00ED0E85" w:rsidRDefault="00ED0E85" w:rsidP="00ED0E85">
            <w:pPr>
              <w:pStyle w:val="TableDataEntries"/>
              <w:rPr>
                <w:lang w:val="en-GB"/>
              </w:rPr>
            </w:pPr>
            <w:r>
              <w:rPr>
                <w:lang w:val="en-GB"/>
              </w:rPr>
              <w:t xml:space="preserve"> 375.9</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1EC18E" w14:textId="77777777" w:rsidR="00ED0E85" w:rsidRDefault="00ED0E85" w:rsidP="00ED0E85">
            <w:pPr>
              <w:pStyle w:val="TableDataEntries"/>
              <w:rPr>
                <w:lang w:val="en-GB"/>
              </w:rPr>
            </w:pPr>
            <w:r>
              <w:rPr>
                <w:lang w:val="en-GB"/>
              </w:rPr>
              <w:t xml:space="preserve"> 381.3</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F45D4B" w14:textId="77777777" w:rsidR="00ED0E85" w:rsidRDefault="00ED0E85" w:rsidP="00ED0E85">
            <w:pPr>
              <w:pStyle w:val="TableDataEntries"/>
              <w:rPr>
                <w:lang w:val="en-GB"/>
              </w:rPr>
            </w:pPr>
            <w:r>
              <w:rPr>
                <w:lang w:val="en-GB"/>
              </w:rPr>
              <w:t xml:space="preserve"> 516.5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ABF80F" w14:textId="77777777" w:rsidR="00ED0E85" w:rsidRDefault="00ED0E85" w:rsidP="00ED0E85">
            <w:pPr>
              <w:pStyle w:val="TableDataEntries"/>
              <w:rPr>
                <w:lang w:val="en-GB"/>
              </w:rPr>
            </w:pPr>
            <w:r>
              <w:rPr>
                <w:lang w:val="en-GB"/>
              </w:rPr>
              <w:t xml:space="preserve"> 299.5</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585448" w14:textId="77777777" w:rsidR="00ED0E85" w:rsidRDefault="00ED0E85" w:rsidP="00ED0E85">
            <w:pPr>
              <w:pStyle w:val="TableDataEntries"/>
              <w:rPr>
                <w:lang w:val="en-GB"/>
              </w:rPr>
            </w:pPr>
            <w:r>
              <w:rPr>
                <w:lang w:val="en-GB"/>
              </w:rPr>
              <w:t xml:space="preserve"> 330.3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A6194F" w14:textId="77777777" w:rsidR="00ED0E85" w:rsidRDefault="00ED0E85" w:rsidP="00ED0E85">
            <w:pPr>
              <w:pStyle w:val="TableDataEntries"/>
              <w:rPr>
                <w:lang w:val="en-GB"/>
              </w:rPr>
            </w:pPr>
            <w:r>
              <w:rPr>
                <w:lang w:val="en-GB"/>
              </w:rPr>
              <w:t xml:space="preserve"> 319.3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25CCA9" w14:textId="77777777" w:rsidR="00ED0E85" w:rsidRDefault="00ED0E85" w:rsidP="00ED0E85">
            <w:pPr>
              <w:pStyle w:val="TableDataEntries"/>
              <w:rPr>
                <w:lang w:val="en-GB"/>
              </w:rPr>
            </w:pPr>
            <w:r>
              <w:rPr>
                <w:lang w:val="en-GB"/>
              </w:rPr>
              <w:t xml:space="preserve"> 272.5</w:t>
            </w:r>
          </w:p>
        </w:tc>
      </w:tr>
      <w:tr w:rsidR="00ED0E85" w14:paraId="12606FDC"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6AD3D7" w14:textId="77777777" w:rsidR="00ED0E85" w:rsidRDefault="00ED0E85" w:rsidP="00ED0E85">
            <w:pPr>
              <w:pStyle w:val="TableDataEntries"/>
              <w:jc w:val="left"/>
              <w:rPr>
                <w:lang w:val="en-GB"/>
              </w:rPr>
            </w:pPr>
            <w:r>
              <w:rPr>
                <w:lang w:val="en-GB"/>
              </w:rPr>
              <w:t>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4DAA8F" w14:textId="77777777" w:rsidR="00ED0E85" w:rsidRDefault="00ED0E85" w:rsidP="00ED0E85">
            <w:pPr>
              <w:pStyle w:val="TableDataEntries"/>
              <w:rPr>
                <w:lang w:val="en-GB"/>
              </w:rPr>
            </w:pPr>
            <w:r>
              <w:rPr>
                <w:lang w:val="en-GB"/>
              </w:rPr>
              <w:t xml:space="preserve"> 315.2</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95066B" w14:textId="77777777" w:rsidR="00ED0E85" w:rsidRDefault="00ED0E85" w:rsidP="00ED0E85">
            <w:pPr>
              <w:pStyle w:val="TableDataEntries"/>
              <w:rPr>
                <w:lang w:val="en-GB"/>
              </w:rPr>
            </w:pPr>
            <w:r>
              <w:rPr>
                <w:lang w:val="en-GB"/>
              </w:rPr>
              <w:t xml:space="preserve"> 355.5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2401E0" w14:textId="77777777" w:rsidR="00ED0E85" w:rsidRDefault="00ED0E85" w:rsidP="00ED0E85">
            <w:pPr>
              <w:pStyle w:val="TableDataEntries"/>
              <w:rPr>
                <w:lang w:val="en-GB"/>
              </w:rPr>
            </w:pPr>
            <w:r>
              <w:rPr>
                <w:lang w:val="en-GB"/>
              </w:rPr>
              <w:t xml:space="preserve"> 393.0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68C165" w14:textId="77777777" w:rsidR="00ED0E85" w:rsidRDefault="00ED0E85" w:rsidP="00ED0E85">
            <w:pPr>
              <w:pStyle w:val="TableDataEntries"/>
              <w:rPr>
                <w:lang w:val="en-GB"/>
              </w:rPr>
            </w:pPr>
            <w:r>
              <w:rPr>
                <w:lang w:val="en-GB"/>
              </w:rPr>
              <w:t xml:space="preserve"> 429.0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D0236C" w14:textId="77777777" w:rsidR="00ED0E85" w:rsidRDefault="00ED0E85" w:rsidP="00ED0E85">
            <w:pPr>
              <w:pStyle w:val="TableDataEntries"/>
              <w:rPr>
                <w:lang w:val="en-GB"/>
              </w:rPr>
            </w:pPr>
            <w:r>
              <w:rPr>
                <w:lang w:val="en-GB"/>
              </w:rPr>
              <w:t xml:space="preserve"> 443.5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EBB703"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D89A39" w14:textId="77777777" w:rsidR="00ED0E85" w:rsidRDefault="00ED0E85" w:rsidP="00ED0E85">
            <w:pPr>
              <w:pStyle w:val="TableDataEntries"/>
              <w:rPr>
                <w:lang w:val="en-GB"/>
              </w:rPr>
            </w:pPr>
            <w:r>
              <w:rPr>
                <w:lang w:val="en-GB"/>
              </w:rPr>
              <w:t xml:space="preserve"> 406.2</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A15606" w14:textId="77777777" w:rsidR="00ED0E85" w:rsidRDefault="00ED0E85" w:rsidP="00ED0E85">
            <w:pPr>
              <w:pStyle w:val="TableDataEntries"/>
              <w:rPr>
                <w:lang w:val="en-GB"/>
              </w:rPr>
            </w:pPr>
            <w:r>
              <w:rPr>
                <w:lang w:val="en-GB"/>
              </w:rPr>
              <w:t xml:space="preserve"> 296.6</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6E0271" w14:textId="77777777" w:rsidR="00ED0E85" w:rsidRDefault="00ED0E85" w:rsidP="00ED0E85">
            <w:pPr>
              <w:pStyle w:val="TableDataEntries"/>
              <w:rPr>
                <w:lang w:val="en-GB"/>
              </w:rPr>
            </w:pPr>
            <w:r>
              <w:rPr>
                <w:lang w:val="en-GB"/>
              </w:rPr>
              <w:t xml:space="preserve"> 0.0</w:t>
            </w:r>
          </w:p>
        </w:tc>
      </w:tr>
      <w:tr w:rsidR="00ED0E85" w14:paraId="0640DC34"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B0175A" w14:textId="77777777" w:rsidR="00ED0E85" w:rsidRDefault="00ED0E85" w:rsidP="00ED0E85">
            <w:pPr>
              <w:pStyle w:val="TableDataEntries"/>
              <w:jc w:val="left"/>
              <w:rPr>
                <w:lang w:val="en-GB"/>
              </w:rPr>
            </w:pPr>
            <w:r>
              <w:rPr>
                <w:lang w:val="en-GB"/>
              </w:rPr>
              <w:t>5.5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7C95A9" w14:textId="77777777" w:rsidR="00ED0E85" w:rsidRDefault="00ED0E85" w:rsidP="00ED0E85">
            <w:pPr>
              <w:pStyle w:val="TableDataEntries"/>
              <w:rPr>
                <w:lang w:val="en-GB"/>
              </w:rPr>
            </w:pPr>
            <w:r>
              <w:rPr>
                <w:lang w:val="en-GB"/>
              </w:rPr>
              <w:t xml:space="preserve"> 179.0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86568C" w14:textId="77777777" w:rsidR="00ED0E85" w:rsidRDefault="00ED0E85" w:rsidP="00ED0E85">
            <w:pPr>
              <w:pStyle w:val="TableDataEntries"/>
              <w:rPr>
                <w:lang w:val="en-GB"/>
              </w:rPr>
            </w:pPr>
            <w:r>
              <w:rPr>
                <w:lang w:val="en-GB"/>
              </w:rPr>
              <w:t xml:space="preserve"> 187.0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B3371E"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562FD9" w14:textId="77777777" w:rsidR="00ED0E85" w:rsidRDefault="00ED0E85" w:rsidP="00ED0E85">
            <w:pPr>
              <w:pStyle w:val="TableDataEntries"/>
              <w:rPr>
                <w:lang w:val="en-GB"/>
              </w:rPr>
            </w:pPr>
            <w:r>
              <w:rPr>
                <w:lang w:val="en-GB"/>
              </w:rPr>
              <w:t xml:space="preserve"> 479.0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766947"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B1B3A5" w14:textId="77777777" w:rsidR="00ED0E85" w:rsidRDefault="00ED0E85" w:rsidP="00ED0E85">
            <w:pPr>
              <w:pStyle w:val="TableDataEntries"/>
              <w:rPr>
                <w:lang w:val="en-GB"/>
              </w:rPr>
            </w:pPr>
            <w:r>
              <w:rPr>
                <w:lang w:val="en-GB"/>
              </w:rPr>
              <w:t xml:space="preserve"> 246.0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457551" w14:textId="77777777" w:rsidR="00ED0E85" w:rsidRDefault="00ED0E85" w:rsidP="00ED0E85">
            <w:pPr>
              <w:pStyle w:val="TableDataEntries"/>
              <w:rPr>
                <w:lang w:val="en-GB"/>
              </w:rPr>
            </w:pPr>
            <w:r>
              <w:rPr>
                <w:lang w:val="en-GB"/>
              </w:rPr>
              <w:t xml:space="preserve"> 369.0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B27CFD" w14:textId="77777777" w:rsidR="00ED0E85" w:rsidRDefault="00ED0E85" w:rsidP="00ED0E85">
            <w:pPr>
              <w:pStyle w:val="TableDataEntries"/>
              <w:rPr>
                <w:lang w:val="en-GB"/>
              </w:rPr>
            </w:pPr>
            <w:r>
              <w:rPr>
                <w:lang w:val="en-GB"/>
              </w:rPr>
              <w:t xml:space="preserve"> 240.0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71EA93" w14:textId="77777777" w:rsidR="00ED0E85" w:rsidRDefault="00ED0E85" w:rsidP="00ED0E85">
            <w:pPr>
              <w:pStyle w:val="TableDataEntries"/>
              <w:rPr>
                <w:lang w:val="en-GB"/>
              </w:rPr>
            </w:pPr>
            <w:r>
              <w:rPr>
                <w:lang w:val="en-GB"/>
              </w:rPr>
              <w:t xml:space="preserve"> 0.0</w:t>
            </w:r>
          </w:p>
        </w:tc>
      </w:tr>
      <w:tr w:rsidR="00ED0E85" w14:paraId="21A462BA"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4C5F5B" w14:textId="77777777" w:rsidR="00ED0E85" w:rsidRDefault="00ED0E85" w:rsidP="00ED0E85">
            <w:pPr>
              <w:pStyle w:val="TableDataEntries"/>
              <w:jc w:val="left"/>
              <w:rPr>
                <w:lang w:val="en-GB"/>
              </w:rPr>
            </w:pPr>
            <w:r>
              <w:rPr>
                <w:lang w:val="en-GB"/>
              </w:rPr>
              <w:t>6</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F2DCD4"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0EA8C1"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6CBD18"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9F1869"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78540E"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3D63BE"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2854E1"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4D01F2"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508251" w14:textId="77777777" w:rsidR="00ED0E85" w:rsidRDefault="00ED0E85" w:rsidP="00ED0E85">
            <w:pPr>
              <w:pStyle w:val="TableDataEntries"/>
              <w:rPr>
                <w:lang w:val="en-GB"/>
              </w:rPr>
            </w:pPr>
            <w:r>
              <w:rPr>
                <w:lang w:val="en-GB"/>
              </w:rPr>
              <w:t xml:space="preserve"> 0.0</w:t>
            </w:r>
          </w:p>
        </w:tc>
      </w:tr>
      <w:tr w:rsidR="00ED0E85" w14:paraId="5EE4000F" w14:textId="77777777" w:rsidTr="00ED0E85">
        <w:trPr>
          <w:trHeight w:val="230"/>
        </w:trPr>
        <w:tc>
          <w:tcPr>
            <w:tcW w:w="1627" w:type="dxa"/>
            <w:gridSpan w:val="2"/>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A6C3271" w14:textId="77777777" w:rsidR="00ED0E85" w:rsidRDefault="00ED0E85" w:rsidP="00ED0E85">
            <w:pPr>
              <w:pStyle w:val="TableHeading1"/>
              <w:rPr>
                <w:lang w:val="en-GB"/>
              </w:rPr>
            </w:pPr>
            <w:r>
              <w:rPr>
                <w:lang w:val="en-GB"/>
              </w:rPr>
              <w:t>Queensland</w:t>
            </w: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3D7EDB8"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DC78F6C"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BD60B70"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D817C0F"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B814A60"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A0F39B0"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524F5AC"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5F18E11" w14:textId="77777777" w:rsidR="00ED0E85" w:rsidRDefault="00ED0E85" w:rsidP="00ED0E85">
            <w:pPr>
              <w:pStyle w:val="TableHeading1"/>
              <w:rPr>
                <w:lang w:val="en-GB"/>
              </w:rPr>
            </w:pPr>
          </w:p>
        </w:tc>
      </w:tr>
      <w:tr w:rsidR="00ED0E85" w14:paraId="40D38C83"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E33024" w14:textId="77777777" w:rsidR="00ED0E85" w:rsidRDefault="00ED0E85" w:rsidP="00ED0E85">
            <w:pPr>
              <w:pStyle w:val="TableDataEntries"/>
              <w:jc w:val="left"/>
              <w:rPr>
                <w:lang w:val="en-GB"/>
              </w:rPr>
            </w:pPr>
            <w:r>
              <w:rPr>
                <w:lang w:val="en-GB"/>
              </w:rPr>
              <w:t>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BAB61D" w14:textId="77777777" w:rsidR="00ED0E85" w:rsidRDefault="00ED0E85" w:rsidP="00ED0E85">
            <w:pPr>
              <w:pStyle w:val="TableDataEntries"/>
              <w:rPr>
                <w:lang w:val="en-GB"/>
              </w:rPr>
            </w:pPr>
            <w:r>
              <w:rPr>
                <w:lang w:val="en-GB"/>
              </w:rPr>
              <w:t>1 133.0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E932B3" w14:textId="77777777" w:rsidR="00ED0E85" w:rsidRDefault="00ED0E85" w:rsidP="00ED0E85">
            <w:pPr>
              <w:pStyle w:val="TableDataEntries"/>
              <w:rPr>
                <w:lang w:val="en-GB"/>
              </w:rPr>
            </w:pPr>
            <w:r>
              <w:rPr>
                <w:lang w:val="en-GB"/>
              </w:rPr>
              <w:t xml:space="preserve"> 921.2</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4AF7C3" w14:textId="77777777" w:rsidR="00ED0E85" w:rsidRDefault="00ED0E85" w:rsidP="00ED0E85">
            <w:pPr>
              <w:pStyle w:val="TableDataEntries"/>
              <w:rPr>
                <w:lang w:val="en-GB"/>
              </w:rPr>
            </w:pPr>
            <w:r>
              <w:rPr>
                <w:lang w:val="en-GB"/>
              </w:rPr>
              <w:t xml:space="preserve"> 903.3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0FBB8C"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9ABD2E" w14:textId="77777777" w:rsidR="00ED0E85" w:rsidRDefault="00ED0E85" w:rsidP="00ED0E85">
            <w:pPr>
              <w:pStyle w:val="TableDataEntries"/>
              <w:rPr>
                <w:lang w:val="en-GB"/>
              </w:rPr>
            </w:pPr>
            <w:r>
              <w:rPr>
                <w:lang w:val="en-GB"/>
              </w:rPr>
              <w:t xml:space="preserve"> 881.0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5866F2" w14:textId="77777777" w:rsidR="00ED0E85" w:rsidRDefault="00ED0E85" w:rsidP="00ED0E85">
            <w:pPr>
              <w:pStyle w:val="TableDataEntries"/>
              <w:rPr>
                <w:lang w:val="en-GB"/>
              </w:rPr>
            </w:pPr>
            <w:r>
              <w:rPr>
                <w:lang w:val="en-GB"/>
              </w:rPr>
              <w:t xml:space="preserve"> 824.5</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725EED" w14:textId="77777777" w:rsidR="00ED0E85" w:rsidRDefault="00ED0E85" w:rsidP="00ED0E85">
            <w:pPr>
              <w:pStyle w:val="TableDataEntries"/>
              <w:rPr>
                <w:lang w:val="en-GB"/>
              </w:rPr>
            </w:pPr>
            <w:r>
              <w:rPr>
                <w:lang w:val="en-GB"/>
              </w:rPr>
              <w:t>1 119.6</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B0A49B" w14:textId="77777777" w:rsidR="00ED0E85" w:rsidRDefault="00ED0E85" w:rsidP="00ED0E85">
            <w:pPr>
              <w:pStyle w:val="TableDataEntries"/>
              <w:rPr>
                <w:lang w:val="en-GB"/>
              </w:rPr>
            </w:pPr>
            <w:r>
              <w:rPr>
                <w:lang w:val="en-GB"/>
              </w:rPr>
              <w:t>1 101.1</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A7A78C" w14:textId="77777777" w:rsidR="00ED0E85" w:rsidRDefault="00ED0E85" w:rsidP="00ED0E85">
            <w:pPr>
              <w:pStyle w:val="TableDataEntries"/>
              <w:rPr>
                <w:lang w:val="en-GB"/>
              </w:rPr>
            </w:pPr>
            <w:r>
              <w:rPr>
                <w:lang w:val="en-GB"/>
              </w:rPr>
              <w:t>1 021.0</w:t>
            </w:r>
          </w:p>
        </w:tc>
      </w:tr>
      <w:tr w:rsidR="00ED0E85" w14:paraId="7D04526B"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C25196" w14:textId="77777777" w:rsidR="00ED0E85" w:rsidRDefault="00ED0E85" w:rsidP="00ED0E85">
            <w:pPr>
              <w:pStyle w:val="TableDataEntries"/>
              <w:jc w:val="left"/>
              <w:rPr>
                <w:lang w:val="en-GB"/>
              </w:rPr>
            </w:pPr>
            <w:r>
              <w:rPr>
                <w:lang w:val="en-GB"/>
              </w:rPr>
              <w:t>1</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C0B2B8" w14:textId="77777777" w:rsidR="00ED0E85" w:rsidRDefault="00ED0E85" w:rsidP="00ED0E85">
            <w:pPr>
              <w:pStyle w:val="TableDataEntries"/>
              <w:rPr>
                <w:lang w:val="en-GB"/>
              </w:rPr>
            </w:pPr>
            <w:r>
              <w:rPr>
                <w:lang w:val="en-GB"/>
              </w:rPr>
              <w:t xml:space="preserve"> 623.8</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9524C5" w14:textId="77777777" w:rsidR="00ED0E85" w:rsidRDefault="00ED0E85" w:rsidP="00ED0E85">
            <w:pPr>
              <w:pStyle w:val="TableDataEntries"/>
              <w:rPr>
                <w:lang w:val="en-GB"/>
              </w:rPr>
            </w:pPr>
            <w:r>
              <w:rPr>
                <w:lang w:val="en-GB"/>
              </w:rPr>
              <w:t xml:space="preserve"> 607.5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B070EF" w14:textId="77777777" w:rsidR="00ED0E85" w:rsidRDefault="00ED0E85" w:rsidP="00ED0E85">
            <w:pPr>
              <w:pStyle w:val="TableDataEntries"/>
              <w:rPr>
                <w:lang w:val="en-GB"/>
              </w:rPr>
            </w:pPr>
            <w:r>
              <w:rPr>
                <w:lang w:val="en-GB"/>
              </w:rPr>
              <w:t xml:space="preserve"> 658.8</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E952B8"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174B24"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AA65F1" w14:textId="77777777" w:rsidR="00ED0E85" w:rsidRDefault="00ED0E85" w:rsidP="00ED0E85">
            <w:pPr>
              <w:pStyle w:val="TableDataEntries"/>
              <w:rPr>
                <w:lang w:val="en-GB"/>
              </w:rPr>
            </w:pPr>
            <w:r>
              <w:rPr>
                <w:lang w:val="en-GB"/>
              </w:rPr>
              <w:t xml:space="preserve"> 636.0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159B6C" w14:textId="77777777" w:rsidR="00ED0E85" w:rsidRDefault="00ED0E85" w:rsidP="00ED0E85">
            <w:pPr>
              <w:pStyle w:val="TableDataEntries"/>
              <w:rPr>
                <w:lang w:val="en-GB"/>
              </w:rPr>
            </w:pPr>
            <w:r>
              <w:rPr>
                <w:lang w:val="en-GB"/>
              </w:rPr>
              <w:t xml:space="preserve"> 622.0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F88C5F" w14:textId="77777777" w:rsidR="00ED0E85" w:rsidRDefault="00ED0E85" w:rsidP="00ED0E85">
            <w:pPr>
              <w:pStyle w:val="TableDataEntries"/>
              <w:rPr>
                <w:lang w:val="en-GB"/>
              </w:rPr>
            </w:pPr>
            <w:r>
              <w:rPr>
                <w:lang w:val="en-GB"/>
              </w:rPr>
              <w:t xml:space="preserve"> 637.0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2E0862" w14:textId="77777777" w:rsidR="00ED0E85" w:rsidRDefault="00ED0E85" w:rsidP="00ED0E85">
            <w:pPr>
              <w:pStyle w:val="TableDataEntries"/>
              <w:rPr>
                <w:lang w:val="en-GB"/>
              </w:rPr>
            </w:pPr>
            <w:r>
              <w:rPr>
                <w:lang w:val="en-GB"/>
              </w:rPr>
              <w:t xml:space="preserve"> 655.0</w:t>
            </w:r>
          </w:p>
        </w:tc>
      </w:tr>
      <w:tr w:rsidR="00ED0E85" w14:paraId="5D4D2AD0"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DAC344" w14:textId="77777777" w:rsidR="00ED0E85" w:rsidRDefault="00ED0E85" w:rsidP="00ED0E85">
            <w:pPr>
              <w:pStyle w:val="TableDataEntries"/>
              <w:jc w:val="left"/>
              <w:rPr>
                <w:lang w:val="en-GB"/>
              </w:rPr>
            </w:pPr>
            <w:r>
              <w:rPr>
                <w:lang w:val="en-GB"/>
              </w:rPr>
              <w:t>1.5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81CCDD" w14:textId="77777777" w:rsidR="00ED0E85" w:rsidRDefault="00ED0E85" w:rsidP="00ED0E85">
            <w:pPr>
              <w:pStyle w:val="TableDataEntries"/>
              <w:rPr>
                <w:lang w:val="en-GB"/>
              </w:rPr>
            </w:pPr>
            <w:r>
              <w:rPr>
                <w:lang w:val="en-GB"/>
              </w:rPr>
              <w:t xml:space="preserve"> 599.0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9D06DD" w14:textId="77777777" w:rsidR="00ED0E85" w:rsidRDefault="00ED0E85" w:rsidP="00ED0E85">
            <w:pPr>
              <w:pStyle w:val="TableDataEntries"/>
              <w:rPr>
                <w:lang w:val="en-GB"/>
              </w:rPr>
            </w:pPr>
            <w:r>
              <w:rPr>
                <w:lang w:val="en-GB"/>
              </w:rPr>
              <w:t xml:space="preserve"> 600.0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1D1830" w14:textId="77777777" w:rsidR="00ED0E85" w:rsidRDefault="00ED0E85" w:rsidP="00ED0E85">
            <w:pPr>
              <w:pStyle w:val="TableDataEntries"/>
              <w:rPr>
                <w:lang w:val="en-GB"/>
              </w:rPr>
            </w:pPr>
            <w:r>
              <w:rPr>
                <w:lang w:val="en-GB"/>
              </w:rPr>
              <w:t xml:space="preserve"> 641.0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35C35B" w14:textId="77777777" w:rsidR="00ED0E85" w:rsidRDefault="00ED0E85" w:rsidP="00ED0E85">
            <w:pPr>
              <w:pStyle w:val="TableDataEntries"/>
              <w:rPr>
                <w:lang w:val="en-GB"/>
              </w:rPr>
            </w:pPr>
            <w:r>
              <w:rPr>
                <w:lang w:val="en-GB"/>
              </w:rPr>
              <w:t xml:space="preserve"> 589.0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942C55" w14:textId="77777777" w:rsidR="00ED0E85" w:rsidRDefault="00ED0E85" w:rsidP="00ED0E85">
            <w:pPr>
              <w:pStyle w:val="TableDataEntries"/>
              <w:rPr>
                <w:lang w:val="en-GB"/>
              </w:rPr>
            </w:pPr>
            <w:r>
              <w:rPr>
                <w:lang w:val="en-GB"/>
              </w:rPr>
              <w:t xml:space="preserve"> 621.0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75B482"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9AD458" w14:textId="77777777" w:rsidR="00ED0E85" w:rsidRDefault="00ED0E85" w:rsidP="00ED0E85">
            <w:pPr>
              <w:pStyle w:val="TableDataEntries"/>
              <w:rPr>
                <w:lang w:val="en-GB"/>
              </w:rPr>
            </w:pPr>
            <w:r>
              <w:rPr>
                <w:lang w:val="en-GB"/>
              </w:rPr>
              <w:t xml:space="preserve"> 655.0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D0E3C5"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BEF86C" w14:textId="77777777" w:rsidR="00ED0E85" w:rsidRDefault="00ED0E85" w:rsidP="00ED0E85">
            <w:pPr>
              <w:pStyle w:val="TableDataEntries"/>
              <w:rPr>
                <w:lang w:val="en-GB"/>
              </w:rPr>
            </w:pPr>
            <w:r>
              <w:rPr>
                <w:lang w:val="en-GB"/>
              </w:rPr>
              <w:t xml:space="preserve"> 0.0</w:t>
            </w:r>
          </w:p>
        </w:tc>
      </w:tr>
      <w:tr w:rsidR="00ED0E85" w14:paraId="207DCC22"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7056D5" w14:textId="77777777" w:rsidR="00ED0E85" w:rsidRDefault="00ED0E85" w:rsidP="00ED0E85">
            <w:pPr>
              <w:pStyle w:val="TableDataEntries"/>
              <w:jc w:val="left"/>
              <w:rPr>
                <w:lang w:val="en-GB"/>
              </w:rPr>
            </w:pPr>
            <w:r>
              <w:rPr>
                <w:lang w:val="en-GB"/>
              </w:rPr>
              <w:t>2</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C03174" w14:textId="77777777" w:rsidR="00ED0E85" w:rsidRDefault="00ED0E85" w:rsidP="00ED0E85">
            <w:pPr>
              <w:pStyle w:val="TableDataEntries"/>
              <w:rPr>
                <w:lang w:val="en-GB"/>
              </w:rPr>
            </w:pPr>
            <w:r>
              <w:rPr>
                <w:lang w:val="en-GB"/>
              </w:rPr>
              <w:t xml:space="preserve"> 591.6</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35DD39" w14:textId="77777777" w:rsidR="00ED0E85" w:rsidRDefault="00ED0E85" w:rsidP="00ED0E85">
            <w:pPr>
              <w:pStyle w:val="TableDataEntries"/>
              <w:rPr>
                <w:lang w:val="en-GB"/>
              </w:rPr>
            </w:pPr>
            <w:r>
              <w:rPr>
                <w:lang w:val="en-GB"/>
              </w:rPr>
              <w:t xml:space="preserve"> 548.7</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74A262" w14:textId="77777777" w:rsidR="00ED0E85" w:rsidRDefault="00ED0E85" w:rsidP="00ED0E85">
            <w:pPr>
              <w:pStyle w:val="TableDataEntries"/>
              <w:rPr>
                <w:lang w:val="en-GB"/>
              </w:rPr>
            </w:pPr>
            <w:r>
              <w:rPr>
                <w:lang w:val="en-GB"/>
              </w:rPr>
              <w:t xml:space="preserve"> 568.3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8658CC"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098A17"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03511E" w14:textId="77777777" w:rsidR="00ED0E85" w:rsidRDefault="00ED0E85" w:rsidP="00ED0E85">
            <w:pPr>
              <w:pStyle w:val="TableDataEntries"/>
              <w:rPr>
                <w:lang w:val="en-GB"/>
              </w:rPr>
            </w:pPr>
            <w:r>
              <w:rPr>
                <w:lang w:val="en-GB"/>
              </w:rPr>
              <w:t xml:space="preserve"> 558.5</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4BF804" w14:textId="77777777" w:rsidR="00ED0E85" w:rsidRDefault="00ED0E85" w:rsidP="00ED0E85">
            <w:pPr>
              <w:pStyle w:val="TableDataEntries"/>
              <w:rPr>
                <w:lang w:val="en-GB"/>
              </w:rPr>
            </w:pPr>
            <w:r>
              <w:rPr>
                <w:lang w:val="en-GB"/>
              </w:rPr>
              <w:t xml:space="preserve"> 525.0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767EB4" w14:textId="77777777" w:rsidR="00ED0E85" w:rsidRDefault="00ED0E85" w:rsidP="00ED0E85">
            <w:pPr>
              <w:pStyle w:val="TableDataEntries"/>
              <w:rPr>
                <w:lang w:val="en-GB"/>
              </w:rPr>
            </w:pPr>
            <w:r>
              <w:rPr>
                <w:lang w:val="en-GB"/>
              </w:rPr>
              <w:t xml:space="preserve"> 542.0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E7A3A6" w14:textId="77777777" w:rsidR="00ED0E85" w:rsidRDefault="00ED0E85" w:rsidP="00ED0E85">
            <w:pPr>
              <w:pStyle w:val="TableDataEntries"/>
              <w:rPr>
                <w:lang w:val="en-GB"/>
              </w:rPr>
            </w:pPr>
            <w:r>
              <w:rPr>
                <w:lang w:val="en-GB"/>
              </w:rPr>
              <w:t xml:space="preserve"> 645.0</w:t>
            </w:r>
          </w:p>
        </w:tc>
      </w:tr>
      <w:tr w:rsidR="00ED0E85" w14:paraId="4E580C16"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50CEA01" w14:textId="77777777" w:rsidR="00ED0E85" w:rsidRDefault="00ED0E85" w:rsidP="00ED0E85">
            <w:pPr>
              <w:pStyle w:val="TableDataEntries"/>
              <w:jc w:val="left"/>
              <w:rPr>
                <w:lang w:val="en-GB"/>
              </w:rPr>
            </w:pPr>
            <w:r>
              <w:rPr>
                <w:lang w:val="en-GB"/>
              </w:rPr>
              <w:t>2.5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79DDF0" w14:textId="77777777" w:rsidR="00ED0E85" w:rsidRDefault="00ED0E85" w:rsidP="00ED0E85">
            <w:pPr>
              <w:pStyle w:val="TableDataEntries"/>
              <w:rPr>
                <w:lang w:val="en-GB"/>
              </w:rPr>
            </w:pPr>
            <w:r>
              <w:rPr>
                <w:lang w:val="en-GB"/>
              </w:rPr>
              <w:t xml:space="preserve"> 522.0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441527" w14:textId="77777777" w:rsidR="00ED0E85" w:rsidRDefault="00ED0E85" w:rsidP="00ED0E85">
            <w:pPr>
              <w:pStyle w:val="TableDataEntries"/>
              <w:rPr>
                <w:lang w:val="en-GB"/>
              </w:rPr>
            </w:pPr>
            <w:r>
              <w:rPr>
                <w:lang w:val="en-GB"/>
              </w:rPr>
              <w:t xml:space="preserve"> 530.7</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EC789F" w14:textId="77777777" w:rsidR="00ED0E85" w:rsidRDefault="00ED0E85" w:rsidP="00ED0E85">
            <w:pPr>
              <w:pStyle w:val="TableDataEntries"/>
              <w:rPr>
                <w:lang w:val="en-GB"/>
              </w:rPr>
            </w:pPr>
            <w:r>
              <w:rPr>
                <w:lang w:val="en-GB"/>
              </w:rPr>
              <w:t xml:space="preserve"> 507.0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DC448E" w14:textId="77777777" w:rsidR="00ED0E85" w:rsidRDefault="00ED0E85" w:rsidP="00ED0E85">
            <w:pPr>
              <w:pStyle w:val="TableDataEntries"/>
              <w:rPr>
                <w:lang w:val="en-GB"/>
              </w:rPr>
            </w:pPr>
            <w:r>
              <w:rPr>
                <w:lang w:val="en-GB"/>
              </w:rPr>
              <w:t xml:space="preserve"> 514.0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3EB86D"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361A51" w14:textId="77777777" w:rsidR="00ED0E85" w:rsidRDefault="00ED0E85" w:rsidP="00ED0E85">
            <w:pPr>
              <w:pStyle w:val="TableDataEntries"/>
              <w:rPr>
                <w:lang w:val="en-GB"/>
              </w:rPr>
            </w:pPr>
            <w:r>
              <w:rPr>
                <w:lang w:val="en-GB"/>
              </w:rPr>
              <w:t xml:space="preserve"> 483.0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9C84D7"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A13035" w14:textId="77777777" w:rsidR="00ED0E85" w:rsidRDefault="00ED0E85" w:rsidP="00ED0E85">
            <w:pPr>
              <w:pStyle w:val="TableDataEntries"/>
              <w:rPr>
                <w:lang w:val="en-GB"/>
              </w:rPr>
            </w:pPr>
            <w:r>
              <w:rPr>
                <w:lang w:val="en-GB"/>
              </w:rPr>
              <w:t xml:space="preserve"> 558.0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C31DB8" w14:textId="77777777" w:rsidR="00ED0E85" w:rsidRDefault="00ED0E85" w:rsidP="00ED0E85">
            <w:pPr>
              <w:pStyle w:val="TableDataEntries"/>
              <w:rPr>
                <w:lang w:val="en-GB"/>
              </w:rPr>
            </w:pPr>
            <w:r>
              <w:rPr>
                <w:lang w:val="en-GB"/>
              </w:rPr>
              <w:t xml:space="preserve"> 0.0</w:t>
            </w:r>
          </w:p>
        </w:tc>
      </w:tr>
      <w:tr w:rsidR="00ED0E85" w14:paraId="2CEFCE85"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D485BB" w14:textId="77777777" w:rsidR="00ED0E85" w:rsidRDefault="00ED0E85" w:rsidP="00ED0E85">
            <w:pPr>
              <w:pStyle w:val="TableDataEntries"/>
              <w:jc w:val="left"/>
              <w:rPr>
                <w:lang w:val="en-GB"/>
              </w:rPr>
            </w:pPr>
            <w:r>
              <w:rPr>
                <w:lang w:val="en-GB"/>
              </w:rPr>
              <w:t>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1B1353" w14:textId="77777777" w:rsidR="00ED0E85" w:rsidRDefault="00ED0E85" w:rsidP="00ED0E85">
            <w:pPr>
              <w:pStyle w:val="TableDataEntries"/>
              <w:rPr>
                <w:lang w:val="en-GB"/>
              </w:rPr>
            </w:pPr>
            <w:r>
              <w:rPr>
                <w:lang w:val="en-GB"/>
              </w:rPr>
              <w:t xml:space="preserve"> 516.8</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C1406C" w14:textId="77777777" w:rsidR="00ED0E85" w:rsidRDefault="00ED0E85" w:rsidP="00ED0E85">
            <w:pPr>
              <w:pStyle w:val="TableDataEntries"/>
              <w:rPr>
                <w:lang w:val="en-GB"/>
              </w:rPr>
            </w:pPr>
            <w:r>
              <w:rPr>
                <w:lang w:val="en-GB"/>
              </w:rPr>
              <w:t xml:space="preserve"> 517.0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D1774E"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DABFC9" w14:textId="77777777" w:rsidR="00ED0E85" w:rsidRDefault="00ED0E85" w:rsidP="00ED0E85">
            <w:pPr>
              <w:pStyle w:val="TableDataEntries"/>
              <w:rPr>
                <w:lang w:val="en-GB"/>
              </w:rPr>
            </w:pPr>
            <w:r>
              <w:rPr>
                <w:lang w:val="en-GB"/>
              </w:rPr>
              <w:t xml:space="preserve"> 493.5</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FC2A55" w14:textId="77777777" w:rsidR="00ED0E85" w:rsidRDefault="00ED0E85" w:rsidP="00ED0E85">
            <w:pPr>
              <w:pStyle w:val="TableDataEntries"/>
              <w:rPr>
                <w:lang w:val="en-GB"/>
              </w:rPr>
            </w:pPr>
            <w:r>
              <w:rPr>
                <w:lang w:val="en-GB"/>
              </w:rPr>
              <w:t xml:space="preserve"> 490.0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F0CE13"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1EAEE2" w14:textId="77777777" w:rsidR="00ED0E85" w:rsidRDefault="00ED0E85" w:rsidP="00ED0E85">
            <w:pPr>
              <w:pStyle w:val="TableDataEntries"/>
              <w:rPr>
                <w:lang w:val="en-GB"/>
              </w:rPr>
            </w:pPr>
            <w:r>
              <w:rPr>
                <w:lang w:val="en-GB"/>
              </w:rPr>
              <w:t xml:space="preserve"> 474.0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27D0DF"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84BA68" w14:textId="77777777" w:rsidR="00ED0E85" w:rsidRDefault="00ED0E85" w:rsidP="00ED0E85">
            <w:pPr>
              <w:pStyle w:val="TableDataEntries"/>
              <w:rPr>
                <w:lang w:val="en-GB"/>
              </w:rPr>
            </w:pPr>
            <w:r>
              <w:rPr>
                <w:lang w:val="en-GB"/>
              </w:rPr>
              <w:t xml:space="preserve"> 0.0</w:t>
            </w:r>
          </w:p>
        </w:tc>
      </w:tr>
      <w:tr w:rsidR="00ED0E85" w14:paraId="6278C9F4"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D29AA3" w14:textId="77777777" w:rsidR="00ED0E85" w:rsidRDefault="00ED0E85" w:rsidP="00ED0E85">
            <w:pPr>
              <w:pStyle w:val="TableDataEntries"/>
              <w:jc w:val="left"/>
              <w:rPr>
                <w:lang w:val="en-GB"/>
              </w:rPr>
            </w:pPr>
            <w:r>
              <w:rPr>
                <w:lang w:val="en-GB"/>
              </w:rPr>
              <w:t>3.5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831C48" w14:textId="77777777" w:rsidR="00ED0E85" w:rsidRDefault="00ED0E85" w:rsidP="00ED0E85">
            <w:pPr>
              <w:pStyle w:val="TableDataEntries"/>
              <w:rPr>
                <w:lang w:val="en-GB"/>
              </w:rPr>
            </w:pPr>
            <w:r>
              <w:rPr>
                <w:lang w:val="en-GB"/>
              </w:rPr>
              <w:t xml:space="preserve"> 445.7</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E0D16B"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CED8DA" w14:textId="77777777" w:rsidR="00ED0E85" w:rsidRDefault="00ED0E85" w:rsidP="00ED0E85">
            <w:pPr>
              <w:pStyle w:val="TableDataEntries"/>
              <w:rPr>
                <w:lang w:val="en-GB"/>
              </w:rPr>
            </w:pPr>
            <w:r>
              <w:rPr>
                <w:lang w:val="en-GB"/>
              </w:rPr>
              <w:t xml:space="preserve"> 464.0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61FB03" w14:textId="77777777" w:rsidR="00ED0E85" w:rsidRDefault="00ED0E85" w:rsidP="00ED0E85">
            <w:pPr>
              <w:pStyle w:val="TableDataEntries"/>
              <w:rPr>
                <w:lang w:val="en-GB"/>
              </w:rPr>
            </w:pPr>
            <w:r>
              <w:rPr>
                <w:lang w:val="en-GB"/>
              </w:rPr>
              <w:t xml:space="preserve"> 450.5</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E7776F" w14:textId="77777777" w:rsidR="00ED0E85" w:rsidRDefault="00ED0E85" w:rsidP="00ED0E85">
            <w:pPr>
              <w:pStyle w:val="TableDataEntries"/>
              <w:rPr>
                <w:lang w:val="en-GB"/>
              </w:rPr>
            </w:pPr>
            <w:r>
              <w:rPr>
                <w:lang w:val="en-GB"/>
              </w:rPr>
              <w:t xml:space="preserve"> 448.0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DDB2E4"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24BF4E"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CBCB15" w14:textId="77777777" w:rsidR="00ED0E85" w:rsidRDefault="00ED0E85" w:rsidP="00ED0E85">
            <w:pPr>
              <w:pStyle w:val="TableDataEntries"/>
              <w:rPr>
                <w:lang w:val="en-GB"/>
              </w:rPr>
            </w:pPr>
            <w:r>
              <w:rPr>
                <w:lang w:val="en-GB"/>
              </w:rPr>
              <w:t xml:space="preserve"> 677.0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3AC3DD" w14:textId="77777777" w:rsidR="00ED0E85" w:rsidRDefault="00ED0E85" w:rsidP="00ED0E85">
            <w:pPr>
              <w:pStyle w:val="TableDataEntries"/>
              <w:rPr>
                <w:lang w:val="en-GB"/>
              </w:rPr>
            </w:pPr>
            <w:r>
              <w:rPr>
                <w:lang w:val="en-GB"/>
              </w:rPr>
              <w:t xml:space="preserve"> 0.0</w:t>
            </w:r>
          </w:p>
        </w:tc>
      </w:tr>
      <w:tr w:rsidR="00ED0E85" w14:paraId="580F7864"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E87938" w14:textId="77777777" w:rsidR="00ED0E85" w:rsidRDefault="00ED0E85" w:rsidP="00ED0E85">
            <w:pPr>
              <w:pStyle w:val="TableDataEntries"/>
              <w:jc w:val="left"/>
              <w:rPr>
                <w:lang w:val="en-GB"/>
              </w:rPr>
            </w:pPr>
            <w:r>
              <w:rPr>
                <w:lang w:val="en-GB"/>
              </w:rPr>
              <w:t>4</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7F428B" w14:textId="77777777" w:rsidR="00ED0E85" w:rsidRDefault="00ED0E85" w:rsidP="00ED0E85">
            <w:pPr>
              <w:pStyle w:val="TableDataEntries"/>
              <w:rPr>
                <w:lang w:val="en-GB"/>
              </w:rPr>
            </w:pPr>
            <w:r>
              <w:rPr>
                <w:lang w:val="en-GB"/>
              </w:rPr>
              <w:t xml:space="preserve"> 407.0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28A93B" w14:textId="77777777" w:rsidR="00ED0E85" w:rsidRDefault="00ED0E85" w:rsidP="00ED0E85">
            <w:pPr>
              <w:pStyle w:val="TableDataEntries"/>
              <w:rPr>
                <w:lang w:val="en-GB"/>
              </w:rPr>
            </w:pPr>
            <w:r>
              <w:rPr>
                <w:lang w:val="en-GB"/>
              </w:rPr>
              <w:t xml:space="preserve"> 422.4</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F13B5D" w14:textId="77777777" w:rsidR="00ED0E85" w:rsidRDefault="00ED0E85" w:rsidP="00ED0E85">
            <w:pPr>
              <w:pStyle w:val="TableDataEntries"/>
              <w:rPr>
                <w:lang w:val="en-GB"/>
              </w:rPr>
            </w:pPr>
            <w:r>
              <w:rPr>
                <w:lang w:val="en-GB"/>
              </w:rPr>
              <w:t xml:space="preserve"> 429.5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7F2D3D" w14:textId="77777777" w:rsidR="00ED0E85" w:rsidRDefault="00ED0E85" w:rsidP="00ED0E85">
            <w:pPr>
              <w:pStyle w:val="TableDataEntries"/>
              <w:rPr>
                <w:lang w:val="en-GB"/>
              </w:rPr>
            </w:pPr>
            <w:r>
              <w:rPr>
                <w:lang w:val="en-GB"/>
              </w:rPr>
              <w:t xml:space="preserve"> 409.3</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F73774" w14:textId="77777777" w:rsidR="00ED0E85" w:rsidRDefault="00ED0E85" w:rsidP="00ED0E85">
            <w:pPr>
              <w:pStyle w:val="TableDataEntries"/>
              <w:rPr>
                <w:lang w:val="en-GB"/>
              </w:rPr>
            </w:pPr>
            <w:r>
              <w:rPr>
                <w:lang w:val="en-GB"/>
              </w:rPr>
              <w:t xml:space="preserve"> 425.0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17431F" w14:textId="77777777" w:rsidR="00ED0E85" w:rsidRDefault="00ED0E85" w:rsidP="00ED0E85">
            <w:pPr>
              <w:pStyle w:val="TableDataEntries"/>
              <w:rPr>
                <w:lang w:val="en-GB"/>
              </w:rPr>
            </w:pPr>
            <w:r>
              <w:rPr>
                <w:lang w:val="en-GB"/>
              </w:rPr>
              <w:t xml:space="preserve"> 395.7</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76B7E8" w14:textId="77777777" w:rsidR="00ED0E85" w:rsidRDefault="00ED0E85" w:rsidP="00ED0E85">
            <w:pPr>
              <w:pStyle w:val="TableDataEntries"/>
              <w:rPr>
                <w:lang w:val="en-GB"/>
              </w:rPr>
            </w:pPr>
            <w:r>
              <w:rPr>
                <w:lang w:val="en-GB"/>
              </w:rPr>
              <w:t xml:space="preserve"> 425.0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7A093C" w14:textId="77777777" w:rsidR="00ED0E85" w:rsidRDefault="00ED0E85" w:rsidP="00ED0E85">
            <w:pPr>
              <w:pStyle w:val="TableDataEntries"/>
              <w:rPr>
                <w:lang w:val="en-GB"/>
              </w:rPr>
            </w:pPr>
            <w:r>
              <w:rPr>
                <w:lang w:val="en-GB"/>
              </w:rPr>
              <w:t xml:space="preserve"> 355.0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C1275A" w14:textId="77777777" w:rsidR="00ED0E85" w:rsidRDefault="00ED0E85" w:rsidP="00ED0E85">
            <w:pPr>
              <w:pStyle w:val="TableDataEntries"/>
              <w:rPr>
                <w:lang w:val="en-GB"/>
              </w:rPr>
            </w:pPr>
            <w:r>
              <w:rPr>
                <w:lang w:val="en-GB"/>
              </w:rPr>
              <w:t xml:space="preserve"> 368.0</w:t>
            </w:r>
          </w:p>
        </w:tc>
      </w:tr>
      <w:tr w:rsidR="00ED0E85" w14:paraId="4DE7E672"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8A8638" w14:textId="77777777" w:rsidR="00ED0E85" w:rsidRDefault="00ED0E85" w:rsidP="00ED0E85">
            <w:pPr>
              <w:pStyle w:val="TableDataEntries"/>
              <w:jc w:val="left"/>
              <w:rPr>
                <w:lang w:val="en-GB"/>
              </w:rPr>
            </w:pPr>
            <w:r>
              <w:rPr>
                <w:lang w:val="en-GB"/>
              </w:rPr>
              <w:t>4.5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4BEFC8" w14:textId="77777777" w:rsidR="00ED0E85" w:rsidRDefault="00ED0E85" w:rsidP="00ED0E85">
            <w:pPr>
              <w:pStyle w:val="TableDataEntries"/>
              <w:rPr>
                <w:lang w:val="en-GB"/>
              </w:rPr>
            </w:pPr>
            <w:r>
              <w:rPr>
                <w:lang w:val="en-GB"/>
              </w:rPr>
              <w:t xml:space="preserve"> 419.3</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3A928A" w14:textId="77777777" w:rsidR="00ED0E85" w:rsidRDefault="00ED0E85" w:rsidP="00ED0E85">
            <w:pPr>
              <w:pStyle w:val="TableDataEntries"/>
              <w:rPr>
                <w:lang w:val="en-GB"/>
              </w:rPr>
            </w:pPr>
            <w:r>
              <w:rPr>
                <w:lang w:val="en-GB"/>
              </w:rPr>
              <w:t xml:space="preserve"> 363.0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148B87" w14:textId="77777777" w:rsidR="00ED0E85" w:rsidRDefault="00ED0E85" w:rsidP="00ED0E85">
            <w:pPr>
              <w:pStyle w:val="TableDataEntries"/>
              <w:rPr>
                <w:lang w:val="en-GB"/>
              </w:rPr>
            </w:pPr>
            <w:r>
              <w:rPr>
                <w:lang w:val="en-GB"/>
              </w:rPr>
              <w:t xml:space="preserve"> 390.2</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399A41"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DF6BC8" w14:textId="77777777" w:rsidR="00ED0E85" w:rsidRDefault="00ED0E85" w:rsidP="00ED0E85">
            <w:pPr>
              <w:pStyle w:val="TableDataEntries"/>
              <w:rPr>
                <w:lang w:val="en-GB"/>
              </w:rPr>
            </w:pPr>
            <w:r>
              <w:rPr>
                <w:lang w:val="en-GB"/>
              </w:rPr>
              <w:t xml:space="preserve"> 405.0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36AC06" w14:textId="77777777" w:rsidR="00ED0E85" w:rsidRDefault="00ED0E85" w:rsidP="00ED0E85">
            <w:pPr>
              <w:pStyle w:val="TableDataEntries"/>
              <w:rPr>
                <w:lang w:val="en-GB"/>
              </w:rPr>
            </w:pPr>
            <w:r>
              <w:rPr>
                <w:lang w:val="en-GB"/>
              </w:rPr>
              <w:t xml:space="preserve"> 389.0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72503F" w14:textId="77777777" w:rsidR="00ED0E85" w:rsidRDefault="00ED0E85" w:rsidP="00ED0E85">
            <w:pPr>
              <w:pStyle w:val="TableDataEntries"/>
              <w:rPr>
                <w:lang w:val="en-GB"/>
              </w:rPr>
            </w:pPr>
            <w:r>
              <w:rPr>
                <w:lang w:val="en-GB"/>
              </w:rPr>
              <w:t xml:space="preserve"> 357.7</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7D7A93"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D40C47" w14:textId="77777777" w:rsidR="00ED0E85" w:rsidRDefault="00ED0E85" w:rsidP="00ED0E85">
            <w:pPr>
              <w:pStyle w:val="TableDataEntries"/>
              <w:rPr>
                <w:lang w:val="en-GB"/>
              </w:rPr>
            </w:pPr>
            <w:r>
              <w:rPr>
                <w:lang w:val="en-GB"/>
              </w:rPr>
              <w:t xml:space="preserve"> 396.0</w:t>
            </w:r>
          </w:p>
        </w:tc>
      </w:tr>
      <w:tr w:rsidR="00ED0E85" w14:paraId="602E3F04"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807768" w14:textId="77777777" w:rsidR="00ED0E85" w:rsidRDefault="00ED0E85" w:rsidP="00ED0E85">
            <w:pPr>
              <w:pStyle w:val="TableDataEntries"/>
              <w:jc w:val="left"/>
              <w:rPr>
                <w:lang w:val="en-GB"/>
              </w:rPr>
            </w:pPr>
            <w:r>
              <w:rPr>
                <w:lang w:val="en-GB"/>
              </w:rPr>
              <w:t>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71C25F" w14:textId="77777777" w:rsidR="00ED0E85" w:rsidRDefault="00ED0E85" w:rsidP="00ED0E85">
            <w:pPr>
              <w:pStyle w:val="TableDataEntries"/>
              <w:rPr>
                <w:lang w:val="en-GB"/>
              </w:rPr>
            </w:pPr>
            <w:r>
              <w:rPr>
                <w:lang w:val="en-GB"/>
              </w:rPr>
              <w:t xml:space="preserve"> 391.6</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3A9E70" w14:textId="77777777" w:rsidR="00ED0E85" w:rsidRDefault="00ED0E85" w:rsidP="00ED0E85">
            <w:pPr>
              <w:pStyle w:val="TableDataEntries"/>
              <w:rPr>
                <w:lang w:val="en-GB"/>
              </w:rPr>
            </w:pPr>
            <w:r>
              <w:rPr>
                <w:lang w:val="en-GB"/>
              </w:rPr>
              <w:t xml:space="preserve"> 318.4</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DD060E" w14:textId="77777777" w:rsidR="00ED0E85" w:rsidRDefault="00ED0E85" w:rsidP="00ED0E85">
            <w:pPr>
              <w:pStyle w:val="TableDataEntries"/>
              <w:rPr>
                <w:lang w:val="en-GB"/>
              </w:rPr>
            </w:pPr>
            <w:r>
              <w:rPr>
                <w:lang w:val="en-GB"/>
              </w:rPr>
              <w:t xml:space="preserve"> 533.3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3E18FC" w14:textId="77777777" w:rsidR="00ED0E85" w:rsidRDefault="00ED0E85" w:rsidP="00ED0E85">
            <w:pPr>
              <w:pStyle w:val="TableDataEntries"/>
              <w:rPr>
                <w:lang w:val="en-GB"/>
              </w:rPr>
            </w:pPr>
            <w:r>
              <w:rPr>
                <w:lang w:val="en-GB"/>
              </w:rPr>
              <w:t xml:space="preserve"> 313.8</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51437B" w14:textId="77777777" w:rsidR="00ED0E85" w:rsidRDefault="00ED0E85" w:rsidP="00ED0E85">
            <w:pPr>
              <w:pStyle w:val="TableDataEntries"/>
              <w:rPr>
                <w:lang w:val="en-GB"/>
              </w:rPr>
            </w:pPr>
            <w:r>
              <w:rPr>
                <w:lang w:val="en-GB"/>
              </w:rPr>
              <w:t xml:space="preserve"> 418.9</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96878C" w14:textId="77777777" w:rsidR="00ED0E85" w:rsidRDefault="00ED0E85" w:rsidP="00ED0E85">
            <w:pPr>
              <w:pStyle w:val="TableDataEntries"/>
              <w:rPr>
                <w:lang w:val="en-GB"/>
              </w:rPr>
            </w:pPr>
            <w:r>
              <w:rPr>
                <w:lang w:val="en-GB"/>
              </w:rPr>
              <w:t xml:space="preserve"> 346.0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DAD2BD" w14:textId="77777777" w:rsidR="00ED0E85" w:rsidRDefault="00ED0E85" w:rsidP="00ED0E85">
            <w:pPr>
              <w:pStyle w:val="TableDataEntries"/>
              <w:rPr>
                <w:lang w:val="en-GB"/>
              </w:rPr>
            </w:pPr>
            <w:r>
              <w:rPr>
                <w:lang w:val="en-GB"/>
              </w:rPr>
              <w:t xml:space="preserve"> 380.6</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D35E12" w14:textId="77777777" w:rsidR="00ED0E85" w:rsidRDefault="00ED0E85" w:rsidP="00ED0E85">
            <w:pPr>
              <w:pStyle w:val="TableDataEntries"/>
              <w:rPr>
                <w:lang w:val="en-GB"/>
              </w:rPr>
            </w:pPr>
            <w:r>
              <w:rPr>
                <w:lang w:val="en-GB"/>
              </w:rPr>
              <w:t xml:space="preserve"> 407.4</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CCC856" w14:textId="77777777" w:rsidR="00ED0E85" w:rsidRDefault="00ED0E85" w:rsidP="00ED0E85">
            <w:pPr>
              <w:pStyle w:val="TableDataEntries"/>
              <w:rPr>
                <w:lang w:val="en-GB"/>
              </w:rPr>
            </w:pPr>
            <w:r>
              <w:rPr>
                <w:lang w:val="en-GB"/>
              </w:rPr>
              <w:t xml:space="preserve"> 340.0</w:t>
            </w:r>
          </w:p>
        </w:tc>
      </w:tr>
      <w:tr w:rsidR="00ED0E85" w14:paraId="53BEC982"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3469FF" w14:textId="77777777" w:rsidR="00ED0E85" w:rsidRDefault="00ED0E85" w:rsidP="00ED0E85">
            <w:pPr>
              <w:pStyle w:val="TableDataEntries"/>
              <w:jc w:val="left"/>
              <w:rPr>
                <w:lang w:val="en-GB"/>
              </w:rPr>
            </w:pPr>
            <w:r>
              <w:rPr>
                <w:lang w:val="en-GB"/>
              </w:rPr>
              <w:t>5.5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D34AE8" w14:textId="77777777" w:rsidR="00ED0E85" w:rsidRDefault="00ED0E85" w:rsidP="00ED0E85">
            <w:pPr>
              <w:pStyle w:val="TableDataEntries"/>
              <w:rPr>
                <w:lang w:val="en-GB"/>
              </w:rPr>
            </w:pPr>
            <w:r>
              <w:rPr>
                <w:lang w:val="en-GB"/>
              </w:rPr>
              <w:t xml:space="preserve"> 238.0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ED7601" w14:textId="77777777" w:rsidR="00ED0E85" w:rsidRDefault="00ED0E85" w:rsidP="00ED0E85">
            <w:pPr>
              <w:pStyle w:val="TableDataEntries"/>
              <w:rPr>
                <w:lang w:val="en-GB"/>
              </w:rPr>
            </w:pPr>
            <w:r>
              <w:rPr>
                <w:lang w:val="en-GB"/>
              </w:rPr>
              <w:t xml:space="preserve"> 239.0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D4E864" w14:textId="77777777" w:rsidR="00ED0E85" w:rsidRDefault="00ED0E85" w:rsidP="00ED0E85">
            <w:pPr>
              <w:pStyle w:val="TableDataEntries"/>
              <w:rPr>
                <w:lang w:val="en-GB"/>
              </w:rPr>
            </w:pPr>
            <w:r>
              <w:rPr>
                <w:lang w:val="en-GB"/>
              </w:rPr>
              <w:t xml:space="preserve"> 283.0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E430F9" w14:textId="77777777" w:rsidR="00ED0E85" w:rsidRDefault="00ED0E85" w:rsidP="00ED0E85">
            <w:pPr>
              <w:pStyle w:val="TableDataEntries"/>
              <w:rPr>
                <w:lang w:val="en-GB"/>
              </w:rPr>
            </w:pPr>
            <w:r>
              <w:rPr>
                <w:lang w:val="en-GB"/>
              </w:rPr>
              <w:t xml:space="preserve"> 428.5</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37A8D5" w14:textId="77777777" w:rsidR="00ED0E85" w:rsidRDefault="00ED0E85" w:rsidP="00ED0E85">
            <w:pPr>
              <w:pStyle w:val="TableDataEntries"/>
              <w:rPr>
                <w:lang w:val="en-GB"/>
              </w:rPr>
            </w:pPr>
            <w:r>
              <w:rPr>
                <w:lang w:val="en-GB"/>
              </w:rPr>
              <w:t xml:space="preserve"> 388.7</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54CE32" w14:textId="77777777" w:rsidR="00ED0E85" w:rsidRDefault="00ED0E85" w:rsidP="00ED0E85">
            <w:pPr>
              <w:pStyle w:val="TableDataEntries"/>
              <w:rPr>
                <w:lang w:val="en-GB"/>
              </w:rPr>
            </w:pPr>
            <w:r>
              <w:rPr>
                <w:lang w:val="en-GB"/>
              </w:rPr>
              <w:t xml:space="preserve"> 268.0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770D55" w14:textId="77777777" w:rsidR="00ED0E85" w:rsidRDefault="00ED0E85" w:rsidP="00ED0E85">
            <w:pPr>
              <w:pStyle w:val="TableDataEntries"/>
              <w:rPr>
                <w:lang w:val="en-GB"/>
              </w:rPr>
            </w:pPr>
            <w:r>
              <w:rPr>
                <w:lang w:val="en-GB"/>
              </w:rPr>
              <w:t xml:space="preserve"> 252.0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47666C" w14:textId="77777777" w:rsidR="00ED0E85" w:rsidRDefault="00ED0E85" w:rsidP="00ED0E85">
            <w:pPr>
              <w:pStyle w:val="TableDataEntries"/>
              <w:rPr>
                <w:lang w:val="en-GB"/>
              </w:rPr>
            </w:pPr>
            <w:r>
              <w:rPr>
                <w:lang w:val="en-GB"/>
              </w:rPr>
              <w:t xml:space="preserve"> 232.0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312756" w14:textId="77777777" w:rsidR="00ED0E85" w:rsidRDefault="00ED0E85" w:rsidP="00ED0E85">
            <w:pPr>
              <w:pStyle w:val="TableDataEntries"/>
              <w:rPr>
                <w:lang w:val="en-GB"/>
              </w:rPr>
            </w:pPr>
            <w:r>
              <w:rPr>
                <w:lang w:val="en-GB"/>
              </w:rPr>
              <w:t xml:space="preserve"> 256.0</w:t>
            </w:r>
          </w:p>
        </w:tc>
      </w:tr>
      <w:tr w:rsidR="00ED0E85" w14:paraId="12450405"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457411" w14:textId="77777777" w:rsidR="00ED0E85" w:rsidRDefault="00ED0E85" w:rsidP="00ED0E85">
            <w:pPr>
              <w:pStyle w:val="TableDataEntries"/>
              <w:jc w:val="left"/>
              <w:rPr>
                <w:lang w:val="en-GB"/>
              </w:rPr>
            </w:pPr>
            <w:r>
              <w:rPr>
                <w:lang w:val="en-GB"/>
              </w:rPr>
              <w:t>6</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8282F8"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E75949"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58FC4B"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D39A9E"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DF8348"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BC1980"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2B341F"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7B3CF5" w14:textId="77777777" w:rsidR="00ED0E85" w:rsidRDefault="00ED0E85" w:rsidP="00ED0E85">
            <w:pPr>
              <w:pStyle w:val="TableDataEntries"/>
              <w:rPr>
                <w:lang w:val="en-GB"/>
              </w:rPr>
            </w:pPr>
            <w:r>
              <w:rPr>
                <w:lang w:val="en-GB"/>
              </w:rPr>
              <w:t xml:space="preserve"> 167.0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DE8FF2" w14:textId="77777777" w:rsidR="00ED0E85" w:rsidRDefault="00ED0E85" w:rsidP="00ED0E85">
            <w:pPr>
              <w:pStyle w:val="TableDataEntries"/>
              <w:rPr>
                <w:lang w:val="en-GB"/>
              </w:rPr>
            </w:pPr>
            <w:r>
              <w:rPr>
                <w:lang w:val="en-GB"/>
              </w:rPr>
              <w:t xml:space="preserve"> 183.0</w:t>
            </w:r>
          </w:p>
        </w:tc>
      </w:tr>
      <w:tr w:rsidR="00ED0E85" w14:paraId="3480EAC2"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CB7E3C4" w14:textId="77777777" w:rsidR="00ED0E85" w:rsidRDefault="00ED0E85" w:rsidP="00ED0E85">
            <w:pPr>
              <w:pStyle w:val="TableHeading1"/>
              <w:rPr>
                <w:lang w:val="en-GB"/>
              </w:rPr>
            </w:pPr>
            <w:r>
              <w:rPr>
                <w:lang w:val="en-GB"/>
              </w:rPr>
              <w:t>WA</w:t>
            </w: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5A9DFFF"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10314F9"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E487E67"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E262F7A"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9F8311D"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180FE8D"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CB238F8"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C406274"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D0DC666" w14:textId="77777777" w:rsidR="00ED0E85" w:rsidRDefault="00ED0E85" w:rsidP="00ED0E85">
            <w:pPr>
              <w:pStyle w:val="TableHeading1"/>
              <w:rPr>
                <w:lang w:val="en-GB"/>
              </w:rPr>
            </w:pPr>
          </w:p>
        </w:tc>
      </w:tr>
      <w:tr w:rsidR="00ED0E85" w14:paraId="720504F5"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BAD4B0" w14:textId="77777777" w:rsidR="00ED0E85" w:rsidRDefault="00ED0E85" w:rsidP="00ED0E85">
            <w:pPr>
              <w:pStyle w:val="TableDataEntries"/>
              <w:jc w:val="left"/>
              <w:rPr>
                <w:lang w:val="en-GB"/>
              </w:rPr>
            </w:pPr>
            <w:r>
              <w:rPr>
                <w:lang w:val="en-GB"/>
              </w:rPr>
              <w:t>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7E5754" w14:textId="77777777" w:rsidR="00ED0E85" w:rsidRDefault="00ED0E85" w:rsidP="00ED0E85">
            <w:pPr>
              <w:pStyle w:val="TableDataEntries"/>
              <w:rPr>
                <w:lang w:val="en-GB"/>
              </w:rPr>
            </w:pPr>
            <w:r>
              <w:rPr>
                <w:lang w:val="en-GB"/>
              </w:rPr>
              <w:t xml:space="preserve"> 812.8</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E900DD" w14:textId="77777777" w:rsidR="00ED0E85" w:rsidRDefault="00ED0E85" w:rsidP="00ED0E85">
            <w:pPr>
              <w:pStyle w:val="TableDataEntries"/>
              <w:rPr>
                <w:lang w:val="en-GB"/>
              </w:rPr>
            </w:pPr>
            <w:r>
              <w:rPr>
                <w:lang w:val="en-GB"/>
              </w:rPr>
              <w:t xml:space="preserve"> 744.5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D305D6"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93BDA1"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DEAFFE"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126954" w14:textId="77777777" w:rsidR="00ED0E85" w:rsidRDefault="00ED0E85" w:rsidP="00ED0E85">
            <w:pPr>
              <w:pStyle w:val="TableDataEntries"/>
              <w:rPr>
                <w:lang w:val="en-GB"/>
              </w:rPr>
            </w:pPr>
            <w:r>
              <w:rPr>
                <w:lang w:val="en-GB"/>
              </w:rPr>
              <w:t>1 049.0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5FB55A"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BCFE83" w14:textId="77777777" w:rsidR="00ED0E85" w:rsidRDefault="00ED0E85" w:rsidP="00ED0E85">
            <w:pPr>
              <w:pStyle w:val="TableDataEntries"/>
              <w:rPr>
                <w:lang w:val="en-GB"/>
              </w:rPr>
            </w:pPr>
            <w:r>
              <w:rPr>
                <w:lang w:val="en-GB"/>
              </w:rPr>
              <w:t xml:space="preserve"> 797.0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7C9FA3" w14:textId="77777777" w:rsidR="00ED0E85" w:rsidRDefault="00ED0E85" w:rsidP="00ED0E85">
            <w:pPr>
              <w:pStyle w:val="TableDataEntries"/>
              <w:rPr>
                <w:lang w:val="en-GB"/>
              </w:rPr>
            </w:pPr>
            <w:r>
              <w:rPr>
                <w:lang w:val="en-GB"/>
              </w:rPr>
              <w:t xml:space="preserve"> 0.0</w:t>
            </w:r>
          </w:p>
        </w:tc>
      </w:tr>
      <w:tr w:rsidR="00ED0E85" w14:paraId="37EC70D4"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9C158D" w14:textId="77777777" w:rsidR="00ED0E85" w:rsidRDefault="00ED0E85" w:rsidP="00ED0E85">
            <w:pPr>
              <w:pStyle w:val="TableDataEntries"/>
              <w:jc w:val="left"/>
              <w:rPr>
                <w:lang w:val="en-GB"/>
              </w:rPr>
            </w:pPr>
            <w:r>
              <w:rPr>
                <w:lang w:val="en-GB"/>
              </w:rPr>
              <w:t>1</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F3A774" w14:textId="77777777" w:rsidR="00ED0E85" w:rsidRDefault="00ED0E85" w:rsidP="00ED0E85">
            <w:pPr>
              <w:pStyle w:val="TableDataEntries"/>
              <w:rPr>
                <w:lang w:val="en-GB"/>
              </w:rPr>
            </w:pPr>
            <w:r>
              <w:rPr>
                <w:lang w:val="en-GB"/>
              </w:rPr>
              <w:t xml:space="preserve"> 604.0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6BCFD4" w14:textId="77777777" w:rsidR="00ED0E85" w:rsidRDefault="00ED0E85" w:rsidP="00ED0E85">
            <w:pPr>
              <w:pStyle w:val="TableDataEntries"/>
              <w:rPr>
                <w:lang w:val="en-GB"/>
              </w:rPr>
            </w:pPr>
            <w:r>
              <w:rPr>
                <w:lang w:val="en-GB"/>
              </w:rPr>
              <w:t xml:space="preserve"> 570.0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10C4D1"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5B66BC" w14:textId="77777777" w:rsidR="00ED0E85" w:rsidRDefault="00ED0E85" w:rsidP="00ED0E85">
            <w:pPr>
              <w:pStyle w:val="TableDataEntries"/>
              <w:rPr>
                <w:lang w:val="en-GB"/>
              </w:rPr>
            </w:pPr>
            <w:r>
              <w:rPr>
                <w:lang w:val="en-GB"/>
              </w:rPr>
              <w:t xml:space="preserve"> 574.0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8107DA"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16E999"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0C5D4A"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639707" w14:textId="77777777" w:rsidR="00ED0E85" w:rsidRDefault="00ED0E85" w:rsidP="00ED0E85">
            <w:pPr>
              <w:pStyle w:val="TableDataEntries"/>
              <w:rPr>
                <w:lang w:val="en-GB"/>
              </w:rPr>
            </w:pPr>
            <w:r>
              <w:rPr>
                <w:lang w:val="en-GB"/>
              </w:rPr>
              <w:t xml:space="preserve"> 511.0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A5DBC2" w14:textId="77777777" w:rsidR="00ED0E85" w:rsidRDefault="00ED0E85" w:rsidP="00ED0E85">
            <w:pPr>
              <w:pStyle w:val="TableDataEntries"/>
              <w:rPr>
                <w:lang w:val="en-GB"/>
              </w:rPr>
            </w:pPr>
            <w:r>
              <w:rPr>
                <w:lang w:val="en-GB"/>
              </w:rPr>
              <w:t xml:space="preserve"> 589.0</w:t>
            </w:r>
          </w:p>
        </w:tc>
      </w:tr>
      <w:tr w:rsidR="00ED0E85" w14:paraId="14541059"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B13635" w14:textId="77777777" w:rsidR="00ED0E85" w:rsidRDefault="00ED0E85" w:rsidP="00ED0E85">
            <w:pPr>
              <w:pStyle w:val="TableDataEntries"/>
              <w:jc w:val="left"/>
              <w:rPr>
                <w:lang w:val="en-GB"/>
              </w:rPr>
            </w:pPr>
            <w:r>
              <w:rPr>
                <w:lang w:val="en-GB"/>
              </w:rPr>
              <w:t>1.5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7943C8" w14:textId="77777777" w:rsidR="00ED0E85" w:rsidRDefault="00ED0E85" w:rsidP="00ED0E85">
            <w:pPr>
              <w:pStyle w:val="TableDataEntries"/>
              <w:rPr>
                <w:lang w:val="en-GB"/>
              </w:rPr>
            </w:pPr>
            <w:r>
              <w:rPr>
                <w:lang w:val="en-GB"/>
              </w:rPr>
              <w:t xml:space="preserve"> 569.3</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2A0FCB" w14:textId="77777777" w:rsidR="00ED0E85" w:rsidRDefault="00ED0E85" w:rsidP="00ED0E85">
            <w:pPr>
              <w:pStyle w:val="TableDataEntries"/>
              <w:rPr>
                <w:lang w:val="en-GB"/>
              </w:rPr>
            </w:pPr>
            <w:r>
              <w:rPr>
                <w:lang w:val="en-GB"/>
              </w:rPr>
              <w:t xml:space="preserve"> 718.0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ACCB2A" w14:textId="77777777" w:rsidR="00ED0E85" w:rsidRDefault="00ED0E85" w:rsidP="00ED0E85">
            <w:pPr>
              <w:pStyle w:val="TableDataEntries"/>
              <w:rPr>
                <w:lang w:val="en-GB"/>
              </w:rPr>
            </w:pPr>
            <w:r>
              <w:rPr>
                <w:lang w:val="en-GB"/>
              </w:rPr>
              <w:t xml:space="preserve"> 610.0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FB0418" w14:textId="77777777" w:rsidR="00ED0E85" w:rsidRDefault="00ED0E85" w:rsidP="00ED0E85">
            <w:pPr>
              <w:pStyle w:val="TableDataEntries"/>
              <w:rPr>
                <w:lang w:val="en-GB"/>
              </w:rPr>
            </w:pPr>
            <w:r>
              <w:rPr>
                <w:lang w:val="en-GB"/>
              </w:rPr>
              <w:t xml:space="preserve"> 557.0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D8CDAF" w14:textId="77777777" w:rsidR="00ED0E85" w:rsidRDefault="00ED0E85" w:rsidP="00ED0E85">
            <w:pPr>
              <w:pStyle w:val="TableDataEntries"/>
              <w:rPr>
                <w:lang w:val="en-GB"/>
              </w:rPr>
            </w:pPr>
            <w:r>
              <w:rPr>
                <w:lang w:val="en-GB"/>
              </w:rPr>
              <w:t xml:space="preserve"> 513.0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57788E" w14:textId="77777777" w:rsidR="00ED0E85" w:rsidRDefault="00ED0E85" w:rsidP="00ED0E85">
            <w:pPr>
              <w:pStyle w:val="TableDataEntries"/>
              <w:rPr>
                <w:lang w:val="en-GB"/>
              </w:rPr>
            </w:pPr>
            <w:r>
              <w:rPr>
                <w:lang w:val="en-GB"/>
              </w:rPr>
              <w:t xml:space="preserve"> 561.0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B8D273" w14:textId="77777777" w:rsidR="00ED0E85" w:rsidRDefault="00ED0E85" w:rsidP="00ED0E85">
            <w:pPr>
              <w:pStyle w:val="TableDataEntries"/>
              <w:rPr>
                <w:lang w:val="en-GB"/>
              </w:rPr>
            </w:pPr>
            <w:r>
              <w:rPr>
                <w:lang w:val="en-GB"/>
              </w:rPr>
              <w:t xml:space="preserve"> 553.0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6E7127" w14:textId="77777777" w:rsidR="00ED0E85" w:rsidRDefault="00ED0E85" w:rsidP="00ED0E85">
            <w:pPr>
              <w:pStyle w:val="TableDataEntries"/>
              <w:rPr>
                <w:lang w:val="en-GB"/>
              </w:rPr>
            </w:pPr>
            <w:r>
              <w:rPr>
                <w:lang w:val="en-GB"/>
              </w:rPr>
              <w:t xml:space="preserve"> 572.5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F7A3D0" w14:textId="77777777" w:rsidR="00ED0E85" w:rsidRDefault="00ED0E85" w:rsidP="00ED0E85">
            <w:pPr>
              <w:pStyle w:val="TableDataEntries"/>
              <w:rPr>
                <w:lang w:val="en-GB"/>
              </w:rPr>
            </w:pPr>
            <w:r>
              <w:rPr>
                <w:lang w:val="en-GB"/>
              </w:rPr>
              <w:t xml:space="preserve"> 0.0</w:t>
            </w:r>
          </w:p>
        </w:tc>
      </w:tr>
      <w:tr w:rsidR="00ED0E85" w14:paraId="29A732A3"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03D922" w14:textId="77777777" w:rsidR="00ED0E85" w:rsidRDefault="00ED0E85" w:rsidP="00ED0E85">
            <w:pPr>
              <w:pStyle w:val="TableDataEntries"/>
              <w:jc w:val="left"/>
              <w:rPr>
                <w:lang w:val="en-GB"/>
              </w:rPr>
            </w:pPr>
            <w:r>
              <w:rPr>
                <w:lang w:val="en-GB"/>
              </w:rPr>
              <w:t>2</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ADE40A" w14:textId="77777777" w:rsidR="00ED0E85" w:rsidRDefault="00ED0E85" w:rsidP="00ED0E85">
            <w:pPr>
              <w:pStyle w:val="TableDataEntries"/>
              <w:rPr>
                <w:lang w:val="en-GB"/>
              </w:rPr>
            </w:pPr>
            <w:r>
              <w:rPr>
                <w:lang w:val="en-GB"/>
              </w:rPr>
              <w:t xml:space="preserve"> 537.4</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1222AF"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C95F41"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58059F"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DC89C4"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9DF85A"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4D477F"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BCB2D3"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24FA67" w14:textId="77777777" w:rsidR="00ED0E85" w:rsidRDefault="00ED0E85" w:rsidP="00ED0E85">
            <w:pPr>
              <w:pStyle w:val="TableDataEntries"/>
              <w:rPr>
                <w:lang w:val="en-GB"/>
              </w:rPr>
            </w:pPr>
            <w:r>
              <w:rPr>
                <w:lang w:val="en-GB"/>
              </w:rPr>
              <w:t xml:space="preserve"> 0.0</w:t>
            </w:r>
          </w:p>
        </w:tc>
      </w:tr>
      <w:tr w:rsidR="00ED0E85" w14:paraId="67E0A4E0"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4E5C4D" w14:textId="77777777" w:rsidR="00ED0E85" w:rsidRDefault="00ED0E85" w:rsidP="00ED0E85">
            <w:pPr>
              <w:pStyle w:val="TableDataEntries"/>
              <w:jc w:val="left"/>
              <w:rPr>
                <w:lang w:val="en-GB"/>
              </w:rPr>
            </w:pPr>
            <w:r>
              <w:rPr>
                <w:lang w:val="en-GB"/>
              </w:rPr>
              <w:t>2.5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37BB94" w14:textId="77777777" w:rsidR="00ED0E85" w:rsidRDefault="00ED0E85" w:rsidP="00ED0E85">
            <w:pPr>
              <w:pStyle w:val="TableDataEntries"/>
              <w:rPr>
                <w:lang w:val="en-GB"/>
              </w:rPr>
            </w:pPr>
            <w:r>
              <w:rPr>
                <w:lang w:val="en-GB"/>
              </w:rPr>
              <w:t xml:space="preserve"> 494.0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241327"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FF98B5" w14:textId="77777777" w:rsidR="00ED0E85" w:rsidRDefault="00ED0E85" w:rsidP="00ED0E85">
            <w:pPr>
              <w:pStyle w:val="TableDataEntries"/>
              <w:rPr>
                <w:lang w:val="en-GB"/>
              </w:rPr>
            </w:pPr>
            <w:r>
              <w:rPr>
                <w:lang w:val="en-GB"/>
              </w:rPr>
              <w:t xml:space="preserve"> 509.0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9233EB" w14:textId="77777777" w:rsidR="00ED0E85" w:rsidRDefault="00ED0E85" w:rsidP="00ED0E85">
            <w:pPr>
              <w:pStyle w:val="TableDataEntries"/>
              <w:rPr>
                <w:lang w:val="en-GB"/>
              </w:rPr>
            </w:pPr>
            <w:r>
              <w:rPr>
                <w:lang w:val="en-GB"/>
              </w:rPr>
              <w:t xml:space="preserve"> 447.0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DE81E2" w14:textId="77777777" w:rsidR="00ED0E85" w:rsidRDefault="00ED0E85" w:rsidP="00ED0E85">
            <w:pPr>
              <w:pStyle w:val="TableDataEntries"/>
              <w:rPr>
                <w:lang w:val="en-GB"/>
              </w:rPr>
            </w:pPr>
            <w:r>
              <w:rPr>
                <w:lang w:val="en-GB"/>
              </w:rPr>
              <w:t xml:space="preserve"> 483.0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2987D5"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4CA9DB"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1D083B" w14:textId="77777777" w:rsidR="00ED0E85" w:rsidRDefault="00ED0E85" w:rsidP="00ED0E85">
            <w:pPr>
              <w:pStyle w:val="TableDataEntries"/>
              <w:rPr>
                <w:lang w:val="en-GB"/>
              </w:rPr>
            </w:pPr>
            <w:r>
              <w:rPr>
                <w:lang w:val="en-GB"/>
              </w:rPr>
              <w:t xml:space="preserve"> 574.0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D198D3" w14:textId="77777777" w:rsidR="00ED0E85" w:rsidRDefault="00ED0E85" w:rsidP="00ED0E85">
            <w:pPr>
              <w:pStyle w:val="TableDataEntries"/>
              <w:rPr>
                <w:lang w:val="en-GB"/>
              </w:rPr>
            </w:pPr>
            <w:r>
              <w:rPr>
                <w:lang w:val="en-GB"/>
              </w:rPr>
              <w:t xml:space="preserve"> 307.0</w:t>
            </w:r>
          </w:p>
        </w:tc>
      </w:tr>
      <w:tr w:rsidR="00ED0E85" w14:paraId="2579B6B3"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22177E" w14:textId="77777777" w:rsidR="00ED0E85" w:rsidRDefault="00ED0E85" w:rsidP="00ED0E85">
            <w:pPr>
              <w:pStyle w:val="TableDataEntries"/>
              <w:jc w:val="left"/>
              <w:rPr>
                <w:lang w:val="en-GB"/>
              </w:rPr>
            </w:pPr>
            <w:r>
              <w:rPr>
                <w:lang w:val="en-GB"/>
              </w:rPr>
              <w:t>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EC08C1" w14:textId="77777777" w:rsidR="00ED0E85" w:rsidRDefault="00ED0E85" w:rsidP="00ED0E85">
            <w:pPr>
              <w:pStyle w:val="TableDataEntries"/>
              <w:rPr>
                <w:lang w:val="en-GB"/>
              </w:rPr>
            </w:pPr>
            <w:r>
              <w:rPr>
                <w:lang w:val="en-GB"/>
              </w:rPr>
              <w:t xml:space="preserve"> 417.3</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188EA2" w14:textId="77777777" w:rsidR="00ED0E85" w:rsidRDefault="00ED0E85" w:rsidP="00ED0E85">
            <w:pPr>
              <w:pStyle w:val="TableDataEntries"/>
              <w:rPr>
                <w:lang w:val="en-GB"/>
              </w:rPr>
            </w:pPr>
            <w:r>
              <w:rPr>
                <w:lang w:val="en-GB"/>
              </w:rPr>
              <w:t xml:space="preserve"> 367.0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24B15E" w14:textId="77777777" w:rsidR="00ED0E85" w:rsidRDefault="00ED0E85" w:rsidP="00ED0E85">
            <w:pPr>
              <w:pStyle w:val="TableDataEntries"/>
              <w:rPr>
                <w:lang w:val="en-GB"/>
              </w:rPr>
            </w:pPr>
            <w:r>
              <w:rPr>
                <w:lang w:val="en-GB"/>
              </w:rPr>
              <w:t xml:space="preserve"> 420.0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B55F28"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104CAE"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5AB688" w14:textId="77777777" w:rsidR="00ED0E85" w:rsidRDefault="00ED0E85" w:rsidP="00ED0E85">
            <w:pPr>
              <w:pStyle w:val="TableDataEntries"/>
              <w:rPr>
                <w:lang w:val="en-GB"/>
              </w:rPr>
            </w:pPr>
            <w:r>
              <w:rPr>
                <w:lang w:val="en-GB"/>
              </w:rPr>
              <w:t xml:space="preserve"> 479.0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195B0C" w14:textId="77777777" w:rsidR="00ED0E85" w:rsidRDefault="00ED0E85" w:rsidP="00ED0E85">
            <w:pPr>
              <w:pStyle w:val="TableDataEntries"/>
              <w:rPr>
                <w:lang w:val="en-GB"/>
              </w:rPr>
            </w:pPr>
            <w:r>
              <w:rPr>
                <w:lang w:val="en-GB"/>
              </w:rPr>
              <w:t xml:space="preserve"> 433.0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C69475" w14:textId="77777777" w:rsidR="00ED0E85" w:rsidRDefault="00ED0E85" w:rsidP="00ED0E85">
            <w:pPr>
              <w:pStyle w:val="TableDataEntries"/>
              <w:rPr>
                <w:lang w:val="en-GB"/>
              </w:rPr>
            </w:pPr>
            <w:r>
              <w:rPr>
                <w:lang w:val="en-GB"/>
              </w:rPr>
              <w:t xml:space="preserve"> 533.5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3A0FB7" w14:textId="77777777" w:rsidR="00ED0E85" w:rsidRDefault="00ED0E85" w:rsidP="00ED0E85">
            <w:pPr>
              <w:pStyle w:val="TableDataEntries"/>
              <w:rPr>
                <w:lang w:val="en-GB"/>
              </w:rPr>
            </w:pPr>
            <w:r>
              <w:rPr>
                <w:lang w:val="en-GB"/>
              </w:rPr>
              <w:t xml:space="preserve"> 0.0</w:t>
            </w:r>
          </w:p>
        </w:tc>
      </w:tr>
      <w:tr w:rsidR="00ED0E85" w14:paraId="7DA0016C"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62B4FD" w14:textId="77777777" w:rsidR="00ED0E85" w:rsidRDefault="00ED0E85" w:rsidP="00ED0E85">
            <w:pPr>
              <w:pStyle w:val="TableDataEntries"/>
              <w:jc w:val="left"/>
              <w:rPr>
                <w:lang w:val="en-GB"/>
              </w:rPr>
            </w:pPr>
            <w:r>
              <w:rPr>
                <w:lang w:val="en-GB"/>
              </w:rPr>
              <w:t>3.5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C61E15" w14:textId="77777777" w:rsidR="00ED0E85" w:rsidRDefault="00ED0E85" w:rsidP="00ED0E85">
            <w:pPr>
              <w:pStyle w:val="TableDataEntries"/>
              <w:rPr>
                <w:lang w:val="en-GB"/>
              </w:rPr>
            </w:pPr>
            <w:r>
              <w:rPr>
                <w:lang w:val="en-GB"/>
              </w:rPr>
              <w:t xml:space="preserve"> 389.7</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7CF31B" w14:textId="77777777" w:rsidR="00ED0E85" w:rsidRDefault="00ED0E85" w:rsidP="00ED0E85">
            <w:pPr>
              <w:pStyle w:val="TableDataEntries"/>
              <w:rPr>
                <w:lang w:val="en-GB"/>
              </w:rPr>
            </w:pPr>
            <w:r>
              <w:rPr>
                <w:lang w:val="en-GB"/>
              </w:rPr>
              <w:t xml:space="preserve"> 387.0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8726CD" w14:textId="77777777" w:rsidR="00ED0E85" w:rsidRDefault="00ED0E85" w:rsidP="00ED0E85">
            <w:pPr>
              <w:pStyle w:val="TableDataEntries"/>
              <w:rPr>
                <w:lang w:val="en-GB"/>
              </w:rPr>
            </w:pPr>
            <w:r>
              <w:rPr>
                <w:lang w:val="en-GB"/>
              </w:rPr>
              <w:t xml:space="preserve"> 357.0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E87810" w14:textId="77777777" w:rsidR="00ED0E85" w:rsidRDefault="00ED0E85" w:rsidP="00ED0E85">
            <w:pPr>
              <w:pStyle w:val="TableDataEntries"/>
              <w:rPr>
                <w:lang w:val="en-GB"/>
              </w:rPr>
            </w:pPr>
            <w:r>
              <w:rPr>
                <w:lang w:val="en-GB"/>
              </w:rPr>
              <w:t xml:space="preserve"> 413.7</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52E5BC" w14:textId="77777777" w:rsidR="00ED0E85" w:rsidRDefault="00ED0E85" w:rsidP="00ED0E85">
            <w:pPr>
              <w:pStyle w:val="TableDataEntries"/>
              <w:rPr>
                <w:lang w:val="en-GB"/>
              </w:rPr>
            </w:pPr>
            <w:r>
              <w:rPr>
                <w:lang w:val="en-GB"/>
              </w:rPr>
              <w:t xml:space="preserve"> 389.0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445B08"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64ED97" w14:textId="77777777" w:rsidR="00ED0E85" w:rsidRDefault="00ED0E85" w:rsidP="00ED0E85">
            <w:pPr>
              <w:pStyle w:val="TableDataEntries"/>
              <w:rPr>
                <w:lang w:val="en-GB"/>
              </w:rPr>
            </w:pPr>
            <w:r>
              <w:rPr>
                <w:lang w:val="en-GB"/>
              </w:rPr>
              <w:t xml:space="preserve"> 500.0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FB8FB9" w14:textId="77777777" w:rsidR="00ED0E85" w:rsidRDefault="00ED0E85" w:rsidP="00ED0E85">
            <w:pPr>
              <w:pStyle w:val="TableDataEntries"/>
              <w:rPr>
                <w:lang w:val="en-GB"/>
              </w:rPr>
            </w:pPr>
            <w:r>
              <w:rPr>
                <w:lang w:val="en-GB"/>
              </w:rPr>
              <w:t xml:space="preserve"> 372.0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C58C30" w14:textId="77777777" w:rsidR="00ED0E85" w:rsidRDefault="00ED0E85" w:rsidP="00ED0E85">
            <w:pPr>
              <w:pStyle w:val="TableDataEntries"/>
              <w:rPr>
                <w:lang w:val="en-GB"/>
              </w:rPr>
            </w:pPr>
            <w:r>
              <w:rPr>
                <w:lang w:val="en-GB"/>
              </w:rPr>
              <w:t xml:space="preserve"> 452.0</w:t>
            </w:r>
          </w:p>
        </w:tc>
      </w:tr>
      <w:tr w:rsidR="00ED0E85" w14:paraId="7A3F33D0"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639354" w14:textId="77777777" w:rsidR="00ED0E85" w:rsidRDefault="00ED0E85" w:rsidP="00ED0E85">
            <w:pPr>
              <w:pStyle w:val="TableDataEntries"/>
              <w:jc w:val="left"/>
              <w:rPr>
                <w:lang w:val="en-GB"/>
              </w:rPr>
            </w:pPr>
            <w:r>
              <w:rPr>
                <w:lang w:val="en-GB"/>
              </w:rPr>
              <w:t>4</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17EA89" w14:textId="77777777" w:rsidR="00ED0E85" w:rsidRDefault="00ED0E85" w:rsidP="00ED0E85">
            <w:pPr>
              <w:pStyle w:val="TableDataEntries"/>
              <w:rPr>
                <w:lang w:val="en-GB"/>
              </w:rPr>
            </w:pPr>
            <w:r>
              <w:rPr>
                <w:lang w:val="en-GB"/>
              </w:rPr>
              <w:t xml:space="preserve"> 413.3</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8D6EB3" w14:textId="77777777" w:rsidR="00ED0E85" w:rsidRDefault="00ED0E85" w:rsidP="00ED0E85">
            <w:pPr>
              <w:pStyle w:val="TableDataEntries"/>
              <w:rPr>
                <w:lang w:val="en-GB"/>
              </w:rPr>
            </w:pPr>
            <w:r>
              <w:rPr>
                <w:lang w:val="en-GB"/>
              </w:rPr>
              <w:t xml:space="preserve"> 321.0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DC9634"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7B262C" w14:textId="77777777" w:rsidR="00ED0E85" w:rsidRDefault="00ED0E85" w:rsidP="00ED0E85">
            <w:pPr>
              <w:pStyle w:val="TableDataEntries"/>
              <w:rPr>
                <w:lang w:val="en-GB"/>
              </w:rPr>
            </w:pPr>
            <w:r>
              <w:rPr>
                <w:lang w:val="en-GB"/>
              </w:rPr>
              <w:t xml:space="preserve"> 362.5</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746BA7" w14:textId="77777777" w:rsidR="00ED0E85" w:rsidRDefault="00ED0E85" w:rsidP="00ED0E85">
            <w:pPr>
              <w:pStyle w:val="TableDataEntries"/>
              <w:rPr>
                <w:lang w:val="en-GB"/>
              </w:rPr>
            </w:pPr>
            <w:r>
              <w:rPr>
                <w:lang w:val="en-GB"/>
              </w:rPr>
              <w:t xml:space="preserve"> 361.7</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52E7AC" w14:textId="77777777" w:rsidR="00ED0E85" w:rsidRDefault="00ED0E85" w:rsidP="00ED0E85">
            <w:pPr>
              <w:pStyle w:val="TableDataEntries"/>
              <w:rPr>
                <w:lang w:val="en-GB"/>
              </w:rPr>
            </w:pPr>
            <w:r>
              <w:rPr>
                <w:lang w:val="en-GB"/>
              </w:rPr>
              <w:t xml:space="preserve"> 341.0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8E6AA7" w14:textId="77777777" w:rsidR="00ED0E85" w:rsidRDefault="00ED0E85" w:rsidP="00ED0E85">
            <w:pPr>
              <w:pStyle w:val="TableDataEntries"/>
              <w:rPr>
                <w:lang w:val="en-GB"/>
              </w:rPr>
            </w:pPr>
            <w:r>
              <w:rPr>
                <w:lang w:val="en-GB"/>
              </w:rPr>
              <w:t xml:space="preserve"> 367.0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9E7936" w14:textId="77777777" w:rsidR="00ED0E85" w:rsidRDefault="00ED0E85" w:rsidP="00ED0E85">
            <w:pPr>
              <w:pStyle w:val="TableDataEntries"/>
              <w:rPr>
                <w:lang w:val="en-GB"/>
              </w:rPr>
            </w:pPr>
            <w:r>
              <w:rPr>
                <w:lang w:val="en-GB"/>
              </w:rPr>
              <w:t xml:space="preserve"> 342.3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9CDFB8" w14:textId="77777777" w:rsidR="00ED0E85" w:rsidRDefault="00ED0E85" w:rsidP="00ED0E85">
            <w:pPr>
              <w:pStyle w:val="TableDataEntries"/>
              <w:rPr>
                <w:lang w:val="en-GB"/>
              </w:rPr>
            </w:pPr>
            <w:r>
              <w:rPr>
                <w:lang w:val="en-GB"/>
              </w:rPr>
              <w:t xml:space="preserve"> 0.0</w:t>
            </w:r>
          </w:p>
        </w:tc>
      </w:tr>
      <w:tr w:rsidR="00ED0E85" w14:paraId="0808EB26"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B3A594" w14:textId="77777777" w:rsidR="00ED0E85" w:rsidRDefault="00ED0E85" w:rsidP="00ED0E85">
            <w:pPr>
              <w:pStyle w:val="TableDataEntries"/>
              <w:jc w:val="left"/>
              <w:rPr>
                <w:lang w:val="en-GB"/>
              </w:rPr>
            </w:pPr>
            <w:r>
              <w:rPr>
                <w:lang w:val="en-GB"/>
              </w:rPr>
              <w:t>4.5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E3FD40"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775BF6" w14:textId="77777777" w:rsidR="00ED0E85" w:rsidRDefault="00ED0E85" w:rsidP="00ED0E85">
            <w:pPr>
              <w:pStyle w:val="TableDataEntries"/>
              <w:rPr>
                <w:lang w:val="en-GB"/>
              </w:rPr>
            </w:pPr>
            <w:r>
              <w:rPr>
                <w:lang w:val="en-GB"/>
              </w:rPr>
              <w:t xml:space="preserve"> 294.7</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0FD2CB" w14:textId="77777777" w:rsidR="00ED0E85" w:rsidRDefault="00ED0E85" w:rsidP="00ED0E85">
            <w:pPr>
              <w:pStyle w:val="TableDataEntries"/>
              <w:rPr>
                <w:lang w:val="en-GB"/>
              </w:rPr>
            </w:pPr>
            <w:r>
              <w:rPr>
                <w:lang w:val="en-GB"/>
              </w:rPr>
              <w:t xml:space="preserve"> 273.0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169B34" w14:textId="77777777" w:rsidR="00ED0E85" w:rsidRDefault="00ED0E85" w:rsidP="00ED0E85">
            <w:pPr>
              <w:pStyle w:val="TableDataEntries"/>
              <w:rPr>
                <w:lang w:val="en-GB"/>
              </w:rPr>
            </w:pPr>
            <w:r>
              <w:rPr>
                <w:lang w:val="en-GB"/>
              </w:rPr>
              <w:t xml:space="preserve"> 342.2</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4CCB1D"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1924B3" w14:textId="77777777" w:rsidR="00ED0E85" w:rsidRDefault="00ED0E85" w:rsidP="00ED0E85">
            <w:pPr>
              <w:pStyle w:val="TableDataEntries"/>
              <w:rPr>
                <w:lang w:val="en-GB"/>
              </w:rPr>
            </w:pPr>
            <w:r>
              <w:rPr>
                <w:lang w:val="en-GB"/>
              </w:rPr>
              <w:t xml:space="preserve"> 329.0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A1D6BF" w14:textId="77777777" w:rsidR="00ED0E85" w:rsidRDefault="00ED0E85" w:rsidP="00ED0E85">
            <w:pPr>
              <w:pStyle w:val="TableDataEntries"/>
              <w:rPr>
                <w:lang w:val="en-GB"/>
              </w:rPr>
            </w:pPr>
            <w:r>
              <w:rPr>
                <w:lang w:val="en-GB"/>
              </w:rPr>
              <w:t xml:space="preserve"> 293.5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B8308F" w14:textId="77777777" w:rsidR="00ED0E85" w:rsidRDefault="00ED0E85" w:rsidP="00ED0E85">
            <w:pPr>
              <w:pStyle w:val="TableDataEntries"/>
              <w:rPr>
                <w:lang w:val="en-GB"/>
              </w:rPr>
            </w:pPr>
            <w:r>
              <w:rPr>
                <w:lang w:val="en-GB"/>
              </w:rPr>
              <w:t xml:space="preserve"> 298.2</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2BA940" w14:textId="77777777" w:rsidR="00ED0E85" w:rsidRDefault="00ED0E85" w:rsidP="00ED0E85">
            <w:pPr>
              <w:pStyle w:val="TableDataEntries"/>
              <w:rPr>
                <w:lang w:val="en-GB"/>
              </w:rPr>
            </w:pPr>
            <w:r>
              <w:rPr>
                <w:lang w:val="en-GB"/>
              </w:rPr>
              <w:t xml:space="preserve"> 401.0</w:t>
            </w:r>
          </w:p>
        </w:tc>
      </w:tr>
      <w:tr w:rsidR="00ED0E85" w14:paraId="00DCCEBD"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31BDAF" w14:textId="77777777" w:rsidR="00ED0E85" w:rsidRDefault="00ED0E85" w:rsidP="00ED0E85">
            <w:pPr>
              <w:pStyle w:val="TableDataEntries"/>
              <w:jc w:val="left"/>
              <w:rPr>
                <w:lang w:val="en-GB"/>
              </w:rPr>
            </w:pPr>
            <w:r>
              <w:rPr>
                <w:lang w:val="en-GB"/>
              </w:rPr>
              <w:t>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446DB35" w14:textId="77777777" w:rsidR="00ED0E85" w:rsidRDefault="00ED0E85" w:rsidP="00ED0E85">
            <w:pPr>
              <w:pStyle w:val="TableDataEntries"/>
              <w:rPr>
                <w:lang w:val="en-GB"/>
              </w:rPr>
            </w:pPr>
            <w:r>
              <w:rPr>
                <w:lang w:val="en-GB"/>
              </w:rPr>
              <w:t xml:space="preserve"> 261.3</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546B08" w14:textId="77777777" w:rsidR="00ED0E85" w:rsidRDefault="00ED0E85" w:rsidP="00ED0E85">
            <w:pPr>
              <w:pStyle w:val="TableDataEntries"/>
              <w:rPr>
                <w:lang w:val="en-GB"/>
              </w:rPr>
            </w:pPr>
            <w:r>
              <w:rPr>
                <w:lang w:val="en-GB"/>
              </w:rPr>
              <w:t xml:space="preserve"> 274.8</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9ABF29" w14:textId="77777777" w:rsidR="00ED0E85" w:rsidRDefault="00ED0E85" w:rsidP="00ED0E85">
            <w:pPr>
              <w:pStyle w:val="TableDataEntries"/>
              <w:rPr>
                <w:lang w:val="en-GB"/>
              </w:rPr>
            </w:pPr>
            <w:r>
              <w:rPr>
                <w:lang w:val="en-GB"/>
              </w:rPr>
              <w:t xml:space="preserve"> 251.0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A47D03" w14:textId="77777777" w:rsidR="00ED0E85" w:rsidRDefault="00ED0E85" w:rsidP="00ED0E85">
            <w:pPr>
              <w:pStyle w:val="TableDataEntries"/>
              <w:rPr>
                <w:lang w:val="en-GB"/>
              </w:rPr>
            </w:pPr>
            <w:r>
              <w:rPr>
                <w:lang w:val="en-GB"/>
              </w:rPr>
              <w:t xml:space="preserve"> 290.0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5C8BF8" w14:textId="77777777" w:rsidR="00ED0E85" w:rsidRDefault="00ED0E85" w:rsidP="00ED0E85">
            <w:pPr>
              <w:pStyle w:val="TableDataEntries"/>
              <w:rPr>
                <w:lang w:val="en-GB"/>
              </w:rPr>
            </w:pPr>
            <w:r>
              <w:rPr>
                <w:lang w:val="en-GB"/>
              </w:rPr>
              <w:t xml:space="preserve"> 245.0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72858E" w14:textId="77777777" w:rsidR="00ED0E85" w:rsidRDefault="00ED0E85" w:rsidP="00ED0E85">
            <w:pPr>
              <w:pStyle w:val="TableDataEntries"/>
              <w:rPr>
                <w:lang w:val="en-GB"/>
              </w:rPr>
            </w:pPr>
            <w:r>
              <w:rPr>
                <w:lang w:val="en-GB"/>
              </w:rPr>
              <w:t xml:space="preserve"> 284.0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7A77F8" w14:textId="77777777" w:rsidR="00ED0E85" w:rsidRDefault="00ED0E85" w:rsidP="00ED0E85">
            <w:pPr>
              <w:pStyle w:val="TableDataEntries"/>
              <w:rPr>
                <w:lang w:val="en-GB"/>
              </w:rPr>
            </w:pPr>
            <w:r>
              <w:rPr>
                <w:lang w:val="en-GB"/>
              </w:rPr>
              <w:t xml:space="preserve"> 324.5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5947B4" w14:textId="77777777" w:rsidR="00ED0E85" w:rsidRDefault="00ED0E85" w:rsidP="00ED0E85">
            <w:pPr>
              <w:pStyle w:val="TableDataEntries"/>
              <w:rPr>
                <w:lang w:val="en-GB"/>
              </w:rPr>
            </w:pPr>
            <w:r>
              <w:rPr>
                <w:lang w:val="en-GB"/>
              </w:rPr>
              <w:t xml:space="preserve"> 397.8</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20795E" w14:textId="77777777" w:rsidR="00ED0E85" w:rsidRDefault="00ED0E85" w:rsidP="00ED0E85">
            <w:pPr>
              <w:pStyle w:val="TableDataEntries"/>
              <w:rPr>
                <w:lang w:val="en-GB"/>
              </w:rPr>
            </w:pPr>
            <w:r>
              <w:rPr>
                <w:lang w:val="en-GB"/>
              </w:rPr>
              <w:t xml:space="preserve"> 372.0</w:t>
            </w:r>
          </w:p>
        </w:tc>
      </w:tr>
      <w:tr w:rsidR="00ED0E85" w14:paraId="4B3E990A"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1F3D5FE" w14:textId="77777777" w:rsidR="00ED0E85" w:rsidRDefault="00ED0E85" w:rsidP="00ED0E85">
            <w:pPr>
              <w:pStyle w:val="TableDataEntries"/>
              <w:jc w:val="left"/>
              <w:rPr>
                <w:lang w:val="en-GB"/>
              </w:rPr>
            </w:pPr>
            <w:r>
              <w:rPr>
                <w:lang w:val="en-GB"/>
              </w:rPr>
              <w:t>5.5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6546FD" w14:textId="77777777" w:rsidR="00ED0E85" w:rsidRDefault="00ED0E85" w:rsidP="00ED0E85">
            <w:pPr>
              <w:pStyle w:val="TableDataEntries"/>
              <w:rPr>
                <w:lang w:val="en-GB"/>
              </w:rPr>
            </w:pPr>
            <w:r>
              <w:rPr>
                <w:lang w:val="en-GB"/>
              </w:rPr>
              <w:t xml:space="preserve"> 226.0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615BD3"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0C6BEB" w14:textId="77777777" w:rsidR="00ED0E85" w:rsidRDefault="00ED0E85" w:rsidP="00ED0E85">
            <w:pPr>
              <w:pStyle w:val="TableDataEntries"/>
              <w:rPr>
                <w:lang w:val="en-GB"/>
              </w:rPr>
            </w:pPr>
            <w:r>
              <w:rPr>
                <w:lang w:val="en-GB"/>
              </w:rPr>
              <w:t xml:space="preserve"> 155.0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94EE09" w14:textId="77777777" w:rsidR="00ED0E85" w:rsidRDefault="00ED0E85" w:rsidP="00ED0E85">
            <w:pPr>
              <w:pStyle w:val="TableDataEntries"/>
              <w:rPr>
                <w:lang w:val="en-GB"/>
              </w:rPr>
            </w:pPr>
            <w:r>
              <w:rPr>
                <w:lang w:val="en-GB"/>
              </w:rPr>
              <w:t xml:space="preserve"> 183.0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7CBD0A" w14:textId="77777777" w:rsidR="00ED0E85" w:rsidRDefault="00ED0E85" w:rsidP="00ED0E85">
            <w:pPr>
              <w:pStyle w:val="TableDataEntries"/>
              <w:rPr>
                <w:lang w:val="en-GB"/>
              </w:rPr>
            </w:pPr>
            <w:r>
              <w:rPr>
                <w:lang w:val="en-GB"/>
              </w:rPr>
              <w:t xml:space="preserve"> 213.0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36D0671" w14:textId="77777777" w:rsidR="00ED0E85" w:rsidRDefault="00ED0E85" w:rsidP="00ED0E85">
            <w:pPr>
              <w:pStyle w:val="TableDataEntries"/>
              <w:rPr>
                <w:lang w:val="en-GB"/>
              </w:rPr>
            </w:pPr>
            <w:r>
              <w:rPr>
                <w:lang w:val="en-GB"/>
              </w:rPr>
              <w:t xml:space="preserve"> 200.0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9D06C6" w14:textId="77777777" w:rsidR="00ED0E85" w:rsidRDefault="00ED0E85" w:rsidP="00ED0E85">
            <w:pPr>
              <w:pStyle w:val="TableDataEntries"/>
              <w:rPr>
                <w:lang w:val="en-GB"/>
              </w:rPr>
            </w:pPr>
            <w:r>
              <w:rPr>
                <w:lang w:val="en-GB"/>
              </w:rPr>
              <w:t xml:space="preserve"> 210.0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19BF15"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C46AB6" w14:textId="77777777" w:rsidR="00ED0E85" w:rsidRDefault="00ED0E85" w:rsidP="00ED0E85">
            <w:pPr>
              <w:pStyle w:val="TableDataEntries"/>
              <w:rPr>
                <w:lang w:val="en-GB"/>
              </w:rPr>
            </w:pPr>
            <w:r>
              <w:rPr>
                <w:lang w:val="en-GB"/>
              </w:rPr>
              <w:t xml:space="preserve"> 149.0</w:t>
            </w:r>
          </w:p>
        </w:tc>
      </w:tr>
      <w:tr w:rsidR="00ED0E85" w14:paraId="2AC98E28"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81F511" w14:textId="77777777" w:rsidR="00ED0E85" w:rsidRDefault="00ED0E85" w:rsidP="00ED0E85">
            <w:pPr>
              <w:pStyle w:val="TableDataEntries"/>
              <w:jc w:val="left"/>
              <w:rPr>
                <w:lang w:val="en-GB"/>
              </w:rPr>
            </w:pPr>
            <w:r>
              <w:rPr>
                <w:lang w:val="en-GB"/>
              </w:rPr>
              <w:t>6</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A35E41"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638542"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FBFDCE"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44B6F5"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2B96CB"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44AFA8"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F138591"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F7D4BB"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A8E798" w14:textId="77777777" w:rsidR="00ED0E85" w:rsidRDefault="00ED0E85" w:rsidP="00ED0E85">
            <w:pPr>
              <w:pStyle w:val="TableDataEntries"/>
              <w:rPr>
                <w:lang w:val="en-GB"/>
              </w:rPr>
            </w:pPr>
            <w:r>
              <w:rPr>
                <w:lang w:val="en-GB"/>
              </w:rPr>
              <w:t xml:space="preserve"> 0.0</w:t>
            </w:r>
          </w:p>
        </w:tc>
      </w:tr>
      <w:tr w:rsidR="00ED0E85" w14:paraId="0FEA2368"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15F6981" w14:textId="77777777" w:rsidR="00ED0E85" w:rsidRDefault="00ED0E85" w:rsidP="00ED0E85">
            <w:pPr>
              <w:pStyle w:val="TableHeading1"/>
              <w:rPr>
                <w:lang w:val="en-GB"/>
              </w:rPr>
            </w:pPr>
            <w:r>
              <w:rPr>
                <w:lang w:val="en-GB"/>
              </w:rPr>
              <w:t>SA</w:t>
            </w: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45F2C98"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23E7593"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1313E46"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92EF445"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95DEA09"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2E8357C"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158A433"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09FFD51"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4C5B629" w14:textId="77777777" w:rsidR="00ED0E85" w:rsidRDefault="00ED0E85" w:rsidP="00ED0E85">
            <w:pPr>
              <w:pStyle w:val="TableHeading1"/>
              <w:rPr>
                <w:lang w:val="en-GB"/>
              </w:rPr>
            </w:pPr>
          </w:p>
        </w:tc>
      </w:tr>
      <w:tr w:rsidR="00ED0E85" w14:paraId="353B1CBE"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5CFE76" w14:textId="77777777" w:rsidR="00ED0E85" w:rsidRDefault="00ED0E85" w:rsidP="00ED0E85">
            <w:pPr>
              <w:pStyle w:val="TableDataEntries"/>
              <w:jc w:val="left"/>
              <w:rPr>
                <w:lang w:val="en-GB"/>
              </w:rPr>
            </w:pPr>
            <w:r>
              <w:rPr>
                <w:lang w:val="en-GB"/>
              </w:rPr>
              <w:t>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9AB8C1"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AE8D52" w14:textId="77777777" w:rsidR="00ED0E85" w:rsidRDefault="00ED0E85" w:rsidP="00ED0E85">
            <w:pPr>
              <w:pStyle w:val="TableDataEntries"/>
              <w:rPr>
                <w:lang w:val="en-GB"/>
              </w:rPr>
            </w:pPr>
            <w:r>
              <w:rPr>
                <w:lang w:val="en-GB"/>
              </w:rPr>
              <w:t xml:space="preserve"> 831.0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704806" w14:textId="77777777" w:rsidR="00ED0E85" w:rsidRDefault="00ED0E85" w:rsidP="00ED0E85">
            <w:pPr>
              <w:pStyle w:val="TableDataEntries"/>
              <w:rPr>
                <w:lang w:val="en-GB"/>
              </w:rPr>
            </w:pPr>
            <w:r>
              <w:rPr>
                <w:lang w:val="en-GB"/>
              </w:rPr>
              <w:t xml:space="preserve"> 769.0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87E1B9"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EB6459"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75AB21"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331A7C"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8BC682"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4B63A9" w14:textId="77777777" w:rsidR="00ED0E85" w:rsidRDefault="00ED0E85" w:rsidP="00ED0E85">
            <w:pPr>
              <w:pStyle w:val="TableDataEntries"/>
              <w:rPr>
                <w:lang w:val="en-GB"/>
              </w:rPr>
            </w:pPr>
            <w:r>
              <w:rPr>
                <w:lang w:val="en-GB"/>
              </w:rPr>
              <w:t xml:space="preserve"> 0.0</w:t>
            </w:r>
          </w:p>
        </w:tc>
      </w:tr>
      <w:tr w:rsidR="00ED0E85" w14:paraId="340010A7"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CA7067" w14:textId="77777777" w:rsidR="00ED0E85" w:rsidRDefault="00ED0E85" w:rsidP="00ED0E85">
            <w:pPr>
              <w:pStyle w:val="TableDataEntries"/>
              <w:jc w:val="left"/>
              <w:rPr>
                <w:lang w:val="en-GB"/>
              </w:rPr>
            </w:pPr>
            <w:r>
              <w:rPr>
                <w:lang w:val="en-GB"/>
              </w:rPr>
              <w:t>1</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46EEEA"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487C7E" w14:textId="77777777" w:rsidR="00ED0E85" w:rsidRDefault="00ED0E85" w:rsidP="00ED0E85">
            <w:pPr>
              <w:pStyle w:val="TableDataEntries"/>
              <w:rPr>
                <w:lang w:val="en-GB"/>
              </w:rPr>
            </w:pPr>
            <w:r>
              <w:rPr>
                <w:lang w:val="en-GB"/>
              </w:rPr>
              <w:t>1 154.0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DCE6C9"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8E6DFC"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1E2287"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1F87E8"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ADBAA8"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DE7DAB"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8803A2" w14:textId="77777777" w:rsidR="00ED0E85" w:rsidRDefault="00ED0E85" w:rsidP="00ED0E85">
            <w:pPr>
              <w:pStyle w:val="TableDataEntries"/>
              <w:rPr>
                <w:lang w:val="en-GB"/>
              </w:rPr>
            </w:pPr>
            <w:r>
              <w:rPr>
                <w:lang w:val="en-GB"/>
              </w:rPr>
              <w:t xml:space="preserve"> 0.0</w:t>
            </w:r>
          </w:p>
        </w:tc>
      </w:tr>
      <w:tr w:rsidR="00ED0E85" w14:paraId="734FCA25"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8BB65B" w14:textId="77777777" w:rsidR="00ED0E85" w:rsidRDefault="00ED0E85" w:rsidP="00ED0E85">
            <w:pPr>
              <w:pStyle w:val="TableDataEntries"/>
              <w:jc w:val="left"/>
              <w:rPr>
                <w:lang w:val="en-GB"/>
              </w:rPr>
            </w:pPr>
            <w:r>
              <w:rPr>
                <w:lang w:val="en-GB"/>
              </w:rPr>
              <w:t>1.5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DF72CF" w14:textId="77777777" w:rsidR="00ED0E85" w:rsidRDefault="00ED0E85" w:rsidP="00ED0E85">
            <w:pPr>
              <w:pStyle w:val="TableDataEntries"/>
              <w:rPr>
                <w:lang w:val="en-GB"/>
              </w:rPr>
            </w:pPr>
            <w:r>
              <w:rPr>
                <w:lang w:val="en-GB"/>
              </w:rPr>
              <w:t xml:space="preserve"> 792.0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44606C"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33B96C" w14:textId="77777777" w:rsidR="00ED0E85" w:rsidRDefault="00ED0E85" w:rsidP="00ED0E85">
            <w:pPr>
              <w:pStyle w:val="TableDataEntries"/>
              <w:rPr>
                <w:lang w:val="en-GB"/>
              </w:rPr>
            </w:pPr>
            <w:r>
              <w:rPr>
                <w:lang w:val="en-GB"/>
              </w:rPr>
              <w:t>1 059.0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5D21D5"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E79855"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CBD850"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3629F6"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F4A55A"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781F26" w14:textId="77777777" w:rsidR="00ED0E85" w:rsidRDefault="00ED0E85" w:rsidP="00ED0E85">
            <w:pPr>
              <w:pStyle w:val="TableDataEntries"/>
              <w:rPr>
                <w:lang w:val="en-GB"/>
              </w:rPr>
            </w:pPr>
            <w:r>
              <w:rPr>
                <w:lang w:val="en-GB"/>
              </w:rPr>
              <w:t xml:space="preserve"> 0.0</w:t>
            </w:r>
          </w:p>
        </w:tc>
      </w:tr>
      <w:tr w:rsidR="00ED0E85" w14:paraId="09F32A1E"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0AE95F" w14:textId="77777777" w:rsidR="00ED0E85" w:rsidRDefault="00ED0E85" w:rsidP="00ED0E85">
            <w:pPr>
              <w:pStyle w:val="TableDataEntries"/>
              <w:jc w:val="left"/>
              <w:rPr>
                <w:lang w:val="en-GB"/>
              </w:rPr>
            </w:pPr>
            <w:r>
              <w:rPr>
                <w:lang w:val="en-GB"/>
              </w:rPr>
              <w:t>2</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A7CC22"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4F2066"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9AC00C"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C661C8"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A1EBD4"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E10A5F"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5796A2"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3AA091" w14:textId="77777777" w:rsidR="00ED0E85" w:rsidRDefault="00ED0E85" w:rsidP="00ED0E85">
            <w:pPr>
              <w:pStyle w:val="TableDataEntries"/>
              <w:rPr>
                <w:lang w:val="en-GB"/>
              </w:rPr>
            </w:pPr>
            <w:r>
              <w:rPr>
                <w:lang w:val="en-GB"/>
              </w:rPr>
              <w:t xml:space="preserve"> 486.0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2E9ABE" w14:textId="77777777" w:rsidR="00ED0E85" w:rsidRDefault="00ED0E85" w:rsidP="00ED0E85">
            <w:pPr>
              <w:pStyle w:val="TableDataEntries"/>
              <w:rPr>
                <w:lang w:val="en-GB"/>
              </w:rPr>
            </w:pPr>
            <w:r>
              <w:rPr>
                <w:lang w:val="en-GB"/>
              </w:rPr>
              <w:t xml:space="preserve"> 0.0</w:t>
            </w:r>
          </w:p>
        </w:tc>
      </w:tr>
      <w:tr w:rsidR="00ED0E85" w14:paraId="3820B807"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A37220" w14:textId="77777777" w:rsidR="00ED0E85" w:rsidRDefault="00ED0E85" w:rsidP="00ED0E85">
            <w:pPr>
              <w:pStyle w:val="TableDataEntries"/>
              <w:jc w:val="left"/>
              <w:rPr>
                <w:lang w:val="en-GB"/>
              </w:rPr>
            </w:pPr>
            <w:r>
              <w:rPr>
                <w:lang w:val="en-GB"/>
              </w:rPr>
              <w:t>2.5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5E1C6E" w14:textId="77777777" w:rsidR="00ED0E85" w:rsidRDefault="00ED0E85" w:rsidP="00ED0E85">
            <w:pPr>
              <w:pStyle w:val="TableDataEntries"/>
              <w:rPr>
                <w:lang w:val="en-GB"/>
              </w:rPr>
            </w:pPr>
            <w:r>
              <w:rPr>
                <w:lang w:val="en-GB"/>
              </w:rPr>
              <w:t xml:space="preserve"> 472.0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756388" w14:textId="77777777" w:rsidR="00ED0E85" w:rsidRDefault="00ED0E85" w:rsidP="00ED0E85">
            <w:pPr>
              <w:pStyle w:val="TableDataEntries"/>
              <w:rPr>
                <w:lang w:val="en-GB"/>
              </w:rPr>
            </w:pPr>
            <w:r>
              <w:rPr>
                <w:lang w:val="en-GB"/>
              </w:rPr>
              <w:t xml:space="preserve"> 677.0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781B65"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BFB401" w14:textId="77777777" w:rsidR="00ED0E85" w:rsidRDefault="00ED0E85" w:rsidP="00ED0E85">
            <w:pPr>
              <w:pStyle w:val="TableDataEntries"/>
              <w:rPr>
                <w:lang w:val="en-GB"/>
              </w:rPr>
            </w:pPr>
            <w:r>
              <w:rPr>
                <w:lang w:val="en-GB"/>
              </w:rPr>
              <w:t xml:space="preserve"> 625.0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695AB1"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C8E0FC"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6C1597" w14:textId="77777777" w:rsidR="00ED0E85" w:rsidRDefault="00ED0E85" w:rsidP="00ED0E85">
            <w:pPr>
              <w:pStyle w:val="TableDataEntries"/>
              <w:rPr>
                <w:lang w:val="en-GB"/>
              </w:rPr>
            </w:pPr>
            <w:r>
              <w:rPr>
                <w:lang w:val="en-GB"/>
              </w:rPr>
              <w:t xml:space="preserve"> 487.0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8506DD"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65314B" w14:textId="77777777" w:rsidR="00ED0E85" w:rsidRDefault="00ED0E85" w:rsidP="00ED0E85">
            <w:pPr>
              <w:pStyle w:val="TableDataEntries"/>
              <w:rPr>
                <w:lang w:val="en-GB"/>
              </w:rPr>
            </w:pPr>
            <w:r>
              <w:rPr>
                <w:lang w:val="en-GB"/>
              </w:rPr>
              <w:t xml:space="preserve"> 0.0</w:t>
            </w:r>
          </w:p>
        </w:tc>
      </w:tr>
      <w:tr w:rsidR="00ED0E85" w14:paraId="5D8BE95E"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40BDB5" w14:textId="77777777" w:rsidR="00ED0E85" w:rsidRDefault="00ED0E85" w:rsidP="00ED0E85">
            <w:pPr>
              <w:pStyle w:val="TableDataEntries"/>
              <w:jc w:val="left"/>
              <w:rPr>
                <w:lang w:val="en-GB"/>
              </w:rPr>
            </w:pPr>
            <w:r>
              <w:rPr>
                <w:lang w:val="en-GB"/>
              </w:rPr>
              <w:t>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BAA871" w14:textId="77777777" w:rsidR="00ED0E85" w:rsidRDefault="00ED0E85" w:rsidP="00ED0E85">
            <w:pPr>
              <w:pStyle w:val="TableDataEntries"/>
              <w:rPr>
                <w:lang w:val="en-GB"/>
              </w:rPr>
            </w:pPr>
            <w:r>
              <w:rPr>
                <w:lang w:val="en-GB"/>
              </w:rPr>
              <w:t xml:space="preserve"> 578.5</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DCA8CE" w14:textId="77777777" w:rsidR="00ED0E85" w:rsidRDefault="00ED0E85" w:rsidP="00ED0E85">
            <w:pPr>
              <w:pStyle w:val="TableDataEntries"/>
              <w:rPr>
                <w:lang w:val="en-GB"/>
              </w:rPr>
            </w:pPr>
            <w:r>
              <w:rPr>
                <w:lang w:val="en-GB"/>
              </w:rPr>
              <w:t xml:space="preserve"> 535.5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44B1B2" w14:textId="77777777" w:rsidR="00ED0E85" w:rsidRDefault="00ED0E85" w:rsidP="00ED0E85">
            <w:pPr>
              <w:pStyle w:val="TableDataEntries"/>
              <w:rPr>
                <w:lang w:val="en-GB"/>
              </w:rPr>
            </w:pPr>
            <w:r>
              <w:rPr>
                <w:lang w:val="en-GB"/>
              </w:rPr>
              <w:t xml:space="preserve"> 398.0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61A3E3" w14:textId="77777777" w:rsidR="00ED0E85" w:rsidRDefault="00ED0E85" w:rsidP="00ED0E85">
            <w:pPr>
              <w:pStyle w:val="TableDataEntries"/>
              <w:rPr>
                <w:lang w:val="en-GB"/>
              </w:rPr>
            </w:pPr>
            <w:r>
              <w:rPr>
                <w:lang w:val="en-GB"/>
              </w:rPr>
              <w:t xml:space="preserve"> 446.0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D90FB9" w14:textId="77777777" w:rsidR="00ED0E85" w:rsidRDefault="00ED0E85" w:rsidP="00ED0E85">
            <w:pPr>
              <w:pStyle w:val="TableDataEntries"/>
              <w:rPr>
                <w:lang w:val="en-GB"/>
              </w:rPr>
            </w:pPr>
            <w:r>
              <w:rPr>
                <w:lang w:val="en-GB"/>
              </w:rPr>
              <w:t xml:space="preserve"> 475.0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3CFCAE" w14:textId="77777777" w:rsidR="00ED0E85" w:rsidRDefault="00ED0E85" w:rsidP="00ED0E85">
            <w:pPr>
              <w:pStyle w:val="TableDataEntries"/>
              <w:rPr>
                <w:lang w:val="en-GB"/>
              </w:rPr>
            </w:pPr>
            <w:r>
              <w:rPr>
                <w:lang w:val="en-GB"/>
              </w:rPr>
              <w:t xml:space="preserve"> 417.0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B67C33"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C773F7" w14:textId="77777777" w:rsidR="00ED0E85" w:rsidRDefault="00ED0E85" w:rsidP="00ED0E85">
            <w:pPr>
              <w:pStyle w:val="TableDataEntries"/>
              <w:rPr>
                <w:lang w:val="en-GB"/>
              </w:rPr>
            </w:pPr>
            <w:r>
              <w:rPr>
                <w:lang w:val="en-GB"/>
              </w:rPr>
              <w:t xml:space="preserve"> 393.0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B8907D" w14:textId="77777777" w:rsidR="00ED0E85" w:rsidRDefault="00ED0E85" w:rsidP="00ED0E85">
            <w:pPr>
              <w:pStyle w:val="TableDataEntries"/>
              <w:rPr>
                <w:lang w:val="en-GB"/>
              </w:rPr>
            </w:pPr>
            <w:r>
              <w:rPr>
                <w:lang w:val="en-GB"/>
              </w:rPr>
              <w:t xml:space="preserve"> 0.0</w:t>
            </w:r>
          </w:p>
        </w:tc>
      </w:tr>
      <w:tr w:rsidR="00ED0E85" w14:paraId="4AE330F5"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84B2CF" w14:textId="77777777" w:rsidR="00ED0E85" w:rsidRDefault="00ED0E85" w:rsidP="00ED0E85">
            <w:pPr>
              <w:pStyle w:val="TableDataEntries"/>
              <w:jc w:val="left"/>
              <w:rPr>
                <w:lang w:val="en-GB"/>
              </w:rPr>
            </w:pPr>
            <w:r>
              <w:rPr>
                <w:lang w:val="en-GB"/>
              </w:rPr>
              <w:t>3.5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CC8C1D" w14:textId="77777777" w:rsidR="00ED0E85" w:rsidRDefault="00ED0E85" w:rsidP="00ED0E85">
            <w:pPr>
              <w:pStyle w:val="TableDataEntries"/>
              <w:rPr>
                <w:lang w:val="en-GB"/>
              </w:rPr>
            </w:pPr>
            <w:r>
              <w:rPr>
                <w:lang w:val="en-GB"/>
              </w:rPr>
              <w:t xml:space="preserve"> 515.0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27F101" w14:textId="77777777" w:rsidR="00ED0E85" w:rsidRDefault="00ED0E85" w:rsidP="00ED0E85">
            <w:pPr>
              <w:pStyle w:val="TableDataEntries"/>
              <w:rPr>
                <w:lang w:val="en-GB"/>
              </w:rPr>
            </w:pPr>
            <w:r>
              <w:rPr>
                <w:lang w:val="en-GB"/>
              </w:rPr>
              <w:t xml:space="preserve"> 407.7</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557D3D"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B2911C" w14:textId="77777777" w:rsidR="00ED0E85" w:rsidRDefault="00ED0E85" w:rsidP="00ED0E85">
            <w:pPr>
              <w:pStyle w:val="TableDataEntries"/>
              <w:rPr>
                <w:lang w:val="en-GB"/>
              </w:rPr>
            </w:pPr>
            <w:r>
              <w:rPr>
                <w:lang w:val="en-GB"/>
              </w:rPr>
              <w:t xml:space="preserve"> 602.5</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75B412"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89C24C"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EFBA71" w14:textId="77777777" w:rsidR="00ED0E85" w:rsidRDefault="00ED0E85" w:rsidP="00ED0E85">
            <w:pPr>
              <w:pStyle w:val="TableDataEntries"/>
              <w:rPr>
                <w:lang w:val="en-GB"/>
              </w:rPr>
            </w:pPr>
            <w:r>
              <w:rPr>
                <w:lang w:val="en-GB"/>
              </w:rPr>
              <w:t xml:space="preserve"> 375.5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CD08347"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4908CB" w14:textId="77777777" w:rsidR="00ED0E85" w:rsidRDefault="00ED0E85" w:rsidP="00ED0E85">
            <w:pPr>
              <w:pStyle w:val="TableDataEntries"/>
              <w:rPr>
                <w:lang w:val="en-GB"/>
              </w:rPr>
            </w:pPr>
            <w:r>
              <w:rPr>
                <w:lang w:val="en-GB"/>
              </w:rPr>
              <w:t xml:space="preserve"> 0.0</w:t>
            </w:r>
          </w:p>
        </w:tc>
      </w:tr>
      <w:tr w:rsidR="00ED0E85" w14:paraId="4517C2D9"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D9FF59" w14:textId="77777777" w:rsidR="00ED0E85" w:rsidRDefault="00ED0E85" w:rsidP="00ED0E85">
            <w:pPr>
              <w:pStyle w:val="TableDataEntries"/>
              <w:jc w:val="left"/>
              <w:rPr>
                <w:lang w:val="en-GB"/>
              </w:rPr>
            </w:pPr>
            <w:r>
              <w:rPr>
                <w:lang w:val="en-GB"/>
              </w:rPr>
              <w:t>4</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25B2BB" w14:textId="77777777" w:rsidR="00ED0E85" w:rsidRDefault="00ED0E85" w:rsidP="00ED0E85">
            <w:pPr>
              <w:pStyle w:val="TableDataEntries"/>
              <w:rPr>
                <w:lang w:val="en-GB"/>
              </w:rPr>
            </w:pPr>
            <w:r>
              <w:rPr>
                <w:lang w:val="en-GB"/>
              </w:rPr>
              <w:t xml:space="preserve"> 307.0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4668A7" w14:textId="77777777" w:rsidR="00ED0E85" w:rsidRDefault="00ED0E85" w:rsidP="00ED0E85">
            <w:pPr>
              <w:pStyle w:val="TableDataEntries"/>
              <w:rPr>
                <w:lang w:val="en-GB"/>
              </w:rPr>
            </w:pPr>
            <w:r>
              <w:rPr>
                <w:lang w:val="en-GB"/>
              </w:rPr>
              <w:t xml:space="preserve"> 389.8</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29BBC3" w14:textId="77777777" w:rsidR="00ED0E85" w:rsidRDefault="00ED0E85" w:rsidP="00ED0E85">
            <w:pPr>
              <w:pStyle w:val="TableDataEntries"/>
              <w:rPr>
                <w:lang w:val="en-GB"/>
              </w:rPr>
            </w:pPr>
            <w:r>
              <w:rPr>
                <w:lang w:val="en-GB"/>
              </w:rPr>
              <w:t xml:space="preserve"> 360.0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1513A9" w14:textId="77777777" w:rsidR="00ED0E85" w:rsidRDefault="00ED0E85" w:rsidP="00ED0E85">
            <w:pPr>
              <w:pStyle w:val="TableDataEntries"/>
              <w:rPr>
                <w:lang w:val="en-GB"/>
              </w:rPr>
            </w:pPr>
            <w:r>
              <w:rPr>
                <w:lang w:val="en-GB"/>
              </w:rPr>
              <w:t xml:space="preserve"> 347.5</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A022D8" w14:textId="77777777" w:rsidR="00ED0E85" w:rsidRDefault="00ED0E85" w:rsidP="00ED0E85">
            <w:pPr>
              <w:pStyle w:val="TableDataEntries"/>
              <w:rPr>
                <w:lang w:val="en-GB"/>
              </w:rPr>
            </w:pPr>
            <w:r>
              <w:rPr>
                <w:lang w:val="en-GB"/>
              </w:rPr>
              <w:t xml:space="preserve"> 394.0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659A41" w14:textId="77777777" w:rsidR="00ED0E85" w:rsidRDefault="00ED0E85" w:rsidP="00ED0E85">
            <w:pPr>
              <w:pStyle w:val="TableDataEntries"/>
              <w:rPr>
                <w:lang w:val="en-GB"/>
              </w:rPr>
            </w:pPr>
            <w:r>
              <w:rPr>
                <w:lang w:val="en-GB"/>
              </w:rPr>
              <w:t xml:space="preserve"> 329.0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0DB64AB"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B1984F"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2D04A3" w14:textId="77777777" w:rsidR="00ED0E85" w:rsidRDefault="00ED0E85" w:rsidP="00ED0E85">
            <w:pPr>
              <w:pStyle w:val="TableDataEntries"/>
              <w:rPr>
                <w:lang w:val="en-GB"/>
              </w:rPr>
            </w:pPr>
            <w:r>
              <w:rPr>
                <w:lang w:val="en-GB"/>
              </w:rPr>
              <w:t xml:space="preserve"> 367.0</w:t>
            </w:r>
          </w:p>
        </w:tc>
      </w:tr>
      <w:tr w:rsidR="00ED0E85" w14:paraId="31A5952F"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9ACC4F" w14:textId="77777777" w:rsidR="00ED0E85" w:rsidRDefault="00ED0E85" w:rsidP="00ED0E85">
            <w:pPr>
              <w:pStyle w:val="TableDataEntries"/>
              <w:jc w:val="left"/>
              <w:rPr>
                <w:lang w:val="en-GB"/>
              </w:rPr>
            </w:pPr>
            <w:r>
              <w:rPr>
                <w:lang w:val="en-GB"/>
              </w:rPr>
              <w:t>4.5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9CC57F" w14:textId="77777777" w:rsidR="00ED0E85" w:rsidRDefault="00ED0E85" w:rsidP="00ED0E85">
            <w:pPr>
              <w:pStyle w:val="TableDataEntries"/>
              <w:rPr>
                <w:lang w:val="en-GB"/>
              </w:rPr>
            </w:pPr>
            <w:r>
              <w:rPr>
                <w:lang w:val="en-GB"/>
              </w:rPr>
              <w:t xml:space="preserve"> 237.0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5167F6" w14:textId="77777777" w:rsidR="00ED0E85" w:rsidRDefault="00ED0E85" w:rsidP="00ED0E85">
            <w:pPr>
              <w:pStyle w:val="TableDataEntries"/>
              <w:rPr>
                <w:lang w:val="en-GB"/>
              </w:rPr>
            </w:pPr>
            <w:r>
              <w:rPr>
                <w:lang w:val="en-GB"/>
              </w:rPr>
              <w:t xml:space="preserve"> 321.0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0E2580" w14:textId="77777777" w:rsidR="00ED0E85" w:rsidRDefault="00ED0E85" w:rsidP="00ED0E85">
            <w:pPr>
              <w:pStyle w:val="TableDataEntries"/>
              <w:rPr>
                <w:lang w:val="en-GB"/>
              </w:rPr>
            </w:pPr>
            <w:r>
              <w:rPr>
                <w:lang w:val="en-GB"/>
              </w:rPr>
              <w:t xml:space="preserve"> 303.0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C1973C" w14:textId="77777777" w:rsidR="00ED0E85" w:rsidRDefault="00ED0E85" w:rsidP="00ED0E85">
            <w:pPr>
              <w:pStyle w:val="TableDataEntries"/>
              <w:rPr>
                <w:lang w:val="en-GB"/>
              </w:rPr>
            </w:pPr>
            <w:r>
              <w:rPr>
                <w:lang w:val="en-GB"/>
              </w:rPr>
              <w:t xml:space="preserve"> 481.7</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D3BCD4" w14:textId="77777777" w:rsidR="00ED0E85" w:rsidRDefault="00ED0E85" w:rsidP="00ED0E85">
            <w:pPr>
              <w:pStyle w:val="TableDataEntries"/>
              <w:rPr>
                <w:lang w:val="en-GB"/>
              </w:rPr>
            </w:pPr>
            <w:r>
              <w:rPr>
                <w:lang w:val="en-GB"/>
              </w:rPr>
              <w:t xml:space="preserve"> 356.5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FFD74D" w14:textId="77777777" w:rsidR="00ED0E85" w:rsidRDefault="00ED0E85" w:rsidP="00ED0E85">
            <w:pPr>
              <w:pStyle w:val="TableDataEntries"/>
              <w:rPr>
                <w:lang w:val="en-GB"/>
              </w:rPr>
            </w:pPr>
            <w:r>
              <w:rPr>
                <w:lang w:val="en-GB"/>
              </w:rPr>
              <w:t xml:space="preserve"> 299.5</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F366FC"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C2AC5D" w14:textId="77777777" w:rsidR="00ED0E85" w:rsidRDefault="00ED0E85" w:rsidP="00ED0E85">
            <w:pPr>
              <w:pStyle w:val="TableDataEntries"/>
              <w:rPr>
                <w:lang w:val="en-GB"/>
              </w:rPr>
            </w:pPr>
            <w:r>
              <w:rPr>
                <w:lang w:val="en-GB"/>
              </w:rPr>
              <w:t xml:space="preserve"> 425.0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5B24F5" w14:textId="77777777" w:rsidR="00ED0E85" w:rsidRDefault="00ED0E85" w:rsidP="00ED0E85">
            <w:pPr>
              <w:pStyle w:val="TableDataEntries"/>
              <w:rPr>
                <w:lang w:val="en-GB"/>
              </w:rPr>
            </w:pPr>
            <w:r>
              <w:rPr>
                <w:lang w:val="en-GB"/>
              </w:rPr>
              <w:t xml:space="preserve"> 0.0</w:t>
            </w:r>
          </w:p>
        </w:tc>
      </w:tr>
      <w:tr w:rsidR="00ED0E85" w14:paraId="7AA96B21"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58FF2C" w14:textId="77777777" w:rsidR="00ED0E85" w:rsidRDefault="00ED0E85" w:rsidP="00ED0E85">
            <w:pPr>
              <w:pStyle w:val="TableDataEntries"/>
              <w:jc w:val="left"/>
              <w:rPr>
                <w:lang w:val="en-GB"/>
              </w:rPr>
            </w:pPr>
            <w:r>
              <w:rPr>
                <w:lang w:val="en-GB"/>
              </w:rPr>
              <w:t>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41FF52" w14:textId="77777777" w:rsidR="00ED0E85" w:rsidRDefault="00ED0E85" w:rsidP="00ED0E85">
            <w:pPr>
              <w:pStyle w:val="TableDataEntries"/>
              <w:rPr>
                <w:lang w:val="en-GB"/>
              </w:rPr>
            </w:pPr>
            <w:r>
              <w:rPr>
                <w:lang w:val="en-GB"/>
              </w:rPr>
              <w:t xml:space="preserve"> 211.0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ECB972" w14:textId="77777777" w:rsidR="00ED0E85" w:rsidRDefault="00ED0E85" w:rsidP="00ED0E85">
            <w:pPr>
              <w:pStyle w:val="TableDataEntries"/>
              <w:rPr>
                <w:lang w:val="en-GB"/>
              </w:rPr>
            </w:pPr>
            <w:r>
              <w:rPr>
                <w:lang w:val="en-GB"/>
              </w:rPr>
              <w:t xml:space="preserve"> 294.0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92F6EC" w14:textId="77777777" w:rsidR="00ED0E85" w:rsidRDefault="00ED0E85" w:rsidP="00ED0E85">
            <w:pPr>
              <w:pStyle w:val="TableDataEntries"/>
              <w:rPr>
                <w:lang w:val="en-GB"/>
              </w:rPr>
            </w:pPr>
            <w:r>
              <w:rPr>
                <w:lang w:val="en-GB"/>
              </w:rPr>
              <w:t xml:space="preserve"> 252.0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179187" w14:textId="77777777" w:rsidR="00ED0E85" w:rsidRDefault="00ED0E85" w:rsidP="00ED0E85">
            <w:pPr>
              <w:pStyle w:val="TableDataEntries"/>
              <w:rPr>
                <w:lang w:val="en-GB"/>
              </w:rPr>
            </w:pPr>
            <w:r>
              <w:rPr>
                <w:lang w:val="en-GB"/>
              </w:rPr>
              <w:t xml:space="preserve"> 196.0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36C10E"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6992E32" w14:textId="77777777" w:rsidR="00ED0E85" w:rsidRDefault="00ED0E85" w:rsidP="00ED0E85">
            <w:pPr>
              <w:pStyle w:val="TableDataEntries"/>
              <w:rPr>
                <w:lang w:val="en-GB"/>
              </w:rPr>
            </w:pPr>
            <w:r>
              <w:rPr>
                <w:lang w:val="en-GB"/>
              </w:rPr>
              <w:t xml:space="preserve"> 235.0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8E1485"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B622C9"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614539" w14:textId="77777777" w:rsidR="00ED0E85" w:rsidRDefault="00ED0E85" w:rsidP="00ED0E85">
            <w:pPr>
              <w:pStyle w:val="TableDataEntries"/>
              <w:rPr>
                <w:lang w:val="en-GB"/>
              </w:rPr>
            </w:pPr>
            <w:r>
              <w:rPr>
                <w:lang w:val="en-GB"/>
              </w:rPr>
              <w:t xml:space="preserve"> 0.0</w:t>
            </w:r>
          </w:p>
        </w:tc>
      </w:tr>
      <w:tr w:rsidR="00ED0E85" w14:paraId="5F85C3D9"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7FBF82" w14:textId="77777777" w:rsidR="00ED0E85" w:rsidRDefault="00ED0E85" w:rsidP="00ED0E85">
            <w:pPr>
              <w:pStyle w:val="TableDataEntries"/>
              <w:jc w:val="left"/>
              <w:rPr>
                <w:lang w:val="en-GB"/>
              </w:rPr>
            </w:pPr>
            <w:r>
              <w:rPr>
                <w:lang w:val="en-GB"/>
              </w:rPr>
              <w:t>5.5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E2B511"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493B05"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6A1398"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7E93D3"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F9C4D2"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00647C"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1BCBBB"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6380F3"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56D713" w14:textId="77777777" w:rsidR="00ED0E85" w:rsidRDefault="00ED0E85" w:rsidP="00ED0E85">
            <w:pPr>
              <w:pStyle w:val="TableDataEntries"/>
              <w:rPr>
                <w:lang w:val="en-GB"/>
              </w:rPr>
            </w:pPr>
            <w:r>
              <w:rPr>
                <w:lang w:val="en-GB"/>
              </w:rPr>
              <w:t xml:space="preserve"> 0.0</w:t>
            </w:r>
          </w:p>
        </w:tc>
      </w:tr>
      <w:tr w:rsidR="00ED0E85" w14:paraId="4FE461BF"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9B754C5" w14:textId="77777777" w:rsidR="00ED0E85" w:rsidRDefault="00ED0E85" w:rsidP="00ED0E85">
            <w:pPr>
              <w:pStyle w:val="TableDataEntries"/>
              <w:jc w:val="left"/>
              <w:rPr>
                <w:lang w:val="en-GB"/>
              </w:rPr>
            </w:pPr>
            <w:r>
              <w:rPr>
                <w:lang w:val="en-GB"/>
              </w:rPr>
              <w:t>6</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3BC37C"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C7558D"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29AC1B"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BC7641"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116B91"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5845E3"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7DCF63"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89CC1A"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67D1B1" w14:textId="77777777" w:rsidR="00ED0E85" w:rsidRDefault="00ED0E85" w:rsidP="00ED0E85">
            <w:pPr>
              <w:pStyle w:val="TableDataEntries"/>
              <w:rPr>
                <w:lang w:val="en-GB"/>
              </w:rPr>
            </w:pPr>
            <w:r>
              <w:rPr>
                <w:lang w:val="en-GB"/>
              </w:rPr>
              <w:t xml:space="preserve"> 0.0</w:t>
            </w:r>
          </w:p>
        </w:tc>
      </w:tr>
      <w:tr w:rsidR="00ED0E85" w14:paraId="78B8D014"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786AC30" w14:textId="77777777" w:rsidR="00ED0E85" w:rsidRDefault="00ED0E85" w:rsidP="00ED0E85">
            <w:pPr>
              <w:pStyle w:val="TableHeading1"/>
              <w:rPr>
                <w:lang w:val="en-GB"/>
              </w:rPr>
            </w:pPr>
            <w:r>
              <w:rPr>
                <w:lang w:val="en-GB"/>
              </w:rPr>
              <w:t>Tas</w:t>
            </w: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4887212"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18D0511"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A081F8F"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4AFAE9A"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2CA3B3C"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34F5F36"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704828B"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310E5DC"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A4F212E" w14:textId="77777777" w:rsidR="00ED0E85" w:rsidRDefault="00ED0E85" w:rsidP="00ED0E85">
            <w:pPr>
              <w:pStyle w:val="TableHeading1"/>
              <w:rPr>
                <w:lang w:val="en-GB"/>
              </w:rPr>
            </w:pPr>
          </w:p>
        </w:tc>
      </w:tr>
      <w:tr w:rsidR="00ED0E85" w14:paraId="05D6888E"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137E75" w14:textId="77777777" w:rsidR="00ED0E85" w:rsidRDefault="00ED0E85" w:rsidP="00ED0E85">
            <w:pPr>
              <w:pStyle w:val="TableDataEntries"/>
              <w:jc w:val="left"/>
              <w:rPr>
                <w:lang w:val="en-GB"/>
              </w:rPr>
            </w:pPr>
            <w:r>
              <w:rPr>
                <w:lang w:val="en-GB"/>
              </w:rPr>
              <w:t>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E73DA0"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33E4EA"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E1AAEB"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66BEE8"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B69357"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3F27E6"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EAA4B5"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BD7ADC"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1F3239" w14:textId="77777777" w:rsidR="00ED0E85" w:rsidRDefault="00ED0E85" w:rsidP="00ED0E85">
            <w:pPr>
              <w:pStyle w:val="TableDataEntries"/>
              <w:rPr>
                <w:lang w:val="en-GB"/>
              </w:rPr>
            </w:pPr>
            <w:r>
              <w:rPr>
                <w:lang w:val="en-GB"/>
              </w:rPr>
              <w:t xml:space="preserve"> 0.0</w:t>
            </w:r>
          </w:p>
        </w:tc>
      </w:tr>
      <w:tr w:rsidR="00ED0E85" w14:paraId="3B43A847"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416CE1" w14:textId="77777777" w:rsidR="00ED0E85" w:rsidRDefault="00ED0E85" w:rsidP="00ED0E85">
            <w:pPr>
              <w:pStyle w:val="TableDataEntries"/>
              <w:jc w:val="left"/>
              <w:rPr>
                <w:lang w:val="en-GB"/>
              </w:rPr>
            </w:pPr>
            <w:r>
              <w:rPr>
                <w:lang w:val="en-GB"/>
              </w:rPr>
              <w:t>1</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FABD8A"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846541E"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15B579"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DFD41A"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D8A790"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A1090B"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E4BAA6"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D92900"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206D5C4" w14:textId="77777777" w:rsidR="00ED0E85" w:rsidRDefault="00ED0E85" w:rsidP="00ED0E85">
            <w:pPr>
              <w:pStyle w:val="TableDataEntries"/>
              <w:rPr>
                <w:lang w:val="en-GB"/>
              </w:rPr>
            </w:pPr>
            <w:r>
              <w:rPr>
                <w:lang w:val="en-GB"/>
              </w:rPr>
              <w:t xml:space="preserve"> 0.0</w:t>
            </w:r>
          </w:p>
        </w:tc>
      </w:tr>
      <w:tr w:rsidR="00ED0E85" w14:paraId="4526124C"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9B9119" w14:textId="77777777" w:rsidR="00ED0E85" w:rsidRDefault="00ED0E85" w:rsidP="00ED0E85">
            <w:pPr>
              <w:pStyle w:val="TableDataEntries"/>
              <w:jc w:val="left"/>
              <w:rPr>
                <w:lang w:val="en-GB"/>
              </w:rPr>
            </w:pPr>
            <w:r>
              <w:rPr>
                <w:lang w:val="en-GB"/>
              </w:rPr>
              <w:t>1.5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1A35BD"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8C5C57"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BF56C9"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A714D6A"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7B3A0AC"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278CB3"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4D7AEE"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71D65F" w14:textId="77777777" w:rsidR="00ED0E85" w:rsidRDefault="00ED0E85" w:rsidP="00ED0E85">
            <w:pPr>
              <w:pStyle w:val="TableDataEntries"/>
              <w:rPr>
                <w:lang w:val="en-GB"/>
              </w:rPr>
            </w:pPr>
            <w:r>
              <w:rPr>
                <w:lang w:val="en-GB"/>
              </w:rPr>
              <w:t xml:space="preserve"> 654.0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39F984" w14:textId="77777777" w:rsidR="00ED0E85" w:rsidRDefault="00ED0E85" w:rsidP="00ED0E85">
            <w:pPr>
              <w:pStyle w:val="TableDataEntries"/>
              <w:rPr>
                <w:lang w:val="en-GB"/>
              </w:rPr>
            </w:pPr>
            <w:r>
              <w:rPr>
                <w:lang w:val="en-GB"/>
              </w:rPr>
              <w:t xml:space="preserve"> 0.0</w:t>
            </w:r>
          </w:p>
        </w:tc>
      </w:tr>
      <w:tr w:rsidR="00ED0E85" w14:paraId="6FCEDF8B"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98C32D" w14:textId="77777777" w:rsidR="00ED0E85" w:rsidRDefault="00ED0E85" w:rsidP="00ED0E85">
            <w:pPr>
              <w:pStyle w:val="TableDataEntries"/>
              <w:jc w:val="left"/>
              <w:rPr>
                <w:lang w:val="en-GB"/>
              </w:rPr>
            </w:pPr>
            <w:r>
              <w:rPr>
                <w:lang w:val="en-GB"/>
              </w:rPr>
              <w:t>2</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847FD2"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287965"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C61D4A"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5E74A0"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AD08AD"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3293B7"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59962A"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E2BC6C"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635C0B" w14:textId="77777777" w:rsidR="00ED0E85" w:rsidRDefault="00ED0E85" w:rsidP="00ED0E85">
            <w:pPr>
              <w:pStyle w:val="TableDataEntries"/>
              <w:rPr>
                <w:lang w:val="en-GB"/>
              </w:rPr>
            </w:pPr>
            <w:r>
              <w:rPr>
                <w:lang w:val="en-GB"/>
              </w:rPr>
              <w:t xml:space="preserve"> 0.0</w:t>
            </w:r>
          </w:p>
        </w:tc>
      </w:tr>
      <w:tr w:rsidR="00ED0E85" w14:paraId="1DD20C67"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62D79F" w14:textId="77777777" w:rsidR="00ED0E85" w:rsidRDefault="00ED0E85" w:rsidP="00ED0E85">
            <w:pPr>
              <w:pStyle w:val="TableDataEntries"/>
              <w:jc w:val="left"/>
              <w:rPr>
                <w:lang w:val="en-GB"/>
              </w:rPr>
            </w:pPr>
            <w:r>
              <w:rPr>
                <w:lang w:val="en-GB"/>
              </w:rPr>
              <w:t>2.5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F6DFFA"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FB6557"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6BAD8C"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ED9FEA"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1C957E"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9FF988" w14:textId="77777777" w:rsidR="00ED0E85" w:rsidRDefault="00ED0E85" w:rsidP="00ED0E85">
            <w:pPr>
              <w:pStyle w:val="TableDataEntries"/>
              <w:rPr>
                <w:lang w:val="en-GB"/>
              </w:rPr>
            </w:pPr>
            <w:r>
              <w:rPr>
                <w:lang w:val="en-GB"/>
              </w:rPr>
              <w:t xml:space="preserve"> 607.0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34D2DC" w14:textId="77777777" w:rsidR="00ED0E85" w:rsidRDefault="00ED0E85" w:rsidP="00ED0E85">
            <w:pPr>
              <w:pStyle w:val="TableDataEntries"/>
              <w:rPr>
                <w:lang w:val="en-GB"/>
              </w:rPr>
            </w:pPr>
            <w:r>
              <w:rPr>
                <w:lang w:val="en-GB"/>
              </w:rPr>
              <w:t xml:space="preserve"> 499.0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08A36E2"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1686AB3" w14:textId="77777777" w:rsidR="00ED0E85" w:rsidRDefault="00ED0E85" w:rsidP="00ED0E85">
            <w:pPr>
              <w:pStyle w:val="TableDataEntries"/>
              <w:rPr>
                <w:lang w:val="en-GB"/>
              </w:rPr>
            </w:pPr>
            <w:r>
              <w:rPr>
                <w:lang w:val="en-GB"/>
              </w:rPr>
              <w:t xml:space="preserve"> 0.0</w:t>
            </w:r>
          </w:p>
        </w:tc>
      </w:tr>
      <w:tr w:rsidR="00ED0E85" w14:paraId="6F7E505C"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3287D0" w14:textId="77777777" w:rsidR="00ED0E85" w:rsidRDefault="00ED0E85" w:rsidP="00ED0E85">
            <w:pPr>
              <w:pStyle w:val="TableDataEntries"/>
              <w:jc w:val="left"/>
              <w:rPr>
                <w:lang w:val="en-GB"/>
              </w:rPr>
            </w:pPr>
            <w:r>
              <w:rPr>
                <w:lang w:val="en-GB"/>
              </w:rPr>
              <w:t>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9104FA"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78B4D0"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BD646B"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C23EBB"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ED47F3"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EE2212"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9E02D9" w14:textId="77777777" w:rsidR="00ED0E85" w:rsidRDefault="00ED0E85" w:rsidP="00ED0E85">
            <w:pPr>
              <w:pStyle w:val="TableDataEntries"/>
              <w:rPr>
                <w:lang w:val="en-GB"/>
              </w:rPr>
            </w:pPr>
            <w:r>
              <w:rPr>
                <w:lang w:val="en-GB"/>
              </w:rPr>
              <w:t xml:space="preserve"> 497.0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E037C3"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C83AA2" w14:textId="77777777" w:rsidR="00ED0E85" w:rsidRDefault="00ED0E85" w:rsidP="00ED0E85">
            <w:pPr>
              <w:pStyle w:val="TableDataEntries"/>
              <w:rPr>
                <w:lang w:val="en-GB"/>
              </w:rPr>
            </w:pPr>
            <w:r>
              <w:rPr>
                <w:lang w:val="en-GB"/>
              </w:rPr>
              <w:t xml:space="preserve"> 0.0</w:t>
            </w:r>
          </w:p>
        </w:tc>
      </w:tr>
      <w:tr w:rsidR="00ED0E85" w14:paraId="51A0455D"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BDDCED5" w14:textId="77777777" w:rsidR="00ED0E85" w:rsidRDefault="00ED0E85" w:rsidP="00ED0E85">
            <w:pPr>
              <w:pStyle w:val="TableDataEntries"/>
              <w:jc w:val="left"/>
              <w:rPr>
                <w:lang w:val="en-GB"/>
              </w:rPr>
            </w:pPr>
            <w:r>
              <w:rPr>
                <w:lang w:val="en-GB"/>
              </w:rPr>
              <w:t>3.5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54B37E"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76DB1D" w14:textId="77777777" w:rsidR="00ED0E85" w:rsidRDefault="00ED0E85" w:rsidP="00ED0E85">
            <w:pPr>
              <w:pStyle w:val="TableDataEntries"/>
              <w:rPr>
                <w:lang w:val="en-GB"/>
              </w:rPr>
            </w:pPr>
            <w:r>
              <w:rPr>
                <w:lang w:val="en-GB"/>
              </w:rPr>
              <w:t xml:space="preserve"> 778.0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C0C86A" w14:textId="77777777" w:rsidR="00ED0E85" w:rsidRDefault="00ED0E85" w:rsidP="00ED0E85">
            <w:pPr>
              <w:pStyle w:val="TableDataEntries"/>
              <w:rPr>
                <w:lang w:val="en-GB"/>
              </w:rPr>
            </w:pPr>
            <w:r>
              <w:rPr>
                <w:lang w:val="en-GB"/>
              </w:rPr>
              <w:t xml:space="preserve"> 392.0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D58564"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6B22F9"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229758A"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8EE2C3"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9E0C17" w14:textId="77777777" w:rsidR="00ED0E85" w:rsidRDefault="00ED0E85" w:rsidP="00ED0E85">
            <w:pPr>
              <w:pStyle w:val="TableDataEntries"/>
              <w:rPr>
                <w:lang w:val="en-GB"/>
              </w:rPr>
            </w:pPr>
            <w:r>
              <w:rPr>
                <w:lang w:val="en-GB"/>
              </w:rPr>
              <w:t xml:space="preserve"> 326.0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429022" w14:textId="77777777" w:rsidR="00ED0E85" w:rsidRDefault="00ED0E85" w:rsidP="00ED0E85">
            <w:pPr>
              <w:pStyle w:val="TableDataEntries"/>
              <w:rPr>
                <w:lang w:val="en-GB"/>
              </w:rPr>
            </w:pPr>
            <w:r>
              <w:rPr>
                <w:lang w:val="en-GB"/>
              </w:rPr>
              <w:t xml:space="preserve"> 0.0</w:t>
            </w:r>
          </w:p>
        </w:tc>
      </w:tr>
      <w:tr w:rsidR="00ED0E85" w14:paraId="6C905086"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C91F201" w14:textId="77777777" w:rsidR="00ED0E85" w:rsidRDefault="00ED0E85" w:rsidP="00ED0E85">
            <w:pPr>
              <w:pStyle w:val="TableDataEntries"/>
              <w:jc w:val="left"/>
              <w:rPr>
                <w:lang w:val="en-GB"/>
              </w:rPr>
            </w:pPr>
            <w:r>
              <w:rPr>
                <w:lang w:val="en-GB"/>
              </w:rPr>
              <w:t>4</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5FDD572" w14:textId="77777777" w:rsidR="00ED0E85" w:rsidRDefault="00ED0E85" w:rsidP="00ED0E85">
            <w:pPr>
              <w:pStyle w:val="TableDataEntries"/>
              <w:rPr>
                <w:lang w:val="en-GB"/>
              </w:rPr>
            </w:pPr>
            <w:r>
              <w:rPr>
                <w:lang w:val="en-GB"/>
              </w:rPr>
              <w:t xml:space="preserve"> 362.0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F26264"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B53FFD"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64A673" w14:textId="77777777" w:rsidR="00ED0E85" w:rsidRDefault="00ED0E85" w:rsidP="00ED0E85">
            <w:pPr>
              <w:pStyle w:val="TableDataEntries"/>
              <w:rPr>
                <w:lang w:val="en-GB"/>
              </w:rPr>
            </w:pPr>
            <w:r>
              <w:rPr>
                <w:lang w:val="en-GB"/>
              </w:rPr>
              <w:t xml:space="preserve"> 322.0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5265F1"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1D920F"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793C8A" w14:textId="77777777" w:rsidR="00ED0E85" w:rsidRDefault="00ED0E85" w:rsidP="00ED0E85">
            <w:pPr>
              <w:pStyle w:val="TableDataEntries"/>
              <w:rPr>
                <w:lang w:val="en-GB"/>
              </w:rPr>
            </w:pPr>
            <w:r>
              <w:rPr>
                <w:lang w:val="en-GB"/>
              </w:rPr>
              <w:t xml:space="preserve"> 290.0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1453F8"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E64922" w14:textId="77777777" w:rsidR="00ED0E85" w:rsidRDefault="00ED0E85" w:rsidP="00ED0E85">
            <w:pPr>
              <w:pStyle w:val="TableDataEntries"/>
              <w:rPr>
                <w:lang w:val="en-GB"/>
              </w:rPr>
            </w:pPr>
            <w:r>
              <w:rPr>
                <w:lang w:val="en-GB"/>
              </w:rPr>
              <w:t xml:space="preserve"> 0.0</w:t>
            </w:r>
          </w:p>
        </w:tc>
      </w:tr>
      <w:tr w:rsidR="00ED0E85" w14:paraId="485651BF"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6E2734" w14:textId="77777777" w:rsidR="00ED0E85" w:rsidRDefault="00ED0E85" w:rsidP="00ED0E85">
            <w:pPr>
              <w:pStyle w:val="TableDataEntries"/>
              <w:jc w:val="left"/>
              <w:rPr>
                <w:lang w:val="en-GB"/>
              </w:rPr>
            </w:pPr>
            <w:r>
              <w:rPr>
                <w:lang w:val="en-GB"/>
              </w:rPr>
              <w:t>4.5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E2DFEA" w14:textId="77777777" w:rsidR="00ED0E85" w:rsidRDefault="00ED0E85" w:rsidP="00ED0E85">
            <w:pPr>
              <w:pStyle w:val="TableDataEntries"/>
              <w:rPr>
                <w:lang w:val="en-GB"/>
              </w:rPr>
            </w:pPr>
            <w:r>
              <w:rPr>
                <w:lang w:val="en-GB"/>
              </w:rPr>
              <w:t xml:space="preserve"> 266.5</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B4EEBF"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937EDF3"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B077F0" w14:textId="77777777" w:rsidR="00ED0E85" w:rsidRDefault="00ED0E85" w:rsidP="00ED0E85">
            <w:pPr>
              <w:pStyle w:val="TableDataEntries"/>
              <w:rPr>
                <w:lang w:val="en-GB"/>
              </w:rPr>
            </w:pPr>
            <w:r>
              <w:rPr>
                <w:lang w:val="en-GB"/>
              </w:rPr>
              <w:t xml:space="preserve"> 303.0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F62B59"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3E9C43C"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A19EF8B" w14:textId="77777777" w:rsidR="00ED0E85" w:rsidRDefault="00ED0E85" w:rsidP="00ED0E85">
            <w:pPr>
              <w:pStyle w:val="TableDataEntries"/>
              <w:rPr>
                <w:lang w:val="en-GB"/>
              </w:rPr>
            </w:pPr>
            <w:r>
              <w:rPr>
                <w:lang w:val="en-GB"/>
              </w:rPr>
              <w:t xml:space="preserve"> 257.0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074E63"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56E9DB" w14:textId="77777777" w:rsidR="00ED0E85" w:rsidRDefault="00ED0E85" w:rsidP="00ED0E85">
            <w:pPr>
              <w:pStyle w:val="TableDataEntries"/>
              <w:rPr>
                <w:lang w:val="en-GB"/>
              </w:rPr>
            </w:pPr>
            <w:r>
              <w:rPr>
                <w:lang w:val="en-GB"/>
              </w:rPr>
              <w:t xml:space="preserve"> 0.0</w:t>
            </w:r>
          </w:p>
        </w:tc>
      </w:tr>
      <w:tr w:rsidR="00ED0E85" w14:paraId="047A9BF6"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8AE866" w14:textId="77777777" w:rsidR="00ED0E85" w:rsidRDefault="00ED0E85" w:rsidP="00ED0E85">
            <w:pPr>
              <w:pStyle w:val="TableDataEntries"/>
              <w:jc w:val="left"/>
              <w:rPr>
                <w:lang w:val="en-GB"/>
              </w:rPr>
            </w:pPr>
            <w:r>
              <w:rPr>
                <w:lang w:val="en-GB"/>
              </w:rPr>
              <w:t>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026CFF" w14:textId="77777777" w:rsidR="00ED0E85" w:rsidRDefault="00ED0E85" w:rsidP="00ED0E85">
            <w:pPr>
              <w:pStyle w:val="TableDataEntries"/>
              <w:rPr>
                <w:lang w:val="en-GB"/>
              </w:rPr>
            </w:pPr>
            <w:r>
              <w:rPr>
                <w:lang w:val="en-GB"/>
              </w:rPr>
              <w:t xml:space="preserve"> 247.0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61C213D"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34209D"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D3FFD3" w14:textId="77777777" w:rsidR="00ED0E85" w:rsidRDefault="00ED0E85" w:rsidP="00ED0E85">
            <w:pPr>
              <w:pStyle w:val="TableDataEntries"/>
              <w:rPr>
                <w:lang w:val="en-GB"/>
              </w:rPr>
            </w:pPr>
            <w:r>
              <w:rPr>
                <w:lang w:val="en-GB"/>
              </w:rPr>
              <w:t xml:space="preserve"> 256.0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0A24DC"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34D248" w14:textId="77777777" w:rsidR="00ED0E85" w:rsidRDefault="00ED0E85" w:rsidP="00ED0E85">
            <w:pPr>
              <w:pStyle w:val="TableDataEntries"/>
              <w:rPr>
                <w:lang w:val="en-GB"/>
              </w:rPr>
            </w:pPr>
            <w:r>
              <w:rPr>
                <w:lang w:val="en-GB"/>
              </w:rPr>
              <w:t xml:space="preserve"> 183.0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73DD23"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F75E68"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ED9BB1" w14:textId="77777777" w:rsidR="00ED0E85" w:rsidRDefault="00ED0E85" w:rsidP="00ED0E85">
            <w:pPr>
              <w:pStyle w:val="TableDataEntries"/>
              <w:rPr>
                <w:lang w:val="en-GB"/>
              </w:rPr>
            </w:pPr>
            <w:r>
              <w:rPr>
                <w:lang w:val="en-GB"/>
              </w:rPr>
              <w:t xml:space="preserve"> 0.0</w:t>
            </w:r>
          </w:p>
        </w:tc>
      </w:tr>
      <w:tr w:rsidR="00ED0E85" w14:paraId="6F1A0400"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EBDEADB" w14:textId="77777777" w:rsidR="00ED0E85" w:rsidRDefault="00ED0E85" w:rsidP="00ED0E85">
            <w:pPr>
              <w:pStyle w:val="TableDataEntries"/>
              <w:jc w:val="left"/>
              <w:rPr>
                <w:lang w:val="en-GB"/>
              </w:rPr>
            </w:pPr>
            <w:r>
              <w:rPr>
                <w:lang w:val="en-GB"/>
              </w:rPr>
              <w:t>5.5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E7C022"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C29379"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AA0487F"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20A0B2C"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5B8B6C"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009269"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FDC0BA"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D77FB4"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4AF806" w14:textId="77777777" w:rsidR="00ED0E85" w:rsidRDefault="00ED0E85" w:rsidP="00ED0E85">
            <w:pPr>
              <w:pStyle w:val="TableDataEntries"/>
              <w:rPr>
                <w:lang w:val="en-GB"/>
              </w:rPr>
            </w:pPr>
            <w:r>
              <w:rPr>
                <w:lang w:val="en-GB"/>
              </w:rPr>
              <w:t xml:space="preserve"> 0.0</w:t>
            </w:r>
          </w:p>
        </w:tc>
      </w:tr>
      <w:tr w:rsidR="00ED0E85" w14:paraId="6F87CECC"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185DB9" w14:textId="77777777" w:rsidR="00ED0E85" w:rsidRDefault="00ED0E85" w:rsidP="00ED0E85">
            <w:pPr>
              <w:pStyle w:val="TableDataEntries"/>
              <w:jc w:val="left"/>
              <w:rPr>
                <w:lang w:val="en-GB"/>
              </w:rPr>
            </w:pPr>
            <w:r>
              <w:rPr>
                <w:lang w:val="en-GB"/>
              </w:rPr>
              <w:t>6</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D0676F"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1CF65F"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248DAD"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5C06A7"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B782896"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BB9B5E5"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83DCE5"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BE1AB3"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13393F" w14:textId="77777777" w:rsidR="00ED0E85" w:rsidRDefault="00ED0E85" w:rsidP="00ED0E85">
            <w:pPr>
              <w:pStyle w:val="TableDataEntries"/>
              <w:rPr>
                <w:lang w:val="en-GB"/>
              </w:rPr>
            </w:pPr>
            <w:r>
              <w:rPr>
                <w:lang w:val="en-GB"/>
              </w:rPr>
              <w:t xml:space="preserve"> 0.0</w:t>
            </w:r>
          </w:p>
        </w:tc>
      </w:tr>
      <w:tr w:rsidR="00ED0E85" w14:paraId="526C816C"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81548B1" w14:textId="77777777" w:rsidR="00ED0E85" w:rsidRDefault="00ED0E85" w:rsidP="00ED0E85">
            <w:pPr>
              <w:pStyle w:val="TableHeading1"/>
              <w:rPr>
                <w:lang w:val="en-GB"/>
              </w:rPr>
            </w:pPr>
            <w:r>
              <w:rPr>
                <w:lang w:val="en-GB"/>
              </w:rPr>
              <w:t>ACT</w:t>
            </w: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3928D62"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846D5B2"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080F97D"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EEFF27F"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3636D3EB"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06CB9C8"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6201E93"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941BD0D"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9FE78C9" w14:textId="77777777" w:rsidR="00ED0E85" w:rsidRDefault="00ED0E85" w:rsidP="00ED0E85">
            <w:pPr>
              <w:pStyle w:val="TableHeading1"/>
              <w:rPr>
                <w:lang w:val="en-GB"/>
              </w:rPr>
            </w:pPr>
          </w:p>
        </w:tc>
      </w:tr>
      <w:tr w:rsidR="00ED0E85" w14:paraId="5F788F5C"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7ADF43D" w14:textId="77777777" w:rsidR="00ED0E85" w:rsidRDefault="00ED0E85" w:rsidP="00ED0E85">
            <w:pPr>
              <w:pStyle w:val="TableDataEntries"/>
              <w:jc w:val="left"/>
              <w:rPr>
                <w:lang w:val="en-GB"/>
              </w:rPr>
            </w:pPr>
            <w:r>
              <w:rPr>
                <w:lang w:val="en-GB"/>
              </w:rPr>
              <w:t>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7F8021" w14:textId="77777777" w:rsidR="00ED0E85" w:rsidRDefault="00ED0E85" w:rsidP="00ED0E85">
            <w:pPr>
              <w:pStyle w:val="TableDataEntries"/>
              <w:rPr>
                <w:lang w:val="en-GB"/>
              </w:rPr>
            </w:pPr>
            <w:r>
              <w:rPr>
                <w:lang w:val="en-GB"/>
              </w:rPr>
              <w:t>1 171.7</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636620" w14:textId="77777777" w:rsidR="00ED0E85" w:rsidRDefault="00ED0E85" w:rsidP="00ED0E85">
            <w:pPr>
              <w:pStyle w:val="TableDataEntries"/>
              <w:rPr>
                <w:lang w:val="en-GB"/>
              </w:rPr>
            </w:pPr>
            <w:r>
              <w:rPr>
                <w:lang w:val="en-GB"/>
              </w:rPr>
              <w:t>1 644.3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51C84B"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7DC9F2"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B94DE9" w14:textId="77777777" w:rsidR="00ED0E85" w:rsidRDefault="00ED0E85" w:rsidP="00ED0E85">
            <w:pPr>
              <w:pStyle w:val="TableDataEntries"/>
              <w:rPr>
                <w:lang w:val="en-GB"/>
              </w:rPr>
            </w:pPr>
            <w:r>
              <w:rPr>
                <w:lang w:val="en-GB"/>
              </w:rPr>
              <w:t>1 207.5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0EECD5E" w14:textId="77777777" w:rsidR="00ED0E85" w:rsidRDefault="00ED0E85" w:rsidP="00ED0E85">
            <w:pPr>
              <w:pStyle w:val="TableDataEntries"/>
              <w:rPr>
                <w:lang w:val="en-GB"/>
              </w:rPr>
            </w:pPr>
            <w:r>
              <w:rPr>
                <w:lang w:val="en-GB"/>
              </w:rPr>
              <w:t>1 829.0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497460" w14:textId="77777777" w:rsidR="00ED0E85" w:rsidRDefault="00ED0E85" w:rsidP="00ED0E85">
            <w:pPr>
              <w:pStyle w:val="TableDataEntries"/>
              <w:rPr>
                <w:lang w:val="en-GB"/>
              </w:rPr>
            </w:pPr>
            <w:r>
              <w:rPr>
                <w:lang w:val="en-GB"/>
              </w:rPr>
              <w:t>1 050.0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026FEC" w14:textId="77777777" w:rsidR="00ED0E85" w:rsidRDefault="00ED0E85" w:rsidP="00ED0E85">
            <w:pPr>
              <w:pStyle w:val="TableDataEntries"/>
              <w:rPr>
                <w:lang w:val="en-GB"/>
              </w:rPr>
            </w:pPr>
            <w:r>
              <w:rPr>
                <w:lang w:val="en-GB"/>
              </w:rPr>
              <w:t xml:space="preserve"> 840.0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8CA3E6" w14:textId="77777777" w:rsidR="00ED0E85" w:rsidRDefault="00ED0E85" w:rsidP="00ED0E85">
            <w:pPr>
              <w:pStyle w:val="TableDataEntries"/>
              <w:rPr>
                <w:lang w:val="en-GB"/>
              </w:rPr>
            </w:pPr>
            <w:r>
              <w:rPr>
                <w:lang w:val="en-GB"/>
              </w:rPr>
              <w:t xml:space="preserve"> 0.0</w:t>
            </w:r>
          </w:p>
        </w:tc>
      </w:tr>
      <w:tr w:rsidR="00ED0E85" w14:paraId="16C58266"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20B056" w14:textId="77777777" w:rsidR="00ED0E85" w:rsidRDefault="00ED0E85" w:rsidP="00ED0E85">
            <w:pPr>
              <w:pStyle w:val="TableDataEntries"/>
              <w:jc w:val="left"/>
              <w:rPr>
                <w:lang w:val="en-GB"/>
              </w:rPr>
            </w:pPr>
            <w:r>
              <w:rPr>
                <w:lang w:val="en-GB"/>
              </w:rPr>
              <w:t>1</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419AD02" w14:textId="77777777" w:rsidR="00ED0E85" w:rsidRDefault="00ED0E85" w:rsidP="00ED0E85">
            <w:pPr>
              <w:pStyle w:val="TableDataEntries"/>
              <w:rPr>
                <w:lang w:val="en-GB"/>
              </w:rPr>
            </w:pPr>
            <w:r>
              <w:rPr>
                <w:lang w:val="en-GB"/>
              </w:rPr>
              <w:t xml:space="preserve"> 815.0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0EF06E"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02A8979"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E8B4CE"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6D3878"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1C5AB2" w14:textId="77777777" w:rsidR="00ED0E85" w:rsidRDefault="00ED0E85" w:rsidP="00ED0E85">
            <w:pPr>
              <w:pStyle w:val="TableDataEntries"/>
              <w:rPr>
                <w:lang w:val="en-GB"/>
              </w:rPr>
            </w:pPr>
            <w:r>
              <w:rPr>
                <w:lang w:val="en-GB"/>
              </w:rPr>
              <w:t xml:space="preserve"> 663.0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CFFEF6"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74E1DB"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097B21" w14:textId="77777777" w:rsidR="00ED0E85" w:rsidRDefault="00ED0E85" w:rsidP="00ED0E85">
            <w:pPr>
              <w:pStyle w:val="TableDataEntries"/>
              <w:rPr>
                <w:lang w:val="en-GB"/>
              </w:rPr>
            </w:pPr>
            <w:r>
              <w:rPr>
                <w:lang w:val="en-GB"/>
              </w:rPr>
              <w:t xml:space="preserve"> 0.0</w:t>
            </w:r>
          </w:p>
        </w:tc>
      </w:tr>
      <w:tr w:rsidR="00ED0E85" w14:paraId="65AEA7F1"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2283BA0" w14:textId="77777777" w:rsidR="00ED0E85" w:rsidRDefault="00ED0E85" w:rsidP="00ED0E85">
            <w:pPr>
              <w:pStyle w:val="TableDataEntries"/>
              <w:jc w:val="left"/>
              <w:rPr>
                <w:lang w:val="en-GB"/>
              </w:rPr>
            </w:pPr>
            <w:r>
              <w:rPr>
                <w:lang w:val="en-GB"/>
              </w:rPr>
              <w:t>1.5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844849" w14:textId="77777777" w:rsidR="00ED0E85" w:rsidRDefault="00ED0E85" w:rsidP="00ED0E85">
            <w:pPr>
              <w:pStyle w:val="TableDataEntries"/>
              <w:rPr>
                <w:lang w:val="en-GB"/>
              </w:rPr>
            </w:pPr>
            <w:r>
              <w:rPr>
                <w:lang w:val="en-GB"/>
              </w:rPr>
              <w:t xml:space="preserve"> 782.5</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D5E639"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EDDA0B" w14:textId="77777777" w:rsidR="00ED0E85" w:rsidRDefault="00ED0E85" w:rsidP="00ED0E85">
            <w:pPr>
              <w:pStyle w:val="TableDataEntries"/>
              <w:rPr>
                <w:lang w:val="en-GB"/>
              </w:rPr>
            </w:pPr>
            <w:r>
              <w:rPr>
                <w:lang w:val="en-GB"/>
              </w:rPr>
              <w:t>1 028.0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D2C0D2"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83C16A0"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3CC5E7" w14:textId="77777777" w:rsidR="00ED0E85" w:rsidRDefault="00ED0E85" w:rsidP="00ED0E85">
            <w:pPr>
              <w:pStyle w:val="TableDataEntries"/>
              <w:rPr>
                <w:lang w:val="en-GB"/>
              </w:rPr>
            </w:pPr>
            <w:r>
              <w:rPr>
                <w:lang w:val="en-GB"/>
              </w:rPr>
              <w:t xml:space="preserve"> 605.0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A80F739"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992A69" w14:textId="77777777" w:rsidR="00ED0E85" w:rsidRDefault="00ED0E85" w:rsidP="00ED0E85">
            <w:pPr>
              <w:pStyle w:val="TableDataEntries"/>
              <w:rPr>
                <w:lang w:val="en-GB"/>
              </w:rPr>
            </w:pPr>
            <w:r>
              <w:rPr>
                <w:lang w:val="en-GB"/>
              </w:rPr>
              <w:t xml:space="preserve"> 577.0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FCDCC8" w14:textId="77777777" w:rsidR="00ED0E85" w:rsidRDefault="00ED0E85" w:rsidP="00ED0E85">
            <w:pPr>
              <w:pStyle w:val="TableDataEntries"/>
              <w:rPr>
                <w:lang w:val="en-GB"/>
              </w:rPr>
            </w:pPr>
            <w:r>
              <w:rPr>
                <w:lang w:val="en-GB"/>
              </w:rPr>
              <w:t xml:space="preserve"> 0.0</w:t>
            </w:r>
          </w:p>
        </w:tc>
      </w:tr>
      <w:tr w:rsidR="00ED0E85" w14:paraId="1F2D2B42"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6DA6BC" w14:textId="77777777" w:rsidR="00ED0E85" w:rsidRDefault="00ED0E85" w:rsidP="00ED0E85">
            <w:pPr>
              <w:pStyle w:val="TableDataEntries"/>
              <w:jc w:val="left"/>
              <w:rPr>
                <w:lang w:val="en-GB"/>
              </w:rPr>
            </w:pPr>
            <w:r>
              <w:rPr>
                <w:lang w:val="en-GB"/>
              </w:rPr>
              <w:t>2</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A26080" w14:textId="77777777" w:rsidR="00ED0E85" w:rsidRDefault="00ED0E85" w:rsidP="00ED0E85">
            <w:pPr>
              <w:pStyle w:val="TableDataEntries"/>
              <w:rPr>
                <w:lang w:val="en-GB"/>
              </w:rPr>
            </w:pPr>
            <w:r>
              <w:rPr>
                <w:lang w:val="en-GB"/>
              </w:rPr>
              <w:t xml:space="preserve"> 766.3</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5CDF0C" w14:textId="77777777" w:rsidR="00ED0E85" w:rsidRDefault="00ED0E85" w:rsidP="00ED0E85">
            <w:pPr>
              <w:pStyle w:val="TableDataEntries"/>
              <w:rPr>
                <w:lang w:val="en-GB"/>
              </w:rPr>
            </w:pPr>
            <w:r>
              <w:rPr>
                <w:lang w:val="en-GB"/>
              </w:rPr>
              <w:t xml:space="preserve"> 919.0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EE5B351"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1CE9E3" w14:textId="77777777" w:rsidR="00ED0E85" w:rsidRDefault="00ED0E85" w:rsidP="00ED0E85">
            <w:pPr>
              <w:pStyle w:val="TableDataEntries"/>
              <w:rPr>
                <w:lang w:val="en-GB"/>
              </w:rPr>
            </w:pPr>
            <w:r>
              <w:rPr>
                <w:lang w:val="en-GB"/>
              </w:rPr>
              <w:t xml:space="preserve"> 745.0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45A3E7"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FAD80E6"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E36E94C" w14:textId="77777777" w:rsidR="00ED0E85" w:rsidRDefault="00ED0E85" w:rsidP="00ED0E85">
            <w:pPr>
              <w:pStyle w:val="TableDataEntries"/>
              <w:rPr>
                <w:lang w:val="en-GB"/>
              </w:rPr>
            </w:pPr>
            <w:r>
              <w:rPr>
                <w:lang w:val="en-GB"/>
              </w:rPr>
              <w:t>1 174.0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A0D81C" w14:textId="77777777" w:rsidR="00ED0E85" w:rsidRDefault="00ED0E85" w:rsidP="00ED0E85">
            <w:pPr>
              <w:pStyle w:val="TableDataEntries"/>
              <w:rPr>
                <w:lang w:val="en-GB"/>
              </w:rPr>
            </w:pPr>
            <w:r>
              <w:rPr>
                <w:lang w:val="en-GB"/>
              </w:rPr>
              <w:t>1 180.0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8F794C" w14:textId="77777777" w:rsidR="00ED0E85" w:rsidRDefault="00ED0E85" w:rsidP="00ED0E85">
            <w:pPr>
              <w:pStyle w:val="TableDataEntries"/>
              <w:rPr>
                <w:lang w:val="en-GB"/>
              </w:rPr>
            </w:pPr>
            <w:r>
              <w:rPr>
                <w:lang w:val="en-GB"/>
              </w:rPr>
              <w:t xml:space="preserve"> 772.0</w:t>
            </w:r>
          </w:p>
        </w:tc>
      </w:tr>
      <w:tr w:rsidR="00ED0E85" w14:paraId="168EB8D2"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E143DE" w14:textId="77777777" w:rsidR="00ED0E85" w:rsidRDefault="00ED0E85" w:rsidP="00ED0E85">
            <w:pPr>
              <w:pStyle w:val="TableDataEntries"/>
              <w:jc w:val="left"/>
              <w:rPr>
                <w:lang w:val="en-GB"/>
              </w:rPr>
            </w:pPr>
            <w:r>
              <w:rPr>
                <w:lang w:val="en-GB"/>
              </w:rPr>
              <w:t>2.5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F55AAA" w14:textId="77777777" w:rsidR="00ED0E85" w:rsidRDefault="00ED0E85" w:rsidP="00ED0E85">
            <w:pPr>
              <w:pStyle w:val="TableDataEntries"/>
              <w:rPr>
                <w:lang w:val="en-GB"/>
              </w:rPr>
            </w:pPr>
            <w:r>
              <w:rPr>
                <w:lang w:val="en-GB"/>
              </w:rPr>
              <w:t xml:space="preserve"> 769.5</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A3FC61" w14:textId="77777777" w:rsidR="00ED0E85" w:rsidRDefault="00ED0E85" w:rsidP="00ED0E85">
            <w:pPr>
              <w:pStyle w:val="TableDataEntries"/>
              <w:rPr>
                <w:lang w:val="en-GB"/>
              </w:rPr>
            </w:pPr>
            <w:r>
              <w:rPr>
                <w:lang w:val="en-GB"/>
              </w:rPr>
              <w:t xml:space="preserve"> 482.0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16002A"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110687" w14:textId="77777777" w:rsidR="00ED0E85" w:rsidRDefault="00ED0E85" w:rsidP="00ED0E85">
            <w:pPr>
              <w:pStyle w:val="TableDataEntries"/>
              <w:rPr>
                <w:lang w:val="en-GB"/>
              </w:rPr>
            </w:pPr>
            <w:r>
              <w:rPr>
                <w:lang w:val="en-GB"/>
              </w:rPr>
              <w:t>1 089.0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343685"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81C5F1D" w14:textId="77777777" w:rsidR="00ED0E85" w:rsidRDefault="00ED0E85" w:rsidP="00ED0E85">
            <w:pPr>
              <w:pStyle w:val="TableDataEntries"/>
              <w:rPr>
                <w:lang w:val="en-GB"/>
              </w:rPr>
            </w:pPr>
            <w:r>
              <w:rPr>
                <w:lang w:val="en-GB"/>
              </w:rPr>
              <w:t xml:space="preserve"> 471.0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79AA5D"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89688E" w14:textId="77777777" w:rsidR="00ED0E85" w:rsidRDefault="00ED0E85" w:rsidP="00ED0E85">
            <w:pPr>
              <w:pStyle w:val="TableDataEntries"/>
              <w:rPr>
                <w:lang w:val="en-GB"/>
              </w:rPr>
            </w:pPr>
            <w:r>
              <w:rPr>
                <w:lang w:val="en-GB"/>
              </w:rPr>
              <w:t xml:space="preserve"> 699.0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B7D0752" w14:textId="77777777" w:rsidR="00ED0E85" w:rsidRDefault="00ED0E85" w:rsidP="00ED0E85">
            <w:pPr>
              <w:pStyle w:val="TableDataEntries"/>
              <w:rPr>
                <w:lang w:val="en-GB"/>
              </w:rPr>
            </w:pPr>
            <w:r>
              <w:rPr>
                <w:lang w:val="en-GB"/>
              </w:rPr>
              <w:t xml:space="preserve"> 755.0</w:t>
            </w:r>
          </w:p>
        </w:tc>
      </w:tr>
      <w:tr w:rsidR="00ED0E85" w14:paraId="7B6E9B2C"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551692" w14:textId="77777777" w:rsidR="00ED0E85" w:rsidRDefault="00ED0E85" w:rsidP="00ED0E85">
            <w:pPr>
              <w:pStyle w:val="TableDataEntries"/>
              <w:jc w:val="left"/>
              <w:rPr>
                <w:lang w:val="en-GB"/>
              </w:rPr>
            </w:pPr>
            <w:r>
              <w:rPr>
                <w:lang w:val="en-GB"/>
              </w:rPr>
              <w:t>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4FC769" w14:textId="77777777" w:rsidR="00ED0E85" w:rsidRDefault="00ED0E85" w:rsidP="00ED0E85">
            <w:pPr>
              <w:pStyle w:val="TableDataEntries"/>
              <w:rPr>
                <w:lang w:val="en-GB"/>
              </w:rPr>
            </w:pPr>
            <w:r>
              <w:rPr>
                <w:lang w:val="en-GB"/>
              </w:rPr>
              <w:t xml:space="preserve"> 631.0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AA20864" w14:textId="77777777" w:rsidR="00ED0E85" w:rsidRDefault="00ED0E85" w:rsidP="00ED0E85">
            <w:pPr>
              <w:pStyle w:val="TableDataEntries"/>
              <w:rPr>
                <w:lang w:val="en-GB"/>
              </w:rPr>
            </w:pPr>
            <w:r>
              <w:rPr>
                <w:lang w:val="en-GB"/>
              </w:rPr>
              <w:t xml:space="preserve"> 700.5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28F132"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B9D138"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9C4B2E" w14:textId="77777777" w:rsidR="00ED0E85" w:rsidRDefault="00ED0E85" w:rsidP="00ED0E85">
            <w:pPr>
              <w:pStyle w:val="TableDataEntries"/>
              <w:rPr>
                <w:lang w:val="en-GB"/>
              </w:rPr>
            </w:pPr>
            <w:r>
              <w:rPr>
                <w:lang w:val="en-GB"/>
              </w:rPr>
              <w:t xml:space="preserve"> 859.0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FCE4AD"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DD86D4" w14:textId="77777777" w:rsidR="00ED0E85" w:rsidRDefault="00ED0E85" w:rsidP="00ED0E85">
            <w:pPr>
              <w:pStyle w:val="TableDataEntries"/>
              <w:rPr>
                <w:lang w:val="en-GB"/>
              </w:rPr>
            </w:pPr>
            <w:r>
              <w:rPr>
                <w:lang w:val="en-GB"/>
              </w:rPr>
              <w:t xml:space="preserve"> 620.7</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8A65E2" w14:textId="77777777" w:rsidR="00ED0E85" w:rsidRDefault="00ED0E85" w:rsidP="00ED0E85">
            <w:pPr>
              <w:pStyle w:val="TableDataEntries"/>
              <w:rPr>
                <w:lang w:val="en-GB"/>
              </w:rPr>
            </w:pPr>
            <w:r>
              <w:rPr>
                <w:lang w:val="en-GB"/>
              </w:rPr>
              <w:t xml:space="preserve"> 735.0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73541B" w14:textId="77777777" w:rsidR="00ED0E85" w:rsidRDefault="00ED0E85" w:rsidP="00ED0E85">
            <w:pPr>
              <w:pStyle w:val="TableDataEntries"/>
              <w:rPr>
                <w:lang w:val="en-GB"/>
              </w:rPr>
            </w:pPr>
            <w:r>
              <w:rPr>
                <w:lang w:val="en-GB"/>
              </w:rPr>
              <w:t xml:space="preserve"> 0.0</w:t>
            </w:r>
          </w:p>
        </w:tc>
      </w:tr>
      <w:tr w:rsidR="00ED0E85" w14:paraId="2DAB6DAE"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43E17E" w14:textId="77777777" w:rsidR="00ED0E85" w:rsidRDefault="00ED0E85" w:rsidP="00ED0E85">
            <w:pPr>
              <w:pStyle w:val="TableDataEntries"/>
              <w:jc w:val="left"/>
              <w:rPr>
                <w:lang w:val="en-GB"/>
              </w:rPr>
            </w:pPr>
            <w:r>
              <w:rPr>
                <w:lang w:val="en-GB"/>
              </w:rPr>
              <w:t>3.5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2E7804" w14:textId="77777777" w:rsidR="00ED0E85" w:rsidRDefault="00ED0E85" w:rsidP="00ED0E85">
            <w:pPr>
              <w:pStyle w:val="TableDataEntries"/>
              <w:rPr>
                <w:lang w:val="en-GB"/>
              </w:rPr>
            </w:pPr>
            <w:r>
              <w:rPr>
                <w:lang w:val="en-GB"/>
              </w:rPr>
              <w:t xml:space="preserve"> 507.7</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BEF1BD" w14:textId="77777777" w:rsidR="00ED0E85" w:rsidRDefault="00ED0E85" w:rsidP="00ED0E85">
            <w:pPr>
              <w:pStyle w:val="TableDataEntries"/>
              <w:rPr>
                <w:lang w:val="en-GB"/>
              </w:rPr>
            </w:pPr>
            <w:r>
              <w:rPr>
                <w:lang w:val="en-GB"/>
              </w:rPr>
              <w:t xml:space="preserve"> 436.0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4CDA04"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54BD0C" w14:textId="77777777" w:rsidR="00ED0E85" w:rsidRDefault="00ED0E85" w:rsidP="00ED0E85">
            <w:pPr>
              <w:pStyle w:val="TableDataEntries"/>
              <w:rPr>
                <w:lang w:val="en-GB"/>
              </w:rPr>
            </w:pPr>
            <w:r>
              <w:rPr>
                <w:lang w:val="en-GB"/>
              </w:rPr>
              <w:t xml:space="preserve"> 753.0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E536EB" w14:textId="77777777" w:rsidR="00ED0E85" w:rsidRDefault="00ED0E85" w:rsidP="00ED0E85">
            <w:pPr>
              <w:pStyle w:val="TableDataEntries"/>
              <w:rPr>
                <w:lang w:val="en-GB"/>
              </w:rPr>
            </w:pPr>
            <w:r>
              <w:rPr>
                <w:lang w:val="en-GB"/>
              </w:rPr>
              <w:t xml:space="preserve"> 474.0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78D31B"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475E7D" w14:textId="77777777" w:rsidR="00ED0E85" w:rsidRDefault="00ED0E85" w:rsidP="00ED0E85">
            <w:pPr>
              <w:pStyle w:val="TableDataEntries"/>
              <w:rPr>
                <w:lang w:val="en-GB"/>
              </w:rPr>
            </w:pPr>
            <w:r>
              <w:rPr>
                <w:lang w:val="en-GB"/>
              </w:rPr>
              <w:t xml:space="preserve"> 627.5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00DDA5"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43BCB6" w14:textId="77777777" w:rsidR="00ED0E85" w:rsidRDefault="00ED0E85" w:rsidP="00ED0E85">
            <w:pPr>
              <w:pStyle w:val="TableDataEntries"/>
              <w:rPr>
                <w:lang w:val="en-GB"/>
              </w:rPr>
            </w:pPr>
            <w:r>
              <w:rPr>
                <w:lang w:val="en-GB"/>
              </w:rPr>
              <w:t xml:space="preserve"> 671.0</w:t>
            </w:r>
          </w:p>
        </w:tc>
      </w:tr>
      <w:tr w:rsidR="00ED0E85" w14:paraId="6BE9F7AF"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49B84B4" w14:textId="77777777" w:rsidR="00ED0E85" w:rsidRDefault="00ED0E85" w:rsidP="00ED0E85">
            <w:pPr>
              <w:pStyle w:val="TableDataEntries"/>
              <w:jc w:val="left"/>
              <w:rPr>
                <w:lang w:val="en-GB"/>
              </w:rPr>
            </w:pPr>
            <w:r>
              <w:rPr>
                <w:lang w:val="en-GB"/>
              </w:rPr>
              <w:t>4</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3EB4B8" w14:textId="77777777" w:rsidR="00ED0E85" w:rsidRDefault="00ED0E85" w:rsidP="00ED0E85">
            <w:pPr>
              <w:pStyle w:val="TableDataEntries"/>
              <w:rPr>
                <w:lang w:val="en-GB"/>
              </w:rPr>
            </w:pPr>
            <w:r>
              <w:rPr>
                <w:lang w:val="en-GB"/>
              </w:rPr>
              <w:t xml:space="preserve"> 426.0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A7F40C" w14:textId="77777777" w:rsidR="00ED0E85" w:rsidRDefault="00ED0E85" w:rsidP="00ED0E85">
            <w:pPr>
              <w:pStyle w:val="TableDataEntries"/>
              <w:rPr>
                <w:lang w:val="en-GB"/>
              </w:rPr>
            </w:pPr>
            <w:r>
              <w:rPr>
                <w:lang w:val="en-GB"/>
              </w:rPr>
              <w:t xml:space="preserve"> 499.4</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4A5E47" w14:textId="77777777" w:rsidR="00ED0E85" w:rsidRDefault="00ED0E85" w:rsidP="00ED0E85">
            <w:pPr>
              <w:pStyle w:val="TableDataEntries"/>
              <w:rPr>
                <w:lang w:val="en-GB"/>
              </w:rPr>
            </w:pPr>
            <w:r>
              <w:rPr>
                <w:lang w:val="en-GB"/>
              </w:rPr>
              <w:t xml:space="preserve"> 545.0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0FB58B" w14:textId="77777777" w:rsidR="00ED0E85" w:rsidRDefault="00ED0E85" w:rsidP="00ED0E85">
            <w:pPr>
              <w:pStyle w:val="TableDataEntries"/>
              <w:rPr>
                <w:lang w:val="en-GB"/>
              </w:rPr>
            </w:pPr>
            <w:r>
              <w:rPr>
                <w:lang w:val="en-GB"/>
              </w:rPr>
              <w:t xml:space="preserve"> 499.0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8B450C4"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88B3CAD" w14:textId="77777777" w:rsidR="00ED0E85" w:rsidRDefault="00ED0E85" w:rsidP="00ED0E85">
            <w:pPr>
              <w:pStyle w:val="TableDataEntries"/>
              <w:rPr>
                <w:lang w:val="en-GB"/>
              </w:rPr>
            </w:pPr>
            <w:r>
              <w:rPr>
                <w:lang w:val="en-GB"/>
              </w:rPr>
              <w:t xml:space="preserve"> 493.0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A3B203"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F0C5A0" w14:textId="77777777" w:rsidR="00ED0E85" w:rsidRDefault="00ED0E85" w:rsidP="00ED0E85">
            <w:pPr>
              <w:pStyle w:val="TableDataEntries"/>
              <w:rPr>
                <w:lang w:val="en-GB"/>
              </w:rPr>
            </w:pPr>
            <w:r>
              <w:rPr>
                <w:lang w:val="en-GB"/>
              </w:rPr>
              <w:t xml:space="preserve"> 499.0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DA6F3B" w14:textId="77777777" w:rsidR="00ED0E85" w:rsidRDefault="00ED0E85" w:rsidP="00ED0E85">
            <w:pPr>
              <w:pStyle w:val="TableDataEntries"/>
              <w:rPr>
                <w:lang w:val="en-GB"/>
              </w:rPr>
            </w:pPr>
            <w:r>
              <w:rPr>
                <w:lang w:val="en-GB"/>
              </w:rPr>
              <w:t xml:space="preserve"> 0.0</w:t>
            </w:r>
          </w:p>
        </w:tc>
      </w:tr>
      <w:tr w:rsidR="00ED0E85" w14:paraId="09567F1F"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CFD8D5" w14:textId="77777777" w:rsidR="00ED0E85" w:rsidRDefault="00ED0E85" w:rsidP="00ED0E85">
            <w:pPr>
              <w:pStyle w:val="TableDataEntries"/>
              <w:jc w:val="left"/>
              <w:rPr>
                <w:lang w:val="en-GB"/>
              </w:rPr>
            </w:pPr>
            <w:r>
              <w:rPr>
                <w:lang w:val="en-GB"/>
              </w:rPr>
              <w:t>4.5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5BE185B" w14:textId="77777777" w:rsidR="00ED0E85" w:rsidRDefault="00ED0E85" w:rsidP="00ED0E85">
            <w:pPr>
              <w:pStyle w:val="TableDataEntries"/>
              <w:rPr>
                <w:lang w:val="en-GB"/>
              </w:rPr>
            </w:pPr>
            <w:r>
              <w:rPr>
                <w:lang w:val="en-GB"/>
              </w:rPr>
              <w:t xml:space="preserve"> 352.3</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B91EA4" w14:textId="77777777" w:rsidR="00ED0E85" w:rsidRDefault="00ED0E85" w:rsidP="00ED0E85">
            <w:pPr>
              <w:pStyle w:val="TableDataEntries"/>
              <w:rPr>
                <w:lang w:val="en-GB"/>
              </w:rPr>
            </w:pPr>
            <w:r>
              <w:rPr>
                <w:lang w:val="en-GB"/>
              </w:rPr>
              <w:t xml:space="preserve"> 325.8</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D973A3" w14:textId="77777777" w:rsidR="00ED0E85" w:rsidRDefault="00ED0E85" w:rsidP="00ED0E85">
            <w:pPr>
              <w:pStyle w:val="TableDataEntries"/>
              <w:rPr>
                <w:lang w:val="en-GB"/>
              </w:rPr>
            </w:pPr>
            <w:r>
              <w:rPr>
                <w:lang w:val="en-GB"/>
              </w:rPr>
              <w:t xml:space="preserve"> 350.7</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3609EF" w14:textId="77777777" w:rsidR="00ED0E85" w:rsidRDefault="00ED0E85" w:rsidP="00ED0E85">
            <w:pPr>
              <w:pStyle w:val="TableDataEntries"/>
              <w:rPr>
                <w:lang w:val="en-GB"/>
              </w:rPr>
            </w:pPr>
            <w:r>
              <w:rPr>
                <w:lang w:val="en-GB"/>
              </w:rPr>
              <w:t xml:space="preserve"> 538.8</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27E7DF" w14:textId="77777777" w:rsidR="00ED0E85" w:rsidRDefault="00ED0E85" w:rsidP="00ED0E85">
            <w:pPr>
              <w:pStyle w:val="TableDataEntries"/>
              <w:rPr>
                <w:lang w:val="en-GB"/>
              </w:rPr>
            </w:pPr>
            <w:r>
              <w:rPr>
                <w:lang w:val="en-GB"/>
              </w:rPr>
              <w:t xml:space="preserve"> 330.0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2F72BE2" w14:textId="77777777" w:rsidR="00ED0E85" w:rsidRDefault="00ED0E85" w:rsidP="00ED0E85">
            <w:pPr>
              <w:pStyle w:val="TableDataEntries"/>
              <w:rPr>
                <w:lang w:val="en-GB"/>
              </w:rPr>
            </w:pPr>
            <w:r>
              <w:rPr>
                <w:lang w:val="en-GB"/>
              </w:rPr>
              <w:t xml:space="preserve"> 532.0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5B36B9" w14:textId="77777777" w:rsidR="00ED0E85" w:rsidRDefault="00ED0E85" w:rsidP="00ED0E85">
            <w:pPr>
              <w:pStyle w:val="TableDataEntries"/>
              <w:rPr>
                <w:lang w:val="en-GB"/>
              </w:rPr>
            </w:pPr>
            <w:r>
              <w:rPr>
                <w:lang w:val="en-GB"/>
              </w:rPr>
              <w:t xml:space="preserve"> 382.5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4F24D5" w14:textId="77777777" w:rsidR="00ED0E85" w:rsidRDefault="00ED0E85" w:rsidP="00ED0E85">
            <w:pPr>
              <w:pStyle w:val="TableDataEntries"/>
              <w:rPr>
                <w:lang w:val="en-GB"/>
              </w:rPr>
            </w:pPr>
            <w:r>
              <w:rPr>
                <w:lang w:val="en-GB"/>
              </w:rPr>
              <w:t xml:space="preserve"> 375.0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C44E01C" w14:textId="77777777" w:rsidR="00ED0E85" w:rsidRDefault="00ED0E85" w:rsidP="00ED0E85">
            <w:pPr>
              <w:pStyle w:val="TableDataEntries"/>
              <w:rPr>
                <w:lang w:val="en-GB"/>
              </w:rPr>
            </w:pPr>
            <w:r>
              <w:rPr>
                <w:lang w:val="en-GB"/>
              </w:rPr>
              <w:t xml:space="preserve"> 224.0</w:t>
            </w:r>
          </w:p>
        </w:tc>
      </w:tr>
      <w:tr w:rsidR="00ED0E85" w14:paraId="6F2D85A2"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577FC8" w14:textId="77777777" w:rsidR="00ED0E85" w:rsidRDefault="00ED0E85" w:rsidP="00ED0E85">
            <w:pPr>
              <w:pStyle w:val="TableDataEntries"/>
              <w:jc w:val="left"/>
              <w:rPr>
                <w:lang w:val="en-GB"/>
              </w:rPr>
            </w:pPr>
            <w:r>
              <w:rPr>
                <w:lang w:val="en-GB"/>
              </w:rPr>
              <w:t>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CE0C58" w14:textId="77777777" w:rsidR="00ED0E85" w:rsidRDefault="00ED0E85" w:rsidP="00ED0E85">
            <w:pPr>
              <w:pStyle w:val="TableDataEntries"/>
              <w:rPr>
                <w:lang w:val="en-GB"/>
              </w:rPr>
            </w:pPr>
            <w:r>
              <w:rPr>
                <w:lang w:val="en-GB"/>
              </w:rPr>
              <w:t xml:space="preserve"> 306.0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BC935C" w14:textId="77777777" w:rsidR="00ED0E85" w:rsidRDefault="00ED0E85" w:rsidP="00ED0E85">
            <w:pPr>
              <w:pStyle w:val="TableDataEntries"/>
              <w:rPr>
                <w:lang w:val="en-GB"/>
              </w:rPr>
            </w:pPr>
            <w:r>
              <w:rPr>
                <w:lang w:val="en-GB"/>
              </w:rPr>
              <w:t xml:space="preserve"> 255.0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96E3950"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499ACDF" w14:textId="77777777" w:rsidR="00ED0E85" w:rsidRDefault="00ED0E85" w:rsidP="00ED0E85">
            <w:pPr>
              <w:pStyle w:val="TableDataEntries"/>
              <w:rPr>
                <w:lang w:val="en-GB"/>
              </w:rPr>
            </w:pPr>
            <w:r>
              <w:rPr>
                <w:lang w:val="en-GB"/>
              </w:rPr>
              <w:t xml:space="preserve"> 251.7</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89B5AF" w14:textId="77777777" w:rsidR="00ED0E85" w:rsidRDefault="00ED0E85" w:rsidP="00ED0E85">
            <w:pPr>
              <w:pStyle w:val="TableDataEntries"/>
              <w:rPr>
                <w:lang w:val="en-GB"/>
              </w:rPr>
            </w:pPr>
            <w:r>
              <w:rPr>
                <w:lang w:val="en-GB"/>
              </w:rPr>
              <w:t xml:space="preserve"> 272.3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0BF022" w14:textId="77777777" w:rsidR="00ED0E85" w:rsidRDefault="00ED0E85" w:rsidP="00ED0E85">
            <w:pPr>
              <w:pStyle w:val="TableDataEntries"/>
              <w:rPr>
                <w:lang w:val="en-GB"/>
              </w:rPr>
            </w:pPr>
            <w:r>
              <w:rPr>
                <w:lang w:val="en-GB"/>
              </w:rPr>
              <w:t xml:space="preserve"> 329.5</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084854" w14:textId="77777777" w:rsidR="00ED0E85" w:rsidRDefault="00ED0E85" w:rsidP="00ED0E85">
            <w:pPr>
              <w:pStyle w:val="TableDataEntries"/>
              <w:rPr>
                <w:lang w:val="en-GB"/>
              </w:rPr>
            </w:pPr>
            <w:r>
              <w:rPr>
                <w:lang w:val="en-GB"/>
              </w:rPr>
              <w:t xml:space="preserve"> 243.5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CBA1A5" w14:textId="77777777" w:rsidR="00ED0E85" w:rsidRDefault="00ED0E85" w:rsidP="00ED0E85">
            <w:pPr>
              <w:pStyle w:val="TableDataEntries"/>
              <w:rPr>
                <w:lang w:val="en-GB"/>
              </w:rPr>
            </w:pPr>
            <w:r>
              <w:rPr>
                <w:lang w:val="en-GB"/>
              </w:rPr>
              <w:t xml:space="preserve"> 279.0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051CC5" w14:textId="77777777" w:rsidR="00ED0E85" w:rsidRDefault="00ED0E85" w:rsidP="00ED0E85">
            <w:pPr>
              <w:pStyle w:val="TableDataEntries"/>
              <w:rPr>
                <w:lang w:val="en-GB"/>
              </w:rPr>
            </w:pPr>
            <w:r>
              <w:rPr>
                <w:lang w:val="en-GB"/>
              </w:rPr>
              <w:t xml:space="preserve"> 0.0</w:t>
            </w:r>
          </w:p>
        </w:tc>
      </w:tr>
      <w:tr w:rsidR="00ED0E85" w14:paraId="2D3F082C"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06C9069" w14:textId="77777777" w:rsidR="00ED0E85" w:rsidRDefault="00ED0E85" w:rsidP="00ED0E85">
            <w:pPr>
              <w:pStyle w:val="TableDataEntries"/>
              <w:jc w:val="left"/>
              <w:rPr>
                <w:lang w:val="en-GB"/>
              </w:rPr>
            </w:pPr>
            <w:r>
              <w:rPr>
                <w:lang w:val="en-GB"/>
              </w:rPr>
              <w:t>5.5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ECF007"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C0F4E3" w14:textId="77777777" w:rsidR="00ED0E85" w:rsidRDefault="00ED0E85" w:rsidP="00ED0E85">
            <w:pPr>
              <w:pStyle w:val="TableDataEntries"/>
              <w:rPr>
                <w:lang w:val="en-GB"/>
              </w:rPr>
            </w:pPr>
            <w:r>
              <w:rPr>
                <w:lang w:val="en-GB"/>
              </w:rPr>
              <w:t xml:space="preserve"> 212.5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87F9916"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2094B2"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F530E0"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60F4C4"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D9AD28C"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8C52C6"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5050F8" w14:textId="77777777" w:rsidR="00ED0E85" w:rsidRDefault="00ED0E85" w:rsidP="00ED0E85">
            <w:pPr>
              <w:pStyle w:val="TableDataEntries"/>
              <w:rPr>
                <w:lang w:val="en-GB"/>
              </w:rPr>
            </w:pPr>
            <w:r>
              <w:rPr>
                <w:lang w:val="en-GB"/>
              </w:rPr>
              <w:t xml:space="preserve"> 0.0</w:t>
            </w:r>
          </w:p>
        </w:tc>
      </w:tr>
      <w:tr w:rsidR="00ED0E85" w14:paraId="69206315"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293DCC" w14:textId="77777777" w:rsidR="00ED0E85" w:rsidRDefault="00ED0E85" w:rsidP="00ED0E85">
            <w:pPr>
              <w:pStyle w:val="TableDataEntries"/>
              <w:jc w:val="left"/>
              <w:rPr>
                <w:lang w:val="en-GB"/>
              </w:rPr>
            </w:pPr>
            <w:r>
              <w:rPr>
                <w:lang w:val="en-GB"/>
              </w:rPr>
              <w:t>6</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734B5B1"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2B2770"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E94A8E3"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1FE4F4"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9F5256"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268416"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A6077A"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17991BC"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D8BEE6" w14:textId="77777777" w:rsidR="00ED0E85" w:rsidRDefault="00ED0E85" w:rsidP="00ED0E85">
            <w:pPr>
              <w:pStyle w:val="TableDataEntries"/>
              <w:rPr>
                <w:lang w:val="en-GB"/>
              </w:rPr>
            </w:pPr>
            <w:r>
              <w:rPr>
                <w:lang w:val="en-GB"/>
              </w:rPr>
              <w:t xml:space="preserve"> 0.0</w:t>
            </w:r>
          </w:p>
        </w:tc>
      </w:tr>
      <w:tr w:rsidR="00ED0E85" w14:paraId="529F8A99"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A85FB44" w14:textId="77777777" w:rsidR="00ED0E85" w:rsidRDefault="00ED0E85" w:rsidP="00ED0E85">
            <w:pPr>
              <w:pStyle w:val="TableHeading1"/>
              <w:rPr>
                <w:lang w:val="en-GB"/>
              </w:rPr>
            </w:pPr>
            <w:r>
              <w:rPr>
                <w:lang w:val="en-GB"/>
              </w:rPr>
              <w:t>NT</w:t>
            </w: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10522FE"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5D1C2218"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B54D8EC"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2112A649"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6381FC1C"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0CB1A3DA" w14:textId="77777777" w:rsidR="00ED0E85" w:rsidRDefault="00ED0E85" w:rsidP="00ED0E85">
            <w:pPr>
              <w:pStyle w:val="TableHeading1"/>
              <w:rPr>
                <w:lang w:val="en-GB"/>
              </w:rPr>
            </w:pPr>
          </w:p>
        </w:tc>
        <w:tc>
          <w:tcPr>
            <w:tcW w:w="788"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15E7A855"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733178F4" w14:textId="77777777" w:rsidR="00ED0E85" w:rsidRDefault="00ED0E85" w:rsidP="00ED0E85">
            <w:pPr>
              <w:pStyle w:val="TableHeading1"/>
              <w:rPr>
                <w:lang w:val="en-GB"/>
              </w:rPr>
            </w:pPr>
          </w:p>
        </w:tc>
        <w:tc>
          <w:tcPr>
            <w:tcW w:w="789" w:type="dxa"/>
            <w:tcBorders>
              <w:top w:val="single" w:sz="8" w:space="0" w:color="FFFFFF" w:themeColor="background1"/>
              <w:bottom w:val="single" w:sz="8" w:space="0" w:color="FFFFFF" w:themeColor="background1"/>
            </w:tcBorders>
            <w:shd w:val="clear" w:color="auto" w:fill="E4E0DA" w:themeFill="text2" w:themeFillTint="33"/>
            <w:tcMar>
              <w:left w:w="57" w:type="dxa"/>
              <w:right w:w="57" w:type="dxa"/>
            </w:tcMar>
          </w:tcPr>
          <w:p w14:paraId="4BFA0BB2" w14:textId="77777777" w:rsidR="00ED0E85" w:rsidRDefault="00ED0E85" w:rsidP="00ED0E85">
            <w:pPr>
              <w:pStyle w:val="TableHeading1"/>
              <w:rPr>
                <w:lang w:val="en-GB"/>
              </w:rPr>
            </w:pPr>
          </w:p>
        </w:tc>
      </w:tr>
      <w:tr w:rsidR="00ED0E85" w14:paraId="33ABFB50"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94EEBE" w14:textId="77777777" w:rsidR="00ED0E85" w:rsidRDefault="00ED0E85" w:rsidP="00ED0E85">
            <w:pPr>
              <w:pStyle w:val="TableDataEntries"/>
              <w:jc w:val="left"/>
              <w:rPr>
                <w:lang w:val="en-GB"/>
              </w:rPr>
            </w:pPr>
            <w:r>
              <w:rPr>
                <w:lang w:val="en-GB"/>
              </w:rPr>
              <w:t>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97BCB9" w14:textId="77777777" w:rsidR="00ED0E85" w:rsidRDefault="00ED0E85" w:rsidP="00ED0E85">
            <w:pPr>
              <w:pStyle w:val="TableDataEntries"/>
              <w:rPr>
                <w:lang w:val="en-GB"/>
              </w:rPr>
            </w:pPr>
            <w:r>
              <w:rPr>
                <w:lang w:val="en-GB"/>
              </w:rPr>
              <w:t>1 123.0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92FECE9" w14:textId="77777777" w:rsidR="00ED0E85" w:rsidRDefault="00ED0E85" w:rsidP="00ED0E85">
            <w:pPr>
              <w:pStyle w:val="TableDataEntries"/>
              <w:rPr>
                <w:lang w:val="en-GB"/>
              </w:rPr>
            </w:pPr>
            <w:r>
              <w:rPr>
                <w:lang w:val="en-GB"/>
              </w:rPr>
              <w:t>1 029.0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A0691C"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AED0F12"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67EC59"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E2DEC3"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889CCD"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F46CFE" w14:textId="77777777" w:rsidR="00ED0E85" w:rsidRDefault="00ED0E85" w:rsidP="00ED0E85">
            <w:pPr>
              <w:pStyle w:val="TableDataEntries"/>
              <w:rPr>
                <w:lang w:val="en-GB"/>
              </w:rPr>
            </w:pPr>
            <w:r>
              <w:rPr>
                <w:lang w:val="en-GB"/>
              </w:rPr>
              <w:t>1 352.0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062451" w14:textId="77777777" w:rsidR="00ED0E85" w:rsidRDefault="00ED0E85" w:rsidP="00ED0E85">
            <w:pPr>
              <w:pStyle w:val="TableDataEntries"/>
              <w:rPr>
                <w:lang w:val="en-GB"/>
              </w:rPr>
            </w:pPr>
            <w:r>
              <w:rPr>
                <w:lang w:val="en-GB"/>
              </w:rPr>
              <w:t xml:space="preserve"> 0.0</w:t>
            </w:r>
          </w:p>
        </w:tc>
      </w:tr>
      <w:tr w:rsidR="00ED0E85" w14:paraId="165338E3"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7D4F544" w14:textId="77777777" w:rsidR="00ED0E85" w:rsidRDefault="00ED0E85" w:rsidP="00ED0E85">
            <w:pPr>
              <w:pStyle w:val="TableDataEntries"/>
              <w:jc w:val="left"/>
              <w:rPr>
                <w:lang w:val="en-GB"/>
              </w:rPr>
            </w:pPr>
            <w:r>
              <w:rPr>
                <w:lang w:val="en-GB"/>
              </w:rPr>
              <w:t>1</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D21D4C"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BAE684"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2A442D"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3862D3E"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827485"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BCF9B7"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CC4D4CB"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6245E7E" w14:textId="77777777" w:rsidR="00ED0E85" w:rsidRDefault="00ED0E85" w:rsidP="00ED0E85">
            <w:pPr>
              <w:pStyle w:val="TableDataEntries"/>
              <w:rPr>
                <w:lang w:val="en-GB"/>
              </w:rPr>
            </w:pPr>
            <w:r>
              <w:rPr>
                <w:lang w:val="en-GB"/>
              </w:rPr>
              <w:t xml:space="preserve"> 784.5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C49CD3B" w14:textId="77777777" w:rsidR="00ED0E85" w:rsidRDefault="00ED0E85" w:rsidP="00ED0E85">
            <w:pPr>
              <w:pStyle w:val="TableDataEntries"/>
              <w:rPr>
                <w:lang w:val="en-GB"/>
              </w:rPr>
            </w:pPr>
            <w:r>
              <w:rPr>
                <w:lang w:val="en-GB"/>
              </w:rPr>
              <w:t xml:space="preserve"> 0.0</w:t>
            </w:r>
          </w:p>
        </w:tc>
      </w:tr>
      <w:tr w:rsidR="00ED0E85" w14:paraId="3BBCC28A"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BA17E3" w14:textId="77777777" w:rsidR="00ED0E85" w:rsidRDefault="00ED0E85" w:rsidP="00ED0E85">
            <w:pPr>
              <w:pStyle w:val="TableDataEntries"/>
              <w:jc w:val="left"/>
              <w:rPr>
                <w:lang w:val="en-GB"/>
              </w:rPr>
            </w:pPr>
            <w:r>
              <w:rPr>
                <w:lang w:val="en-GB"/>
              </w:rPr>
              <w:t>1.5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B331484" w14:textId="77777777" w:rsidR="00ED0E85" w:rsidRDefault="00ED0E85" w:rsidP="00ED0E85">
            <w:pPr>
              <w:pStyle w:val="TableDataEntries"/>
              <w:rPr>
                <w:lang w:val="en-GB"/>
              </w:rPr>
            </w:pPr>
            <w:r>
              <w:rPr>
                <w:lang w:val="en-GB"/>
              </w:rPr>
              <w:t xml:space="preserve"> 745.0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A6D681"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88008CD"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2DE7691"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B776733"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EBEF727"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1C7519"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1C5296E"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D349A2" w14:textId="77777777" w:rsidR="00ED0E85" w:rsidRDefault="00ED0E85" w:rsidP="00ED0E85">
            <w:pPr>
              <w:pStyle w:val="TableDataEntries"/>
              <w:rPr>
                <w:lang w:val="en-GB"/>
              </w:rPr>
            </w:pPr>
            <w:r>
              <w:rPr>
                <w:lang w:val="en-GB"/>
              </w:rPr>
              <w:t xml:space="preserve"> 0.0</w:t>
            </w:r>
          </w:p>
        </w:tc>
      </w:tr>
      <w:tr w:rsidR="00ED0E85" w14:paraId="0DA1B16A"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37FF72E" w14:textId="77777777" w:rsidR="00ED0E85" w:rsidRDefault="00ED0E85" w:rsidP="00ED0E85">
            <w:pPr>
              <w:pStyle w:val="TableDataEntries"/>
              <w:jc w:val="left"/>
              <w:rPr>
                <w:lang w:val="en-GB"/>
              </w:rPr>
            </w:pPr>
            <w:r>
              <w:rPr>
                <w:lang w:val="en-GB"/>
              </w:rPr>
              <w:t>2</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F3A91C0" w14:textId="77777777" w:rsidR="00ED0E85" w:rsidRDefault="00ED0E85" w:rsidP="00ED0E85">
            <w:pPr>
              <w:pStyle w:val="TableDataEntries"/>
              <w:rPr>
                <w:lang w:val="en-GB"/>
              </w:rPr>
            </w:pPr>
            <w:r>
              <w:rPr>
                <w:lang w:val="en-GB"/>
              </w:rPr>
              <w:t xml:space="preserve"> 681.0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F65E20"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85B056"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5CAD4B8" w14:textId="77777777" w:rsidR="00ED0E85" w:rsidRDefault="00ED0E85" w:rsidP="00ED0E85">
            <w:pPr>
              <w:pStyle w:val="TableDataEntries"/>
              <w:rPr>
                <w:lang w:val="en-GB"/>
              </w:rPr>
            </w:pPr>
            <w:r>
              <w:rPr>
                <w:lang w:val="en-GB"/>
              </w:rPr>
              <w:t xml:space="preserve"> 688.0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14F6BE2"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EAC387"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5BC06C"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F1D9C8"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3CB2BD" w14:textId="77777777" w:rsidR="00ED0E85" w:rsidRDefault="00ED0E85" w:rsidP="00ED0E85">
            <w:pPr>
              <w:pStyle w:val="TableDataEntries"/>
              <w:rPr>
                <w:lang w:val="en-GB"/>
              </w:rPr>
            </w:pPr>
            <w:r>
              <w:rPr>
                <w:lang w:val="en-GB"/>
              </w:rPr>
              <w:t xml:space="preserve"> 0.0</w:t>
            </w:r>
          </w:p>
        </w:tc>
      </w:tr>
      <w:tr w:rsidR="00ED0E85" w14:paraId="7542A801"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F1FDE31" w14:textId="77777777" w:rsidR="00ED0E85" w:rsidRDefault="00ED0E85" w:rsidP="00ED0E85">
            <w:pPr>
              <w:pStyle w:val="TableDataEntries"/>
              <w:jc w:val="left"/>
              <w:rPr>
                <w:lang w:val="en-GB"/>
              </w:rPr>
            </w:pPr>
            <w:r>
              <w:rPr>
                <w:lang w:val="en-GB"/>
              </w:rPr>
              <w:t>2.5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9BB77F" w14:textId="77777777" w:rsidR="00ED0E85" w:rsidRDefault="00ED0E85" w:rsidP="00ED0E85">
            <w:pPr>
              <w:pStyle w:val="TableDataEntries"/>
              <w:rPr>
                <w:lang w:val="en-GB"/>
              </w:rPr>
            </w:pPr>
            <w:r>
              <w:rPr>
                <w:lang w:val="en-GB"/>
              </w:rPr>
              <w:t xml:space="preserve"> 346.0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4DB57BA"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DC17D8C"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2FA2AD2"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2496E49"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618E8F9"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4AE5514"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F0291B8"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09D1531" w14:textId="77777777" w:rsidR="00ED0E85" w:rsidRDefault="00ED0E85" w:rsidP="00ED0E85">
            <w:pPr>
              <w:pStyle w:val="TableDataEntries"/>
              <w:rPr>
                <w:lang w:val="en-GB"/>
              </w:rPr>
            </w:pPr>
            <w:r>
              <w:rPr>
                <w:lang w:val="en-GB"/>
              </w:rPr>
              <w:t xml:space="preserve"> 0.0</w:t>
            </w:r>
          </w:p>
        </w:tc>
      </w:tr>
      <w:tr w:rsidR="00ED0E85" w14:paraId="5B6C2638"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93418D7" w14:textId="77777777" w:rsidR="00ED0E85" w:rsidRDefault="00ED0E85" w:rsidP="00ED0E85">
            <w:pPr>
              <w:pStyle w:val="TableDataEntries"/>
              <w:jc w:val="left"/>
              <w:rPr>
                <w:lang w:val="en-GB"/>
              </w:rPr>
            </w:pPr>
            <w:r>
              <w:rPr>
                <w:lang w:val="en-GB"/>
              </w:rPr>
              <w:t>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EA9A7EC"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D9C154D"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7E9FB84"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6630145"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F3499E4"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000BA43"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6F66EAF"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7012151"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167EFEE" w14:textId="77777777" w:rsidR="00ED0E85" w:rsidRDefault="00ED0E85" w:rsidP="00ED0E85">
            <w:pPr>
              <w:pStyle w:val="TableDataEntries"/>
              <w:rPr>
                <w:lang w:val="en-GB"/>
              </w:rPr>
            </w:pPr>
            <w:r>
              <w:rPr>
                <w:lang w:val="en-GB"/>
              </w:rPr>
              <w:t xml:space="preserve"> 0.0</w:t>
            </w:r>
          </w:p>
        </w:tc>
      </w:tr>
      <w:tr w:rsidR="00ED0E85" w14:paraId="4518D9DF"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F032B5A" w14:textId="77777777" w:rsidR="00ED0E85" w:rsidRDefault="00ED0E85" w:rsidP="00ED0E85">
            <w:pPr>
              <w:pStyle w:val="TableDataEntries"/>
              <w:jc w:val="left"/>
              <w:rPr>
                <w:lang w:val="en-GB"/>
              </w:rPr>
            </w:pPr>
            <w:r>
              <w:rPr>
                <w:lang w:val="en-GB"/>
              </w:rPr>
              <w:t>3.5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7A302F3" w14:textId="77777777" w:rsidR="00ED0E85" w:rsidRDefault="00ED0E85" w:rsidP="00ED0E85">
            <w:pPr>
              <w:pStyle w:val="TableDataEntries"/>
              <w:rPr>
                <w:lang w:val="en-GB"/>
              </w:rPr>
            </w:pPr>
            <w:r>
              <w:rPr>
                <w:lang w:val="en-GB"/>
              </w:rPr>
              <w:t xml:space="preserve"> 533.0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B4E34A"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8084DF"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6762392"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D3F7998" w14:textId="77777777" w:rsidR="00ED0E85" w:rsidRDefault="00ED0E85" w:rsidP="00ED0E85">
            <w:pPr>
              <w:pStyle w:val="TableDataEntries"/>
              <w:rPr>
                <w:lang w:val="en-GB"/>
              </w:rPr>
            </w:pPr>
            <w:r>
              <w:rPr>
                <w:lang w:val="en-GB"/>
              </w:rPr>
              <w:t xml:space="preserve"> 567.0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28A917"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DEBAE59"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58C61C0" w14:textId="77777777" w:rsidR="00ED0E85" w:rsidRDefault="00ED0E85" w:rsidP="00ED0E85">
            <w:pPr>
              <w:pStyle w:val="TableDataEntries"/>
              <w:rPr>
                <w:lang w:val="en-GB"/>
              </w:rPr>
            </w:pPr>
            <w:r>
              <w:rPr>
                <w:lang w:val="en-GB"/>
              </w:rPr>
              <w:t xml:space="preserve"> 550.0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58EDF4A" w14:textId="77777777" w:rsidR="00ED0E85" w:rsidRDefault="00ED0E85" w:rsidP="00ED0E85">
            <w:pPr>
              <w:pStyle w:val="TableDataEntries"/>
              <w:rPr>
                <w:lang w:val="en-GB"/>
              </w:rPr>
            </w:pPr>
            <w:r>
              <w:rPr>
                <w:lang w:val="en-GB"/>
              </w:rPr>
              <w:t xml:space="preserve"> 0.0</w:t>
            </w:r>
          </w:p>
        </w:tc>
      </w:tr>
      <w:tr w:rsidR="00ED0E85" w14:paraId="4CFA61A2"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56B1E7F" w14:textId="77777777" w:rsidR="00ED0E85" w:rsidRDefault="00ED0E85" w:rsidP="00ED0E85">
            <w:pPr>
              <w:pStyle w:val="TableDataEntries"/>
              <w:jc w:val="left"/>
              <w:rPr>
                <w:lang w:val="en-GB"/>
              </w:rPr>
            </w:pPr>
            <w:r>
              <w:rPr>
                <w:lang w:val="en-GB"/>
              </w:rPr>
              <w:t>4</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97DC9D9" w14:textId="77777777" w:rsidR="00ED0E85" w:rsidRDefault="00ED0E85" w:rsidP="00ED0E85">
            <w:pPr>
              <w:pStyle w:val="TableDataEntries"/>
              <w:rPr>
                <w:lang w:val="en-GB"/>
              </w:rPr>
            </w:pPr>
            <w:r>
              <w:rPr>
                <w:lang w:val="en-GB"/>
              </w:rPr>
              <w:t xml:space="preserve"> 493.0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49B57042"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A0796E" w14:textId="77777777" w:rsidR="00ED0E85" w:rsidRDefault="00ED0E85" w:rsidP="00ED0E85">
            <w:pPr>
              <w:pStyle w:val="TableDataEntries"/>
              <w:rPr>
                <w:lang w:val="en-GB"/>
              </w:rPr>
            </w:pPr>
            <w:r>
              <w:rPr>
                <w:lang w:val="en-GB"/>
              </w:rPr>
              <w:t xml:space="preserve"> 567.0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75F488E"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6F3006"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92381D"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7F7386"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D7F9DFD" w14:textId="77777777" w:rsidR="00ED0E85" w:rsidRDefault="00ED0E85" w:rsidP="00ED0E85">
            <w:pPr>
              <w:pStyle w:val="TableDataEntries"/>
              <w:rPr>
                <w:lang w:val="en-GB"/>
              </w:rPr>
            </w:pPr>
            <w:r>
              <w:rPr>
                <w:lang w:val="en-GB"/>
              </w:rPr>
              <w:t xml:space="preserve"> 503.0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DCE99A" w14:textId="77777777" w:rsidR="00ED0E85" w:rsidRDefault="00ED0E85" w:rsidP="00ED0E85">
            <w:pPr>
              <w:pStyle w:val="TableDataEntries"/>
              <w:rPr>
                <w:lang w:val="en-GB"/>
              </w:rPr>
            </w:pPr>
            <w:r>
              <w:rPr>
                <w:lang w:val="en-GB"/>
              </w:rPr>
              <w:t xml:space="preserve"> 0.0</w:t>
            </w:r>
          </w:p>
        </w:tc>
      </w:tr>
      <w:tr w:rsidR="00ED0E85" w14:paraId="4408DCA4"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C804F88" w14:textId="77777777" w:rsidR="00ED0E85" w:rsidRDefault="00ED0E85" w:rsidP="00ED0E85">
            <w:pPr>
              <w:pStyle w:val="TableDataEntries"/>
              <w:jc w:val="left"/>
              <w:rPr>
                <w:lang w:val="en-GB"/>
              </w:rPr>
            </w:pPr>
            <w:r>
              <w:rPr>
                <w:lang w:val="en-GB"/>
              </w:rPr>
              <w:t>4.5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77D96B" w14:textId="77777777" w:rsidR="00ED0E85" w:rsidRDefault="00ED0E85" w:rsidP="00ED0E85">
            <w:pPr>
              <w:pStyle w:val="TableDataEntries"/>
              <w:rPr>
                <w:lang w:val="en-GB"/>
              </w:rPr>
            </w:pPr>
            <w:r>
              <w:rPr>
                <w:lang w:val="en-GB"/>
              </w:rPr>
              <w:t xml:space="preserve"> 460.0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DC9C84" w14:textId="77777777" w:rsidR="00ED0E85" w:rsidRDefault="00ED0E85" w:rsidP="00ED0E85">
            <w:pPr>
              <w:pStyle w:val="TableDataEntries"/>
              <w:rPr>
                <w:lang w:val="en-GB"/>
              </w:rPr>
            </w:pPr>
            <w:r>
              <w:rPr>
                <w:lang w:val="en-GB"/>
              </w:rPr>
              <w:t xml:space="preserve"> 501.5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36D21BC" w14:textId="77777777" w:rsidR="00ED0E85" w:rsidRDefault="00ED0E85" w:rsidP="00ED0E85">
            <w:pPr>
              <w:pStyle w:val="TableDataEntries"/>
              <w:rPr>
                <w:lang w:val="en-GB"/>
              </w:rPr>
            </w:pPr>
            <w:r>
              <w:rPr>
                <w:lang w:val="en-GB"/>
              </w:rPr>
              <w:t xml:space="preserve"> 438.0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CB40276" w14:textId="77777777" w:rsidR="00ED0E85" w:rsidRDefault="00ED0E85" w:rsidP="00ED0E85">
            <w:pPr>
              <w:pStyle w:val="TableDataEntries"/>
              <w:rPr>
                <w:lang w:val="en-GB"/>
              </w:rPr>
            </w:pPr>
            <w:r>
              <w:rPr>
                <w:lang w:val="en-GB"/>
              </w:rPr>
              <w:t xml:space="preserve"> 455.0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0CF488D" w14:textId="77777777" w:rsidR="00ED0E85" w:rsidRDefault="00ED0E85" w:rsidP="00ED0E85">
            <w:pPr>
              <w:pStyle w:val="TableDataEntries"/>
              <w:rPr>
                <w:lang w:val="en-GB"/>
              </w:rPr>
            </w:pPr>
            <w:r>
              <w:rPr>
                <w:lang w:val="en-GB"/>
              </w:rPr>
              <w:t xml:space="preserve"> 480.5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B1F216A"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451B155"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D0CCAD8" w14:textId="77777777" w:rsidR="00ED0E85" w:rsidRDefault="00ED0E85" w:rsidP="00ED0E85">
            <w:pPr>
              <w:pStyle w:val="TableDataEntries"/>
              <w:rPr>
                <w:lang w:val="en-GB"/>
              </w:rPr>
            </w:pPr>
            <w:r>
              <w:rPr>
                <w:lang w:val="en-GB"/>
              </w:rPr>
              <w:t xml:space="preserve"> 471.3</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CE8674" w14:textId="77777777" w:rsidR="00ED0E85" w:rsidRDefault="00ED0E85" w:rsidP="00ED0E85">
            <w:pPr>
              <w:pStyle w:val="TableDataEntries"/>
              <w:rPr>
                <w:lang w:val="en-GB"/>
              </w:rPr>
            </w:pPr>
            <w:r>
              <w:rPr>
                <w:lang w:val="en-GB"/>
              </w:rPr>
              <w:t xml:space="preserve"> 0.0</w:t>
            </w:r>
          </w:p>
        </w:tc>
      </w:tr>
      <w:tr w:rsidR="00ED0E85" w14:paraId="537A4DF5"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056AE1" w14:textId="77777777" w:rsidR="00ED0E85" w:rsidRDefault="00ED0E85" w:rsidP="00ED0E85">
            <w:pPr>
              <w:pStyle w:val="TableDataEntries"/>
              <w:jc w:val="left"/>
              <w:rPr>
                <w:lang w:val="en-GB"/>
              </w:rPr>
            </w:pPr>
            <w:r>
              <w:rPr>
                <w:lang w:val="en-GB"/>
              </w:rPr>
              <w:t>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E1F16A" w14:textId="77777777" w:rsidR="00ED0E85" w:rsidRDefault="00ED0E85" w:rsidP="00ED0E85">
            <w:pPr>
              <w:pStyle w:val="TableDataEntries"/>
              <w:rPr>
                <w:lang w:val="en-GB"/>
              </w:rPr>
            </w:pPr>
            <w:r>
              <w:rPr>
                <w:lang w:val="en-GB"/>
              </w:rPr>
              <w:t xml:space="preserve"> 381.0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3F72168"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AC991EF" w14:textId="77777777" w:rsidR="00ED0E85" w:rsidRDefault="00ED0E85" w:rsidP="00ED0E85">
            <w:pPr>
              <w:pStyle w:val="TableDataEntries"/>
              <w:rPr>
                <w:lang w:val="en-GB"/>
              </w:rPr>
            </w:pPr>
            <w:r>
              <w:rPr>
                <w:lang w:val="en-GB"/>
              </w:rPr>
              <w:t xml:space="preserve"> 359.0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1F0611A"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DCA1637"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CC2E172"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B4FA55B"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3987972F" w14:textId="77777777" w:rsidR="00ED0E85" w:rsidRDefault="00ED0E85" w:rsidP="00ED0E85">
            <w:pPr>
              <w:pStyle w:val="TableDataEntries"/>
              <w:rPr>
                <w:lang w:val="en-GB"/>
              </w:rPr>
            </w:pPr>
            <w:r>
              <w:rPr>
                <w:lang w:val="en-GB"/>
              </w:rPr>
              <w:t xml:space="preserve"> 395.0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1BFBB1F" w14:textId="77777777" w:rsidR="00ED0E85" w:rsidRDefault="00ED0E85" w:rsidP="00ED0E85">
            <w:pPr>
              <w:pStyle w:val="TableDataEntries"/>
              <w:rPr>
                <w:lang w:val="en-GB"/>
              </w:rPr>
            </w:pPr>
            <w:r>
              <w:rPr>
                <w:lang w:val="en-GB"/>
              </w:rPr>
              <w:t xml:space="preserve"> 0.0</w:t>
            </w:r>
          </w:p>
        </w:tc>
      </w:tr>
      <w:tr w:rsidR="00ED0E85" w14:paraId="4D8AD634" w14:textId="77777777" w:rsidTr="00ED0E85">
        <w:trPr>
          <w:trHeight w:val="230"/>
        </w:trPr>
        <w:tc>
          <w:tcPr>
            <w:tcW w:w="83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60D849A" w14:textId="77777777" w:rsidR="00ED0E85" w:rsidRDefault="00ED0E85" w:rsidP="00ED0E85">
            <w:pPr>
              <w:pStyle w:val="TableDataEntries"/>
              <w:jc w:val="left"/>
              <w:rPr>
                <w:lang w:val="en-GB"/>
              </w:rPr>
            </w:pPr>
            <w:r>
              <w:rPr>
                <w:lang w:val="en-GB"/>
              </w:rPr>
              <w:t>5.5</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1FA4BE32"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E214B20" w14:textId="77777777" w:rsidR="00ED0E85" w:rsidRDefault="00ED0E85" w:rsidP="00ED0E85">
            <w:pPr>
              <w:pStyle w:val="TableDataEntries"/>
              <w:rPr>
                <w:lang w:val="en-GB"/>
              </w:rPr>
            </w:pPr>
            <w:r>
              <w:rPr>
                <w:lang w:val="en-GB"/>
              </w:rPr>
              <w:t xml:space="preserve"> 319.0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E4BBEA0"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ADCDC37"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75F8E685"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68B07386" w14:textId="77777777" w:rsidR="00ED0E85" w:rsidRDefault="00ED0E85" w:rsidP="00ED0E85">
            <w:pPr>
              <w:pStyle w:val="TableDataEntries"/>
              <w:rPr>
                <w:lang w:val="en-GB"/>
              </w:rPr>
            </w:pPr>
            <w:r>
              <w:rPr>
                <w:lang w:val="en-GB"/>
              </w:rPr>
              <w:t xml:space="preserve"> 110.0</w:t>
            </w:r>
          </w:p>
        </w:tc>
        <w:tc>
          <w:tcPr>
            <w:tcW w:w="788"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544CDB95"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2390BF4B"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8" w:space="0" w:color="FFFFFF" w:themeColor="background1"/>
            </w:tcBorders>
            <w:shd w:val="clear" w:color="auto" w:fill="E9E8E5" w:themeFill="background2"/>
            <w:tcMar>
              <w:left w:w="57" w:type="dxa"/>
              <w:right w:w="57" w:type="dxa"/>
            </w:tcMar>
          </w:tcPr>
          <w:p w14:paraId="030763C3" w14:textId="77777777" w:rsidR="00ED0E85" w:rsidRDefault="00ED0E85" w:rsidP="00ED0E85">
            <w:pPr>
              <w:pStyle w:val="TableDataEntries"/>
              <w:rPr>
                <w:lang w:val="en-GB"/>
              </w:rPr>
            </w:pPr>
            <w:r>
              <w:rPr>
                <w:lang w:val="en-GB"/>
              </w:rPr>
              <w:t xml:space="preserve"> 0.0</w:t>
            </w:r>
          </w:p>
        </w:tc>
      </w:tr>
      <w:tr w:rsidR="00ED0E85" w14:paraId="2EA9807D" w14:textId="77777777" w:rsidTr="00ED0E85">
        <w:trPr>
          <w:trHeight w:val="230"/>
        </w:trPr>
        <w:tc>
          <w:tcPr>
            <w:tcW w:w="838" w:type="dxa"/>
            <w:tcBorders>
              <w:top w:val="single" w:sz="8" w:space="0" w:color="FFFFFF" w:themeColor="background1"/>
              <w:bottom w:val="single" w:sz="6" w:space="0" w:color="6F6652"/>
            </w:tcBorders>
            <w:shd w:val="clear" w:color="auto" w:fill="E9E8E5" w:themeFill="background2"/>
            <w:tcMar>
              <w:left w:w="57" w:type="dxa"/>
              <w:right w:w="57" w:type="dxa"/>
            </w:tcMar>
          </w:tcPr>
          <w:p w14:paraId="624862BB" w14:textId="77777777" w:rsidR="00ED0E85" w:rsidRDefault="00ED0E85" w:rsidP="00ED0E85">
            <w:pPr>
              <w:pStyle w:val="TableDataEntries"/>
              <w:jc w:val="left"/>
              <w:rPr>
                <w:lang w:val="en-GB"/>
              </w:rPr>
            </w:pPr>
            <w:r>
              <w:rPr>
                <w:lang w:val="en-GB"/>
              </w:rPr>
              <w:t>6</w:t>
            </w:r>
          </w:p>
        </w:tc>
        <w:tc>
          <w:tcPr>
            <w:tcW w:w="789" w:type="dxa"/>
            <w:tcBorders>
              <w:top w:val="single" w:sz="8" w:space="0" w:color="FFFFFF" w:themeColor="background1"/>
              <w:bottom w:val="single" w:sz="6" w:space="0" w:color="6F6652"/>
            </w:tcBorders>
            <w:shd w:val="clear" w:color="auto" w:fill="E9E8E5" w:themeFill="background2"/>
            <w:tcMar>
              <w:left w:w="57" w:type="dxa"/>
              <w:right w:w="57" w:type="dxa"/>
            </w:tcMar>
          </w:tcPr>
          <w:p w14:paraId="0E00889D"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6" w:space="0" w:color="6F6652"/>
            </w:tcBorders>
            <w:shd w:val="clear" w:color="auto" w:fill="E9E8E5" w:themeFill="background2"/>
            <w:tcMar>
              <w:left w:w="57" w:type="dxa"/>
              <w:right w:w="57" w:type="dxa"/>
            </w:tcMar>
          </w:tcPr>
          <w:p w14:paraId="458598FF"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6" w:space="0" w:color="6F6652"/>
            </w:tcBorders>
            <w:shd w:val="clear" w:color="auto" w:fill="E9E8E5" w:themeFill="background2"/>
            <w:tcMar>
              <w:left w:w="57" w:type="dxa"/>
              <w:right w:w="57" w:type="dxa"/>
            </w:tcMar>
          </w:tcPr>
          <w:p w14:paraId="314B3DB0"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6" w:space="0" w:color="6F6652"/>
            </w:tcBorders>
            <w:shd w:val="clear" w:color="auto" w:fill="E9E8E5" w:themeFill="background2"/>
            <w:tcMar>
              <w:left w:w="57" w:type="dxa"/>
              <w:right w:w="57" w:type="dxa"/>
            </w:tcMar>
          </w:tcPr>
          <w:p w14:paraId="2E8A549E"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6" w:space="0" w:color="6F6652"/>
            </w:tcBorders>
            <w:shd w:val="clear" w:color="auto" w:fill="E9E8E5" w:themeFill="background2"/>
            <w:tcMar>
              <w:left w:w="57" w:type="dxa"/>
              <w:right w:w="57" w:type="dxa"/>
            </w:tcMar>
          </w:tcPr>
          <w:p w14:paraId="0BDCF669"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6" w:space="0" w:color="6F6652"/>
            </w:tcBorders>
            <w:shd w:val="clear" w:color="auto" w:fill="E9E8E5" w:themeFill="background2"/>
            <w:tcMar>
              <w:left w:w="57" w:type="dxa"/>
              <w:right w:w="57" w:type="dxa"/>
            </w:tcMar>
          </w:tcPr>
          <w:p w14:paraId="36E5D8C9" w14:textId="77777777" w:rsidR="00ED0E85" w:rsidRDefault="00ED0E85" w:rsidP="00ED0E85">
            <w:pPr>
              <w:pStyle w:val="TableDataEntries"/>
              <w:rPr>
                <w:lang w:val="en-GB"/>
              </w:rPr>
            </w:pPr>
            <w:r>
              <w:rPr>
                <w:lang w:val="en-GB"/>
              </w:rPr>
              <w:t xml:space="preserve"> 0.0</w:t>
            </w:r>
          </w:p>
        </w:tc>
        <w:tc>
          <w:tcPr>
            <w:tcW w:w="788" w:type="dxa"/>
            <w:tcBorders>
              <w:top w:val="single" w:sz="8" w:space="0" w:color="FFFFFF" w:themeColor="background1"/>
              <w:bottom w:val="single" w:sz="6" w:space="0" w:color="6F6652"/>
            </w:tcBorders>
            <w:shd w:val="clear" w:color="auto" w:fill="E9E8E5" w:themeFill="background2"/>
            <w:tcMar>
              <w:left w:w="57" w:type="dxa"/>
              <w:right w:w="57" w:type="dxa"/>
            </w:tcMar>
          </w:tcPr>
          <w:p w14:paraId="2ABA6B2A"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6" w:space="0" w:color="6F6652"/>
            </w:tcBorders>
            <w:shd w:val="clear" w:color="auto" w:fill="E9E8E5" w:themeFill="background2"/>
            <w:tcMar>
              <w:left w:w="57" w:type="dxa"/>
              <w:right w:w="57" w:type="dxa"/>
            </w:tcMar>
          </w:tcPr>
          <w:p w14:paraId="4CAE036C" w14:textId="77777777" w:rsidR="00ED0E85" w:rsidRDefault="00ED0E85" w:rsidP="00ED0E85">
            <w:pPr>
              <w:pStyle w:val="TableDataEntries"/>
              <w:rPr>
                <w:lang w:val="en-GB"/>
              </w:rPr>
            </w:pPr>
            <w:r>
              <w:rPr>
                <w:lang w:val="en-GB"/>
              </w:rPr>
              <w:t xml:space="preserve"> 0.0</w:t>
            </w:r>
          </w:p>
        </w:tc>
        <w:tc>
          <w:tcPr>
            <w:tcW w:w="789" w:type="dxa"/>
            <w:tcBorders>
              <w:top w:val="single" w:sz="8" w:space="0" w:color="FFFFFF" w:themeColor="background1"/>
              <w:bottom w:val="single" w:sz="6" w:space="0" w:color="6F6652"/>
            </w:tcBorders>
            <w:shd w:val="clear" w:color="auto" w:fill="E9E8E5" w:themeFill="background2"/>
            <w:tcMar>
              <w:left w:w="57" w:type="dxa"/>
              <w:right w:w="57" w:type="dxa"/>
            </w:tcMar>
          </w:tcPr>
          <w:p w14:paraId="4AC625EB" w14:textId="77777777" w:rsidR="00ED0E85" w:rsidRDefault="00ED0E85" w:rsidP="00ED0E85">
            <w:pPr>
              <w:pStyle w:val="TableDataEntries"/>
              <w:rPr>
                <w:lang w:val="en-GB"/>
              </w:rPr>
            </w:pPr>
            <w:r>
              <w:rPr>
                <w:lang w:val="en-GB"/>
              </w:rPr>
              <w:t xml:space="preserve"> 0.0</w:t>
            </w:r>
          </w:p>
        </w:tc>
      </w:tr>
    </w:tbl>
    <w:p w14:paraId="37B30644" w14:textId="77777777" w:rsidR="00ED0E85" w:rsidRDefault="00ED0E85" w:rsidP="00ED0E85">
      <w:pPr>
        <w:pStyle w:val="Note"/>
        <w:rPr>
          <w:lang w:bidi="fa-IR"/>
        </w:rPr>
      </w:pPr>
      <w:r w:rsidRPr="007D1B4F">
        <w:rPr>
          <w:i/>
        </w:rPr>
        <w:t>Note:</w:t>
      </w:r>
      <w:r w:rsidRPr="00E879B8">
        <w:t xml:space="preserve"> </w:t>
      </w:r>
      <w:r>
        <w:t>Zero energy intensity means that no buildings with the relevant star rating entered the NABERS system in that year.</w:t>
      </w:r>
    </w:p>
    <w:p w14:paraId="6A0423C9" w14:textId="77777777" w:rsidR="00ED0E85" w:rsidRPr="00ED0E85" w:rsidRDefault="00ED0E85" w:rsidP="00ED0E85">
      <w:pPr>
        <w:pStyle w:val="Note"/>
        <w:rPr>
          <w:i/>
        </w:rPr>
      </w:pPr>
      <w:r w:rsidRPr="00CD3C04">
        <w:rPr>
          <w:i/>
        </w:rPr>
        <w:t>Source:</w:t>
      </w:r>
      <w:r w:rsidRPr="00ED0E85">
        <w:rPr>
          <w:i/>
        </w:rPr>
        <w:t xml:space="preserve"> </w:t>
      </w:r>
      <w:r w:rsidRPr="00ED0E85">
        <w:t>NABERS database.</w:t>
      </w:r>
    </w:p>
    <w:p w14:paraId="3BDDC1FE" w14:textId="77777777" w:rsidR="00ED0E85" w:rsidRPr="00ED0E85" w:rsidRDefault="00ED0E85" w:rsidP="00ED0E85">
      <w:pPr>
        <w:pStyle w:val="BodyText"/>
        <w:rPr>
          <w:lang w:bidi="fa-IR"/>
        </w:rPr>
      </w:pPr>
    </w:p>
    <w:p w14:paraId="4567FD4C" w14:textId="77777777" w:rsidR="003822C2" w:rsidRDefault="003822C2" w:rsidP="006C5856">
      <w:pPr>
        <w:pStyle w:val="BodyText"/>
        <w:rPr>
          <w:lang w:bidi="fa-IR"/>
        </w:rPr>
      </w:pPr>
    </w:p>
    <w:p w14:paraId="416D2626" w14:textId="77777777" w:rsidR="00ED0E85" w:rsidRDefault="00ED0E85" w:rsidP="006C5856">
      <w:pPr>
        <w:pStyle w:val="BodyText"/>
        <w:rPr>
          <w:lang w:bidi="fa-IR"/>
        </w:rPr>
        <w:sectPr w:rsidR="00ED0E85" w:rsidSect="00ED0E85">
          <w:headerReference w:type="even" r:id="rId135"/>
          <w:headerReference w:type="default" r:id="rId136"/>
          <w:footerReference w:type="even" r:id="rId137"/>
          <w:footerReference w:type="default" r:id="rId138"/>
          <w:type w:val="oddPage"/>
          <w:pgSz w:w="11906" w:h="16838" w:code="9"/>
          <w:pgMar w:top="2268" w:right="1701" w:bottom="1418" w:left="2268" w:header="680" w:footer="680" w:gutter="0"/>
          <w:cols w:space="708"/>
          <w:docGrid w:linePitch="360"/>
        </w:sectPr>
      </w:pPr>
    </w:p>
    <w:tbl>
      <w:tblPr>
        <w:tblStyle w:val="LayoutGrid"/>
        <w:tblW w:w="0" w:type="auto"/>
        <w:tblLook w:val="04A0" w:firstRow="1" w:lastRow="0" w:firstColumn="1" w:lastColumn="0" w:noHBand="0" w:noVBand="1"/>
      </w:tblPr>
      <w:tblGrid>
        <w:gridCol w:w="7927"/>
      </w:tblGrid>
      <w:tr w:rsidR="00ED0E85" w14:paraId="7F9DFC9A" w14:textId="77777777" w:rsidTr="00ED0E85">
        <w:trPr>
          <w:trHeight w:val="8941"/>
        </w:trPr>
        <w:tc>
          <w:tcPr>
            <w:tcW w:w="7927" w:type="dxa"/>
          </w:tcPr>
          <w:p w14:paraId="135D5BF8" w14:textId="77777777" w:rsidR="00ED0E85" w:rsidRDefault="00ED0E85" w:rsidP="00ED0E85">
            <w:pPr>
              <w:rPr>
                <w:lang w:bidi="fa-IR"/>
              </w:rPr>
            </w:pPr>
          </w:p>
        </w:tc>
      </w:tr>
      <w:tr w:rsidR="00ED0E85" w14:paraId="702818BA" w14:textId="77777777" w:rsidTr="00ED0E85">
        <w:tc>
          <w:tcPr>
            <w:tcW w:w="7927" w:type="dxa"/>
          </w:tcPr>
          <w:p w14:paraId="6AF09308" w14:textId="77777777" w:rsidR="00ED0E85" w:rsidRPr="003E1F01" w:rsidRDefault="00ED0E85" w:rsidP="00ED0E85">
            <w:pPr>
              <w:pStyle w:val="BodyText"/>
              <w:spacing w:before="0"/>
              <w:rPr>
                <w:rFonts w:ascii="Franklin Gothic Demi" w:hAnsi="Franklin Gothic Demi"/>
                <w:caps/>
                <w:spacing w:val="10"/>
                <w:sz w:val="18"/>
              </w:rPr>
            </w:pPr>
            <w:r w:rsidRPr="003E1F01">
              <w:rPr>
                <w:rFonts w:ascii="Franklin Gothic Demi" w:hAnsi="Franklin Gothic Demi"/>
                <w:caps/>
                <w:spacing w:val="10"/>
                <w:sz w:val="18"/>
              </w:rPr>
              <w:t>The Centre for International Economics</w:t>
            </w:r>
          </w:p>
          <w:p w14:paraId="2A459A1C" w14:textId="77777777" w:rsidR="00ED0E85" w:rsidRPr="003E1F01" w:rsidRDefault="00ED0E85" w:rsidP="00ED0E85">
            <w:pPr>
              <w:pStyle w:val="BodyText"/>
              <w:spacing w:before="0"/>
              <w:rPr>
                <w:i/>
                <w:sz w:val="22"/>
              </w:rPr>
            </w:pPr>
            <w:r w:rsidRPr="003E1F01">
              <w:rPr>
                <w:i/>
                <w:sz w:val="22"/>
              </w:rPr>
              <w:t>www.TheCIE.com.au</w:t>
            </w:r>
          </w:p>
          <w:p w14:paraId="4B35F5EB" w14:textId="77777777" w:rsidR="00ED0E85" w:rsidRDefault="00ED0E85" w:rsidP="00ED0E85">
            <w:pPr>
              <w:rPr>
                <w:lang w:bidi="fa-IR"/>
              </w:rPr>
            </w:pPr>
          </w:p>
        </w:tc>
      </w:tr>
    </w:tbl>
    <w:p w14:paraId="4D49880A" w14:textId="77777777" w:rsidR="00ED0E85" w:rsidRDefault="00ED0E85" w:rsidP="00ED0E85">
      <w:pPr>
        <w:rPr>
          <w:lang w:bidi="fa-IR"/>
        </w:rPr>
      </w:pPr>
      <w:r>
        <w:rPr>
          <w:noProof/>
        </w:rPr>
        <w:drawing>
          <wp:anchor distT="0" distB="0" distL="114300" distR="114300" simplePos="0" relativeHeight="251695104" behindDoc="1" locked="1" layoutInCell="0" allowOverlap="1" wp14:anchorId="0567E0A0" wp14:editId="7D210C06">
            <wp:simplePos x="0" y="0"/>
            <wp:positionH relativeFrom="page">
              <wp:posOffset>0</wp:posOffset>
            </wp:positionH>
            <wp:positionV relativeFrom="page">
              <wp:posOffset>0</wp:posOffset>
            </wp:positionV>
            <wp:extent cx="7560000" cy="10692000"/>
            <wp:effectExtent l="0" t="0" r="317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Clients\CIE, New templates\Logo &amp; cover options\Final artwork\report cover graphics\backcover_600dpi.png"/>
                    <pic:cNvPicPr>
                      <a:picLocks noChangeAspect="1" noChangeArrowheads="1"/>
                    </pic:cNvPicPr>
                  </pic:nvPicPr>
                  <pic:blipFill>
                    <a:blip r:embed="rId139" cstate="print">
                      <a:extLst>
                        <a:ext uri="{28A0092B-C50C-407E-A947-70E740481C1C}">
                          <a14:useLocalDpi xmlns:a14="http://schemas.microsoft.com/office/drawing/2010/main" val="0"/>
                        </a:ext>
                      </a:extLst>
                    </a:blip>
                    <a:stretch>
                      <a:fillRect/>
                    </a:stretch>
                  </pic:blipFill>
                  <pic:spPr bwMode="auto">
                    <a:xfrm>
                      <a:off x="0" y="0"/>
                      <a:ext cx="7560000"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4B3D6" w14:textId="77777777" w:rsidR="00ED0E85" w:rsidRPr="003822C2" w:rsidRDefault="00ED0E85" w:rsidP="006C5856">
      <w:pPr>
        <w:pStyle w:val="BodyText"/>
        <w:rPr>
          <w:lang w:bidi="fa-IR"/>
        </w:rPr>
      </w:pPr>
    </w:p>
    <w:sectPr w:rsidR="00ED0E85" w:rsidRPr="003822C2" w:rsidSect="00ED0E85">
      <w:type w:val="evenPage"/>
      <w:pgSz w:w="11906" w:h="16838" w:code="9"/>
      <w:pgMar w:top="2268" w:right="1701" w:bottom="1418" w:left="2268" w:header="680" w:footer="68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E69E26" w14:textId="77777777" w:rsidR="00190726" w:rsidRDefault="00190726" w:rsidP="00996DC5">
      <w:pPr>
        <w:spacing w:line="240" w:lineRule="auto"/>
      </w:pPr>
      <w:r>
        <w:separator/>
      </w:r>
    </w:p>
  </w:endnote>
  <w:endnote w:type="continuationSeparator" w:id="0">
    <w:p w14:paraId="6D04818C" w14:textId="77777777" w:rsidR="00190726" w:rsidRDefault="00190726" w:rsidP="00996D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Demi">
    <w:panose1 w:val="020B07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sto MT">
    <w:panose1 w:val="02040603050505030304"/>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Gotham Narrow Light">
    <w:altName w:val="Tahoma"/>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80B043" w14:textId="77777777" w:rsidR="003E0782" w:rsidRDefault="003E0782">
    <w:pPr>
      <w:pStyle w:val="Footer"/>
    </w:pPr>
    <w:r>
      <w:t>www.TheCIE.com.au</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7035A" w14:textId="77777777" w:rsidR="003E0782" w:rsidRDefault="003E0782">
    <w:pPr>
      <w:pStyle w:val="Footer"/>
    </w:pPr>
    <w:r>
      <w:t>www.TheCIE.com.au</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237D5D" w14:textId="77777777" w:rsidR="003E0782" w:rsidRDefault="003E0782" w:rsidP="007C4C46">
    <w:pPr>
      <w:pStyle w:val="Footer"/>
      <w:jc w:val="right"/>
    </w:pPr>
    <w:r>
      <w:t>www.TheCIE.com.au</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517BD" w14:textId="77777777" w:rsidR="003E0782" w:rsidRDefault="003E0782">
    <w:pPr>
      <w:pStyle w:val="Footer"/>
    </w:pPr>
    <w:r>
      <w:t>www.TheCIE.com.au</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785AF4" w14:textId="77777777" w:rsidR="003E0782" w:rsidRDefault="003E0782" w:rsidP="007C4C46">
    <w:pPr>
      <w:pStyle w:val="Footer"/>
      <w:jc w:val="right"/>
    </w:pPr>
    <w:r>
      <w:t>www.TheCIE.com.au</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1536E8" w14:textId="77777777" w:rsidR="003E0782" w:rsidRDefault="003E0782">
    <w:pPr>
      <w:pStyle w:val="Footer"/>
    </w:pPr>
    <w:r>
      <w:t>www.TheCIE.com.au</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DACF06" w14:textId="77777777" w:rsidR="003E0782" w:rsidRDefault="003E0782" w:rsidP="007C4C46">
    <w:pPr>
      <w:pStyle w:val="Footer"/>
      <w:jc w:val="right"/>
    </w:pPr>
    <w:r>
      <w:t>www.TheCIE.com.au</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DDF740" w14:textId="77777777" w:rsidR="003E0782" w:rsidRDefault="003E0782">
    <w:pPr>
      <w:pStyle w:val="Footer"/>
    </w:pPr>
    <w:r>
      <w:t>www.TheCIE.com.au</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1695C" w14:textId="77777777" w:rsidR="003E0782" w:rsidRDefault="003E0782" w:rsidP="007C4C46">
    <w:pPr>
      <w:pStyle w:val="Footer"/>
      <w:jc w:val="right"/>
    </w:pPr>
    <w:r>
      <w:t>www.TheCIE.com.au</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73553B" w14:textId="77777777" w:rsidR="003E0782" w:rsidRDefault="003E0782">
    <w:pPr>
      <w:pStyle w:val="Footer"/>
    </w:pPr>
    <w:r>
      <w:t>www.TheCIE.com.au</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E9C95" w14:textId="77777777" w:rsidR="003E0782" w:rsidRDefault="003E0782" w:rsidP="007C4C46">
    <w:pPr>
      <w:pStyle w:val="Footer"/>
      <w:jc w:val="right"/>
    </w:pPr>
    <w:r>
      <w:t>www.TheCIE.com.au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A32770" w14:textId="77777777" w:rsidR="003E0782" w:rsidRPr="005B1FD7" w:rsidRDefault="003E0782" w:rsidP="005B1FD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061B7" w14:textId="77777777" w:rsidR="003E0782" w:rsidRDefault="003E0782" w:rsidP="007C4C46">
    <w:pPr>
      <w:pStyle w:val="Footer"/>
      <w:jc w:val="right"/>
    </w:pPr>
    <w:r>
      <w:t>www.TheCIE.com.au</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156CBA" w14:textId="77777777" w:rsidR="003E0782" w:rsidRDefault="003E0782">
    <w:pPr>
      <w:pStyle w:val="Footer"/>
    </w:pPr>
    <w:r>
      <w:t>www.TheCIE.com.au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7AC5D2" w14:textId="77777777" w:rsidR="003E0782" w:rsidRDefault="003E0782" w:rsidP="004E7620">
    <w:pPr>
      <w:pStyle w:val="Footer"/>
      <w:jc w:val="right"/>
    </w:pPr>
    <w:r>
      <w:t>www.TheCIE.com.au</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37B62" w14:textId="77777777" w:rsidR="003E0782" w:rsidRDefault="003E0782">
    <w:pPr>
      <w:pStyle w:val="Footer"/>
    </w:pPr>
    <w:r>
      <w:t>www.TheCIE.com.au</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0899B" w14:textId="77777777" w:rsidR="003E0782" w:rsidRDefault="003E0782" w:rsidP="007C4C46">
    <w:pPr>
      <w:pStyle w:val="Footer"/>
      <w:jc w:val="right"/>
    </w:pPr>
    <w:r>
      <w:t>www.TheCIE.com.au</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C8051" w14:textId="77777777" w:rsidR="003E0782" w:rsidRPr="0010739B" w:rsidRDefault="003E0782" w:rsidP="00ED0E85">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41EB5" w14:textId="77777777" w:rsidR="003E0782" w:rsidRPr="0010739B" w:rsidRDefault="003E0782" w:rsidP="00ED0E8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B63014" w14:textId="77777777" w:rsidR="00190726" w:rsidRDefault="00190726" w:rsidP="00996DC5">
      <w:pPr>
        <w:spacing w:line="240" w:lineRule="auto"/>
      </w:pPr>
      <w:r w:rsidRPr="00B75719">
        <w:rPr>
          <w:color w:val="6F6652" w:themeColor="text2"/>
        </w:rPr>
        <w:separator/>
      </w:r>
    </w:p>
  </w:footnote>
  <w:footnote w:type="continuationSeparator" w:id="0">
    <w:p w14:paraId="1F1EED89" w14:textId="77777777" w:rsidR="00190726" w:rsidRDefault="00190726" w:rsidP="00996DC5">
      <w:pPr>
        <w:spacing w:line="240" w:lineRule="auto"/>
      </w:pPr>
      <w:r>
        <w:continuationSeparator/>
      </w:r>
    </w:p>
  </w:footnote>
  <w:footnote w:id="1">
    <w:p w14:paraId="6C764617" w14:textId="77777777" w:rsidR="003E0782" w:rsidRPr="00F12928" w:rsidRDefault="003E0782" w:rsidP="00ED0E85">
      <w:pPr>
        <w:pStyle w:val="FootnoteText"/>
        <w:rPr>
          <w:lang w:val="en-US"/>
        </w:rPr>
      </w:pPr>
      <w:r>
        <w:rPr>
          <w:rStyle w:val="FootnoteReference"/>
        </w:rPr>
        <w:footnoteRef/>
      </w:r>
      <w:r>
        <w:t xml:space="preserve"> </w:t>
      </w:r>
      <w:r>
        <w:rPr>
          <w:lang w:val="en-US"/>
        </w:rPr>
        <w:t xml:space="preserve">ACIL Allen Consulting, </w:t>
      </w:r>
      <w:r w:rsidRPr="00F12928">
        <w:rPr>
          <w:i/>
          <w:lang w:val="en-US"/>
        </w:rPr>
        <w:t>Improving the energy efficiency performance of small office buildings</w:t>
      </w:r>
      <w:r>
        <w:rPr>
          <w:lang w:val="en-US"/>
        </w:rPr>
        <w:t>, Regulation Impact Statement for Consultation, March 2016, p. 6.</w:t>
      </w:r>
    </w:p>
  </w:footnote>
  <w:footnote w:id="2">
    <w:p w14:paraId="106BE163" w14:textId="77777777" w:rsidR="003E0782" w:rsidRDefault="003E0782" w:rsidP="00ED0E85">
      <w:pPr>
        <w:pStyle w:val="FootnoteText"/>
      </w:pPr>
      <w:r>
        <w:rPr>
          <w:rStyle w:val="FootnoteReference"/>
        </w:rPr>
        <w:footnoteRef/>
      </w:r>
      <w:r>
        <w:t xml:space="preserve"> </w:t>
      </w:r>
      <w:r>
        <w:tab/>
        <w:t>There are unofficial hotel ratings, which are not certified by NABERS, and it appears that there are much higher number of these than official ratings.</w:t>
      </w:r>
    </w:p>
  </w:footnote>
  <w:footnote w:id="3">
    <w:p w14:paraId="15B23E5A" w14:textId="77777777" w:rsidR="003E0782" w:rsidRDefault="003E0782" w:rsidP="00ED0E85">
      <w:pPr>
        <w:pStyle w:val="FootnoteText"/>
      </w:pPr>
      <w:r>
        <w:rPr>
          <w:rStyle w:val="FootnoteReference"/>
        </w:rPr>
        <w:footnoteRef/>
      </w:r>
      <w:r>
        <w:t xml:space="preserve"> </w:t>
      </w:r>
      <w:r>
        <w:tab/>
        <w:t>This uses a weighted average price across Australian states and territories for 2018 of 9.79 cents per kwh of electricity and 2.34 cents per MJ for gas.</w:t>
      </w:r>
    </w:p>
  </w:footnote>
  <w:footnote w:id="4">
    <w:p w14:paraId="720EBCB0" w14:textId="77777777" w:rsidR="003E0782" w:rsidRPr="00751CD8" w:rsidRDefault="003E0782" w:rsidP="00ED0E85">
      <w:pPr>
        <w:pStyle w:val="FootnoteText"/>
        <w:rPr>
          <w:lang w:val="en-GB"/>
        </w:rPr>
      </w:pPr>
      <w:r>
        <w:rPr>
          <w:rStyle w:val="FootnoteReference"/>
        </w:rPr>
        <w:footnoteRef/>
      </w:r>
      <w:r>
        <w:t xml:space="preserve"> </w:t>
      </w:r>
      <w:r>
        <w:tab/>
      </w:r>
      <w:r>
        <w:rPr>
          <w:lang w:val="en-GB"/>
        </w:rPr>
        <w:t xml:space="preserve">United Nations Framework Convention on Climate Change website, </w:t>
      </w:r>
      <w:hyperlink r:id="rId1" w:history="1">
        <w:r w:rsidRPr="007C7619">
          <w:rPr>
            <w:rStyle w:val="Hyperlink"/>
            <w:lang w:val="en-GB"/>
          </w:rPr>
          <w:t>http://unfccc.int/paris_agreement/items/9485.php</w:t>
        </w:r>
      </w:hyperlink>
      <w:r>
        <w:rPr>
          <w:lang w:val="en-GB"/>
        </w:rPr>
        <w:t>, accessed 19 October 2017.</w:t>
      </w:r>
    </w:p>
  </w:footnote>
  <w:footnote w:id="5">
    <w:p w14:paraId="3A699C68" w14:textId="77777777" w:rsidR="003E0782" w:rsidRPr="00702D02" w:rsidRDefault="003E0782" w:rsidP="00ED0E85">
      <w:pPr>
        <w:pStyle w:val="FootnoteText"/>
        <w:rPr>
          <w:lang w:val="en-GB"/>
        </w:rPr>
      </w:pPr>
      <w:r>
        <w:rPr>
          <w:rStyle w:val="FootnoteReference"/>
        </w:rPr>
        <w:footnoteRef/>
      </w:r>
      <w:r>
        <w:t xml:space="preserve"> </w:t>
      </w:r>
      <w:r>
        <w:tab/>
      </w:r>
      <w:r>
        <w:rPr>
          <w:lang w:val="en-GB"/>
        </w:rPr>
        <w:t xml:space="preserve">Department of the Environment and Energy website, </w:t>
      </w:r>
      <w:hyperlink r:id="rId2" w:history="1">
        <w:r w:rsidRPr="00310E06">
          <w:rPr>
            <w:rStyle w:val="Hyperlink"/>
            <w:lang w:val="en-GB"/>
          </w:rPr>
          <w:t>http://www.environment.gov.au/climate-change/publications/factsheet-australias-2030-climate-change-target</w:t>
        </w:r>
      </w:hyperlink>
      <w:r>
        <w:rPr>
          <w:lang w:val="en-GB"/>
        </w:rPr>
        <w:t>, accessed 8 November 2017.</w:t>
      </w:r>
    </w:p>
  </w:footnote>
  <w:footnote w:id="6">
    <w:p w14:paraId="00A20DFD" w14:textId="77777777" w:rsidR="003E0782" w:rsidRPr="00702D02" w:rsidRDefault="003E0782" w:rsidP="00ED0E85">
      <w:pPr>
        <w:pStyle w:val="FootnoteText"/>
        <w:rPr>
          <w:lang w:val="en-GB"/>
        </w:rPr>
      </w:pPr>
      <w:r>
        <w:rPr>
          <w:rStyle w:val="FootnoteReference"/>
        </w:rPr>
        <w:footnoteRef/>
      </w:r>
      <w:r>
        <w:t xml:space="preserve"> </w:t>
      </w:r>
      <w:r>
        <w:tab/>
      </w:r>
      <w:r>
        <w:rPr>
          <w:lang w:val="en-GB"/>
        </w:rPr>
        <w:t xml:space="preserve">COAG Energy Council 2015, </w:t>
      </w:r>
      <w:r w:rsidRPr="00702D02">
        <w:rPr>
          <w:i/>
          <w:lang w:val="en-GB"/>
        </w:rPr>
        <w:t>National Energy Productivity Plan 2015</w:t>
      </w:r>
      <w:r w:rsidRPr="00702D02">
        <w:rPr>
          <w:i/>
          <w:lang w:val="en-GB"/>
        </w:rPr>
        <w:noBreakHyphen/>
        <w:t>2030: Boosting Competitiveness, managing costs and reducing emissions</w:t>
      </w:r>
      <w:r>
        <w:rPr>
          <w:lang w:val="en-GB"/>
        </w:rPr>
        <w:t>, December 2015, p. 5.</w:t>
      </w:r>
    </w:p>
  </w:footnote>
  <w:footnote w:id="7">
    <w:p w14:paraId="63FF4BF8" w14:textId="77777777" w:rsidR="003E0782" w:rsidRPr="003256DD" w:rsidRDefault="003E0782" w:rsidP="00ED0E85">
      <w:pPr>
        <w:pStyle w:val="FootnoteText"/>
        <w:rPr>
          <w:i/>
        </w:rPr>
      </w:pPr>
      <w:r>
        <w:rPr>
          <w:rStyle w:val="FootnoteReference"/>
        </w:rPr>
        <w:footnoteRef/>
      </w:r>
      <w:r>
        <w:t xml:space="preserve"> </w:t>
      </w:r>
      <w:r>
        <w:tab/>
        <w:t xml:space="preserve">ACIL Allen Consulting 2015, </w:t>
      </w:r>
      <w:r>
        <w:rPr>
          <w:i/>
        </w:rPr>
        <w:t>Commercial Building Disclosure: Program review,</w:t>
      </w:r>
      <w:r>
        <w:t xml:space="preserve"> prepared for Department of Industry and Science, </w:t>
      </w:r>
      <w:hyperlink r:id="rId3" w:history="1">
        <w:r w:rsidRPr="00C13DA7">
          <w:rPr>
            <w:rStyle w:val="Hyperlink"/>
          </w:rPr>
          <w:t>https://prod-cbd.energy.slicedtech.com.au/sites/prod.cbd/files/CBD%20program%20review%20final%20report.pdf</w:t>
        </w:r>
      </w:hyperlink>
      <w:r>
        <w:t xml:space="preserve">. </w:t>
      </w:r>
      <w:r>
        <w:rPr>
          <w:i/>
        </w:rPr>
        <w:t xml:space="preserve"> </w:t>
      </w:r>
    </w:p>
  </w:footnote>
  <w:footnote w:id="8">
    <w:p w14:paraId="5412579D" w14:textId="77777777" w:rsidR="003E0782" w:rsidRPr="00BC40E8" w:rsidRDefault="003E0782" w:rsidP="00ED0E85">
      <w:pPr>
        <w:pStyle w:val="FootnoteText"/>
      </w:pPr>
      <w:r>
        <w:rPr>
          <w:rStyle w:val="FootnoteReference"/>
        </w:rPr>
        <w:footnoteRef/>
      </w:r>
      <w:r>
        <w:t xml:space="preserve"> </w:t>
      </w:r>
      <w:r>
        <w:tab/>
        <w:t xml:space="preserve">ACIL Allen Consulting, 2015, </w:t>
      </w:r>
      <w:r>
        <w:rPr>
          <w:i/>
          <w:iCs/>
        </w:rPr>
        <w:t xml:space="preserve">Commercial Building Disclosure Program Review, </w:t>
      </w:r>
      <w:r>
        <w:t xml:space="preserve">Final Report, for Department of Industry and Science, pp i-iv. </w:t>
      </w:r>
    </w:p>
  </w:footnote>
  <w:footnote w:id="9">
    <w:p w14:paraId="5EB80444" w14:textId="77777777" w:rsidR="003E0782" w:rsidRDefault="003E0782" w:rsidP="00ED0E85">
      <w:pPr>
        <w:pStyle w:val="FootnoteText"/>
      </w:pPr>
      <w:r>
        <w:rPr>
          <w:rStyle w:val="FootnoteReference"/>
        </w:rPr>
        <w:footnoteRef/>
      </w:r>
      <w:r>
        <w:t xml:space="preserve"> </w:t>
      </w:r>
      <w:r>
        <w:tab/>
        <w:t xml:space="preserve">ACIL Allen Consulting, 2015, </w:t>
      </w:r>
      <w:r>
        <w:rPr>
          <w:i/>
          <w:iCs/>
        </w:rPr>
        <w:t xml:space="preserve">Commercial Building Disclosure Program Review, </w:t>
      </w:r>
      <w:r>
        <w:t>Final Report, for Department of Industry and Science, pp iv-vi.</w:t>
      </w:r>
    </w:p>
  </w:footnote>
  <w:footnote w:id="10">
    <w:p w14:paraId="54888390" w14:textId="77777777" w:rsidR="003E0782" w:rsidRPr="003A070F" w:rsidRDefault="003E0782" w:rsidP="00ED0E85">
      <w:pPr>
        <w:pStyle w:val="FootnoteText"/>
        <w:rPr>
          <w:lang w:val="en-GB"/>
        </w:rPr>
      </w:pPr>
      <w:r>
        <w:rPr>
          <w:rStyle w:val="FootnoteReference"/>
        </w:rPr>
        <w:footnoteRef/>
      </w:r>
      <w:r>
        <w:t xml:space="preserve"> </w:t>
      </w:r>
      <w:r>
        <w:rPr>
          <w:lang w:val="en-GB"/>
        </w:rPr>
        <w:t xml:space="preserve">See for example: Productivity Commission, </w:t>
      </w:r>
      <w:r w:rsidRPr="003A070F">
        <w:rPr>
          <w:i/>
          <w:lang w:val="en-GB"/>
        </w:rPr>
        <w:t>The Private Cost Effectiveness of Improving Energy Efficiency</w:t>
      </w:r>
      <w:r>
        <w:rPr>
          <w:lang w:val="en-GB"/>
        </w:rPr>
        <w:t>, Productivity Commission Inquiry Report No. 36, 31 August 2005.</w:t>
      </w:r>
    </w:p>
  </w:footnote>
  <w:footnote w:id="11">
    <w:p w14:paraId="142C0382" w14:textId="77777777" w:rsidR="003E0782" w:rsidRPr="00751CD8" w:rsidRDefault="003E0782" w:rsidP="00ED0E85">
      <w:pPr>
        <w:pStyle w:val="FootnoteText"/>
        <w:rPr>
          <w:lang w:val="en-GB"/>
        </w:rPr>
      </w:pPr>
      <w:r>
        <w:rPr>
          <w:rStyle w:val="FootnoteReference"/>
        </w:rPr>
        <w:footnoteRef/>
      </w:r>
      <w:r>
        <w:t xml:space="preserve"> </w:t>
      </w:r>
      <w:r>
        <w:tab/>
      </w:r>
      <w:r>
        <w:rPr>
          <w:lang w:val="en-GB"/>
        </w:rPr>
        <w:t xml:space="preserve">United Nations Framework Convention on Climate Change website, </w:t>
      </w:r>
      <w:hyperlink r:id="rId4" w:history="1">
        <w:r w:rsidRPr="007C7619">
          <w:rPr>
            <w:rStyle w:val="Hyperlink"/>
            <w:lang w:val="en-GB"/>
          </w:rPr>
          <w:t>http://unfccc.int/paris_agreement/items/9485.php</w:t>
        </w:r>
      </w:hyperlink>
      <w:r>
        <w:rPr>
          <w:lang w:val="en-GB"/>
        </w:rPr>
        <w:t>, accessed 19 October 2017.</w:t>
      </w:r>
    </w:p>
  </w:footnote>
  <w:footnote w:id="12">
    <w:p w14:paraId="778F3DAF" w14:textId="77777777" w:rsidR="003E0782" w:rsidRPr="00702D02" w:rsidRDefault="003E0782" w:rsidP="00ED0E85">
      <w:pPr>
        <w:pStyle w:val="FootnoteText"/>
        <w:rPr>
          <w:lang w:val="en-GB"/>
        </w:rPr>
      </w:pPr>
      <w:r>
        <w:rPr>
          <w:rStyle w:val="FootnoteReference"/>
        </w:rPr>
        <w:footnoteRef/>
      </w:r>
      <w:r>
        <w:t xml:space="preserve"> </w:t>
      </w:r>
      <w:r>
        <w:tab/>
      </w:r>
      <w:r>
        <w:rPr>
          <w:lang w:val="en-GB"/>
        </w:rPr>
        <w:t xml:space="preserve">See for example COAG Energy Council 2015, </w:t>
      </w:r>
      <w:r w:rsidRPr="004806BC">
        <w:rPr>
          <w:i/>
          <w:lang w:val="en-GB"/>
        </w:rPr>
        <w:t>National Energy Productivity Plan 2015</w:t>
      </w:r>
      <w:r w:rsidRPr="004806BC">
        <w:rPr>
          <w:i/>
          <w:lang w:val="en-GB"/>
        </w:rPr>
        <w:noBreakHyphen/>
        <w:t>2030: Boosting Competitiveness, managing costs and reducing emissions</w:t>
      </w:r>
      <w:r>
        <w:rPr>
          <w:lang w:val="en-GB"/>
        </w:rPr>
        <w:t>, December 2015, p. 6.</w:t>
      </w:r>
    </w:p>
  </w:footnote>
  <w:footnote w:id="13">
    <w:p w14:paraId="4D3E49E6" w14:textId="77777777" w:rsidR="003E0782" w:rsidRDefault="003E0782" w:rsidP="00ED0E85">
      <w:pPr>
        <w:pStyle w:val="FootnoteText"/>
      </w:pPr>
      <w:r>
        <w:rPr>
          <w:rStyle w:val="FootnoteReference"/>
        </w:rPr>
        <w:footnoteRef/>
      </w:r>
      <w:r>
        <w:t xml:space="preserve"> </w:t>
      </w:r>
      <w:r>
        <w:tab/>
        <w:t xml:space="preserve">Gerarden, T.D., Newell, R.G. and Stavins, R.N. 2015, </w:t>
      </w:r>
      <w:r>
        <w:rPr>
          <w:i/>
        </w:rPr>
        <w:t>Assessing the Energy Efficiency Gap</w:t>
      </w:r>
      <w:r>
        <w:t>, Duke University Energy Initiative and Harvard Environmental Economics Program, January 2015, p. 1.</w:t>
      </w:r>
    </w:p>
  </w:footnote>
  <w:footnote w:id="14">
    <w:p w14:paraId="69A5E8F9" w14:textId="77777777" w:rsidR="003E0782" w:rsidRDefault="003E0782" w:rsidP="00ED0E85">
      <w:pPr>
        <w:pStyle w:val="FootnoteText"/>
      </w:pPr>
      <w:r>
        <w:rPr>
          <w:rStyle w:val="FootnoteReference"/>
        </w:rPr>
        <w:footnoteRef/>
      </w:r>
      <w:r>
        <w:t xml:space="preserve"> </w:t>
      </w:r>
      <w:r>
        <w:tab/>
      </w:r>
      <w:r w:rsidRPr="00E56E6A">
        <w:t>Australian Government, available at: http://www.energyrating.gov.au/sites/new.energyrating/files/documents/Energy_efficiency_measures_table_0.pdf</w:t>
      </w:r>
    </w:p>
  </w:footnote>
  <w:footnote w:id="15">
    <w:p w14:paraId="1CE7924B" w14:textId="77777777" w:rsidR="003E0782" w:rsidRPr="003A070F" w:rsidRDefault="003E0782" w:rsidP="00ED0E85">
      <w:pPr>
        <w:pStyle w:val="FootnoteText"/>
        <w:rPr>
          <w:lang w:val="en-GB"/>
        </w:rPr>
      </w:pPr>
      <w:r>
        <w:rPr>
          <w:rStyle w:val="FootnoteReference"/>
        </w:rPr>
        <w:footnoteRef/>
      </w:r>
      <w:r>
        <w:t xml:space="preserve"> COAG Energy Council, </w:t>
      </w:r>
      <w:r w:rsidRPr="002A0C43">
        <w:rPr>
          <w:i/>
        </w:rPr>
        <w:t>National Energy Productivity Plan 2015</w:t>
      </w:r>
      <w:r w:rsidRPr="002A0C43">
        <w:rPr>
          <w:i/>
        </w:rPr>
        <w:noBreakHyphen/>
        <w:t>2030: Boosting competitiveness, managing costs and reducing emissions</w:t>
      </w:r>
      <w:r>
        <w:t>, December 2015, p. 9.</w:t>
      </w:r>
    </w:p>
  </w:footnote>
  <w:footnote w:id="16">
    <w:p w14:paraId="7AE4080E" w14:textId="77777777" w:rsidR="003E0782" w:rsidRPr="002A0C43" w:rsidRDefault="003E0782" w:rsidP="00ED0E85">
      <w:pPr>
        <w:pStyle w:val="FootnoteText"/>
        <w:rPr>
          <w:lang w:val="en-US"/>
        </w:rPr>
      </w:pPr>
      <w:r>
        <w:rPr>
          <w:rStyle w:val="FootnoteReference"/>
        </w:rPr>
        <w:footnoteRef/>
      </w:r>
      <w:r>
        <w:t xml:space="preserve"> COAG Energy Council, </w:t>
      </w:r>
      <w:r w:rsidRPr="002A0C43">
        <w:rPr>
          <w:i/>
        </w:rPr>
        <w:t>National Energy Productivity Plan 2015</w:t>
      </w:r>
      <w:r w:rsidRPr="002A0C43">
        <w:rPr>
          <w:i/>
        </w:rPr>
        <w:noBreakHyphen/>
        <w:t>2030: Boosting competitiveness, managing costs and reducing emissions</w:t>
      </w:r>
      <w:r>
        <w:t>, December 2015, p. 5.</w:t>
      </w:r>
    </w:p>
  </w:footnote>
  <w:footnote w:id="17">
    <w:p w14:paraId="191605DD" w14:textId="77777777" w:rsidR="003E0782" w:rsidRDefault="003E0782" w:rsidP="00ED0E85">
      <w:pPr>
        <w:pStyle w:val="FootnoteText"/>
      </w:pPr>
      <w:r>
        <w:rPr>
          <w:rStyle w:val="FootnoteReference"/>
        </w:rPr>
        <w:footnoteRef/>
      </w:r>
      <w:r>
        <w:t xml:space="preserve"> </w:t>
      </w:r>
      <w:r>
        <w:tab/>
        <w:t xml:space="preserve">The Parliament of the Commonwealth of Australia 2010, Building Energy Efficiency Disclosure Bill 2010, Revised explanatory memorandum, p. 17, </w:t>
      </w:r>
      <w:hyperlink r:id="rId5" w:history="1">
        <w:r w:rsidRPr="002A0CCE">
          <w:rPr>
            <w:rStyle w:val="Hyperlink"/>
          </w:rPr>
          <w:t>https://parlinfo.aph.gov.au/parlInfo/download/legislation/ems/r4324_ems_bcf8cec6-4957-4ab2-9166-1e0fd6a836d4/upload_pdf/buildingrem.pdf;fileType=application%2Fpdf</w:t>
        </w:r>
      </w:hyperlink>
      <w:r>
        <w:t>.</w:t>
      </w:r>
    </w:p>
  </w:footnote>
  <w:footnote w:id="18">
    <w:p w14:paraId="7CEB9DAA" w14:textId="77777777" w:rsidR="003E0782" w:rsidRDefault="003E0782" w:rsidP="00ED0E85">
      <w:pPr>
        <w:pStyle w:val="FootnoteText"/>
      </w:pPr>
      <w:r>
        <w:rPr>
          <w:rStyle w:val="FootnoteReference"/>
        </w:rPr>
        <w:footnoteRef/>
      </w:r>
      <w:r>
        <w:t xml:space="preserve"> </w:t>
      </w:r>
      <w:r>
        <w:tab/>
        <w:t xml:space="preserve">Department of Environment and Energy web site, </w:t>
      </w:r>
      <w:hyperlink r:id="rId6" w:history="1">
        <w:r>
          <w:rPr>
            <w:rStyle w:val="Hyperlink"/>
          </w:rPr>
          <w:t>http://cbd.gov.au/overview-of-the-program/what-is-cbd</w:t>
        </w:r>
      </w:hyperlink>
      <w:r>
        <w:t>.</w:t>
      </w:r>
    </w:p>
  </w:footnote>
  <w:footnote w:id="19">
    <w:p w14:paraId="760C6D4E" w14:textId="77777777" w:rsidR="003E0782" w:rsidRDefault="003E0782" w:rsidP="00ED0E85">
      <w:pPr>
        <w:pStyle w:val="FootnoteText"/>
      </w:pPr>
      <w:r>
        <w:rPr>
          <w:rStyle w:val="FootnoteReference"/>
        </w:rPr>
        <w:footnoteRef/>
      </w:r>
      <w:r>
        <w:t xml:space="preserve"> </w:t>
      </w:r>
      <w:r>
        <w:tab/>
        <w:t xml:space="preserve">ACIL Allen Consulting 2016, </w:t>
      </w:r>
      <w:r>
        <w:rPr>
          <w:i/>
        </w:rPr>
        <w:t>Improving the energy efficiency performance of small office buildings</w:t>
      </w:r>
      <w:r>
        <w:t xml:space="preserve">, </w:t>
      </w:r>
      <w:r>
        <w:rPr>
          <w:i/>
        </w:rPr>
        <w:t>Regulation Impact Statement,</w:t>
      </w:r>
      <w:r>
        <w:t xml:space="preserve"> p. 6.</w:t>
      </w:r>
    </w:p>
  </w:footnote>
  <w:footnote w:id="20">
    <w:p w14:paraId="55CA2E90" w14:textId="77777777" w:rsidR="003E0782" w:rsidRPr="009253DC" w:rsidRDefault="003E0782" w:rsidP="00ED0E85">
      <w:pPr>
        <w:pStyle w:val="FootnoteText"/>
        <w:rPr>
          <w:lang w:val="en-US"/>
        </w:rPr>
      </w:pPr>
      <w:r>
        <w:rPr>
          <w:rStyle w:val="FootnoteReference"/>
        </w:rPr>
        <w:footnoteRef/>
      </w:r>
      <w:r>
        <w:t xml:space="preserve"> </w:t>
      </w:r>
      <w:r>
        <w:rPr>
          <w:lang w:val="en-US"/>
        </w:rPr>
        <w:t xml:space="preserve">ACIL Allen Consulting, </w:t>
      </w:r>
      <w:r w:rsidRPr="009253DC">
        <w:rPr>
          <w:i/>
          <w:lang w:val="en-US"/>
        </w:rPr>
        <w:t>Improving the energy efficiency performance of small office buildings</w:t>
      </w:r>
      <w:r>
        <w:rPr>
          <w:lang w:val="en-US"/>
        </w:rPr>
        <w:t>, Regulation Impact Statement for Consultation, March 2016, p. 6.</w:t>
      </w:r>
    </w:p>
  </w:footnote>
  <w:footnote w:id="21">
    <w:p w14:paraId="48693370" w14:textId="77777777" w:rsidR="003E0782" w:rsidRDefault="003E0782" w:rsidP="00ED0E85">
      <w:pPr>
        <w:pStyle w:val="FootnoteText"/>
      </w:pPr>
      <w:r>
        <w:rPr>
          <w:rStyle w:val="FootnoteReference"/>
        </w:rPr>
        <w:footnoteRef/>
      </w:r>
      <w:r>
        <w:t xml:space="preserve"> </w:t>
      </w:r>
      <w:r>
        <w:tab/>
        <w:t xml:space="preserve">The Parliament of the Commonwealth of Australia 2010, Building Energy Efficiency Disclosure Bill 2010, Revised explanatory memorandum, p. 17, </w:t>
      </w:r>
      <w:hyperlink r:id="rId7" w:history="1">
        <w:r w:rsidRPr="002A0CCE">
          <w:rPr>
            <w:rStyle w:val="Hyperlink"/>
          </w:rPr>
          <w:t>https://parlinfo.aph.gov.au/parlInfo/download/legislation/ems/r4324_ems_bcf8cec6-4957-4ab2-9166-1e0fd6a836d4/upload_pdf/buildingrem.pdf;fileType=application%2Fpdf</w:t>
        </w:r>
      </w:hyperlink>
      <w:r>
        <w:t>.</w:t>
      </w:r>
    </w:p>
  </w:footnote>
  <w:footnote w:id="22">
    <w:p w14:paraId="06E72376" w14:textId="77777777" w:rsidR="003E0782" w:rsidRDefault="003E0782" w:rsidP="00ED0E85">
      <w:pPr>
        <w:pStyle w:val="FootnoteText"/>
      </w:pPr>
      <w:r>
        <w:rPr>
          <w:rStyle w:val="FootnoteReference"/>
        </w:rPr>
        <w:footnoteRef/>
      </w:r>
      <w:r>
        <w:t xml:space="preserve"> </w:t>
      </w:r>
      <w:r>
        <w:tab/>
        <w:t xml:space="preserve">Department of Environment and Energy web site, </w:t>
      </w:r>
      <w:hyperlink r:id="rId8" w:history="1">
        <w:r>
          <w:rPr>
            <w:rStyle w:val="Hyperlink"/>
          </w:rPr>
          <w:t>http://cbd.gov.au/overview-of-the-program/what-is-cbd</w:t>
        </w:r>
      </w:hyperlink>
      <w:r>
        <w:t>.</w:t>
      </w:r>
    </w:p>
  </w:footnote>
  <w:footnote w:id="23">
    <w:p w14:paraId="6C481C30" w14:textId="77777777" w:rsidR="003E0782" w:rsidRDefault="003E0782" w:rsidP="00ED0E85">
      <w:pPr>
        <w:pStyle w:val="FootnoteText"/>
      </w:pPr>
      <w:r>
        <w:rPr>
          <w:rStyle w:val="FootnoteReference"/>
        </w:rPr>
        <w:footnoteRef/>
      </w:r>
      <w:r>
        <w:t xml:space="preserve"> Note that average energy use per square metre is ~480 MJ per year.</w:t>
      </w:r>
    </w:p>
  </w:footnote>
  <w:footnote w:id="24">
    <w:p w14:paraId="256E51BA" w14:textId="77777777" w:rsidR="003E0782" w:rsidRDefault="003E0782" w:rsidP="00ED0E85">
      <w:pPr>
        <w:pStyle w:val="FootnoteText"/>
      </w:pPr>
      <w:r>
        <w:rPr>
          <w:rStyle w:val="FootnoteReference"/>
        </w:rPr>
        <w:footnoteRef/>
      </w:r>
      <w:r>
        <w:t xml:space="preserve"> </w:t>
      </w:r>
      <w:r>
        <w:tab/>
        <w:t>It could be argued that impacts are larger because all buildings are rated. This will be partly testable by looking at the rate of change of NABERS ratings prior to CBD and after, although other changes will also have occurred.</w:t>
      </w:r>
    </w:p>
  </w:footnote>
  <w:footnote w:id="25">
    <w:p w14:paraId="144222D1" w14:textId="77777777" w:rsidR="003E0782" w:rsidRDefault="003E0782" w:rsidP="00ED0E85">
      <w:pPr>
        <w:pStyle w:val="FootnoteText"/>
      </w:pPr>
      <w:r>
        <w:rPr>
          <w:rStyle w:val="FootnoteReference"/>
        </w:rPr>
        <w:footnoteRef/>
      </w:r>
      <w:r>
        <w:t xml:space="preserve"> </w:t>
      </w:r>
      <w:r>
        <w:tab/>
        <w:t>Note that we have cleaned the data to remove ratings where the building size is 20 per cent less than the maximum rated size, which could be because of building refurbishment, vacancies or incorrect data.</w:t>
      </w:r>
    </w:p>
  </w:footnote>
  <w:footnote w:id="26">
    <w:p w14:paraId="483E6206" w14:textId="77777777" w:rsidR="003E0782" w:rsidRDefault="003E0782" w:rsidP="00ED0E85">
      <w:pPr>
        <w:pStyle w:val="FootnoteText"/>
      </w:pPr>
      <w:r>
        <w:rPr>
          <w:rStyle w:val="FootnoteReference"/>
        </w:rPr>
        <w:footnoteRef/>
      </w:r>
      <w:r>
        <w:t xml:space="preserve"> </w:t>
      </w:r>
      <w:r>
        <w:tab/>
        <w:t xml:space="preserve">City of Sydney Floor Space and Employment Survey, </w:t>
      </w:r>
      <w:hyperlink r:id="rId9" w:history="1">
        <w:r>
          <w:rPr>
            <w:rStyle w:val="Hyperlink"/>
          </w:rPr>
          <w:t>https://www.cityofsydney.nsw.gov.au/learn/research-and-statistics/surveying-our-community/floor-space-and-employment-survey/village-overview-summary/cbd-and-harbour</w:t>
        </w:r>
      </w:hyperlink>
      <w:r>
        <w:t>.</w:t>
      </w:r>
    </w:p>
  </w:footnote>
  <w:footnote w:id="27">
    <w:p w14:paraId="1C435F91" w14:textId="77777777" w:rsidR="003E0782" w:rsidRDefault="003E0782" w:rsidP="00ED0E85">
      <w:pPr>
        <w:pStyle w:val="FootnoteText"/>
      </w:pPr>
      <w:r>
        <w:rPr>
          <w:rStyle w:val="FootnoteReference"/>
        </w:rPr>
        <w:footnoteRef/>
      </w:r>
      <w:r>
        <w:t xml:space="preserve"> </w:t>
      </w:r>
      <w:r>
        <w:tab/>
        <w:t>Note that the unique identified for functional spaces appears to have changed over time. We have matched the name of the functional space, building identified and level.</w:t>
      </w:r>
    </w:p>
  </w:footnote>
  <w:footnote w:id="28">
    <w:p w14:paraId="5FB5F9EB" w14:textId="77777777" w:rsidR="003E0782" w:rsidRPr="009253DC" w:rsidRDefault="003E0782" w:rsidP="00ED0E85">
      <w:pPr>
        <w:pStyle w:val="FootnoteText"/>
        <w:rPr>
          <w:lang w:val="en-US"/>
        </w:rPr>
      </w:pPr>
      <w:r>
        <w:rPr>
          <w:rStyle w:val="FootnoteReference"/>
        </w:rPr>
        <w:footnoteRef/>
      </w:r>
      <w:r>
        <w:t xml:space="preserve"> Acil Allen Consulting, </w:t>
      </w:r>
      <w:r w:rsidRPr="009253DC">
        <w:rPr>
          <w:i/>
        </w:rPr>
        <w:t>Commercial Building Disclosure Program: Program Review</w:t>
      </w:r>
      <w:r>
        <w:t>, Final Report, Report to Department of Industry and Science, p</w:t>
      </w:r>
      <w:r>
        <w:rPr>
          <w:lang w:val="en-US"/>
        </w:rPr>
        <w:t>. 56.</w:t>
      </w:r>
    </w:p>
  </w:footnote>
  <w:footnote w:id="29">
    <w:p w14:paraId="634187B5" w14:textId="77777777" w:rsidR="003E0782" w:rsidRPr="008271C1" w:rsidRDefault="003E0782" w:rsidP="00ED0E85">
      <w:pPr>
        <w:pStyle w:val="FootnoteText"/>
        <w:rPr>
          <w:lang w:val="en-US"/>
        </w:rPr>
      </w:pPr>
      <w:r>
        <w:rPr>
          <w:rStyle w:val="FootnoteReference"/>
        </w:rPr>
        <w:footnoteRef/>
      </w:r>
      <w:r>
        <w:t xml:space="preserve"> </w:t>
      </w:r>
      <w:r>
        <w:rPr>
          <w:lang w:val="en-US"/>
        </w:rPr>
        <w:t xml:space="preserve">See for example: International Energy Agency, 2014, </w:t>
      </w:r>
      <w:r w:rsidRPr="008271C1">
        <w:rPr>
          <w:i/>
          <w:lang w:val="en-US"/>
        </w:rPr>
        <w:t>Capturing the Multiple Benefits of Energy Efficiency</w:t>
      </w:r>
      <w:r>
        <w:rPr>
          <w:lang w:val="en-US"/>
        </w:rPr>
        <w:t xml:space="preserve">, Paris; and United States Environment Protection Agency, 2018, </w:t>
      </w:r>
      <w:r w:rsidRPr="008271C1">
        <w:rPr>
          <w:i/>
          <w:lang w:val="en-US"/>
        </w:rPr>
        <w:t>Quantifying the Multiple Benefits of Energy Efficiency and Renewable Energy: A Guide for State and Local Governments</w:t>
      </w:r>
      <w:r>
        <w:rPr>
          <w:lang w:val="en-US"/>
        </w:rPr>
        <w:t>, Washington.</w:t>
      </w:r>
    </w:p>
  </w:footnote>
  <w:footnote w:id="30">
    <w:p w14:paraId="640014B3" w14:textId="77777777" w:rsidR="003E0782" w:rsidRPr="00E020CC" w:rsidRDefault="003E0782" w:rsidP="00ED0E85">
      <w:pPr>
        <w:pStyle w:val="FootnoteText"/>
        <w:rPr>
          <w:lang w:val="en-US"/>
        </w:rPr>
      </w:pPr>
      <w:r>
        <w:rPr>
          <w:rStyle w:val="FootnoteReference"/>
        </w:rPr>
        <w:footnoteRef/>
      </w:r>
      <w:r>
        <w:t xml:space="preserve"> See Lazar, Jim and Ken Colborn 2013, </w:t>
      </w:r>
      <w:r>
        <w:rPr>
          <w:i/>
        </w:rPr>
        <w:t>Recognizing the Full Value of Energy Efficiency (What’s Under the Feel-Good Frosting of the World’s Most Valuable Layer Cake of Benefits)</w:t>
      </w:r>
      <w:r>
        <w:t xml:space="preserve">, September 2013, available at </w:t>
      </w:r>
      <w:r w:rsidRPr="00B31FE8">
        <w:t>http://www.raponline.org/wp-content/uploads/2016/05/rap-lazarcolburn-layercakepaper-2013-sept-9.pdf</w:t>
      </w:r>
      <w:r>
        <w:t>.</w:t>
      </w:r>
    </w:p>
  </w:footnote>
  <w:footnote w:id="31">
    <w:p w14:paraId="72271115" w14:textId="77777777" w:rsidR="003E0782" w:rsidRPr="009253DC" w:rsidRDefault="003E0782" w:rsidP="00ED0E85">
      <w:pPr>
        <w:pStyle w:val="FootnoteText"/>
        <w:rPr>
          <w:lang w:val="en-US"/>
        </w:rPr>
      </w:pPr>
      <w:r>
        <w:rPr>
          <w:rStyle w:val="FootnoteReference"/>
        </w:rPr>
        <w:footnoteRef/>
      </w:r>
      <w:r>
        <w:t xml:space="preserve"> </w:t>
      </w:r>
      <w:r>
        <w:rPr>
          <w:lang w:val="en-US"/>
        </w:rPr>
        <w:t xml:space="preserve">See for example, Newell, G. MacFarlane, J. and Kok, N. </w:t>
      </w:r>
      <w:r w:rsidRPr="009253DC">
        <w:rPr>
          <w:i/>
          <w:lang w:val="en-US"/>
        </w:rPr>
        <w:t>Building Better Returns: A Study of the Financial Performance of Green Office Buildings in Australia</w:t>
      </w:r>
      <w:r>
        <w:rPr>
          <w:lang w:val="en-US"/>
        </w:rPr>
        <w:t>, September 2011.</w:t>
      </w:r>
    </w:p>
  </w:footnote>
  <w:footnote w:id="32">
    <w:p w14:paraId="5FC74EB5" w14:textId="77777777" w:rsidR="003E0782" w:rsidRPr="007E14A5" w:rsidRDefault="003E0782" w:rsidP="00ED0E85">
      <w:pPr>
        <w:pStyle w:val="FootnoteText"/>
        <w:rPr>
          <w:lang w:val="en-GB"/>
        </w:rPr>
      </w:pPr>
      <w:r>
        <w:rPr>
          <w:rStyle w:val="FootnoteReference"/>
        </w:rPr>
        <w:footnoteRef/>
      </w:r>
      <w:r>
        <w:t xml:space="preserve"> For a discussion of these studies, see: ACIL</w:t>
      </w:r>
      <w:r>
        <w:noBreakHyphen/>
        <w:t>Allen Consulting, Commercial Building Disclosure: Program Review, Report to the Department of Industry and Science, March 2015, p. 56.</w:t>
      </w:r>
    </w:p>
  </w:footnote>
  <w:footnote w:id="33">
    <w:p w14:paraId="7C236E29" w14:textId="77777777" w:rsidR="003E0782" w:rsidRPr="004220BD" w:rsidRDefault="003E0782" w:rsidP="00ED0E85">
      <w:pPr>
        <w:pStyle w:val="FootnoteText"/>
        <w:rPr>
          <w:lang w:val="en-GB"/>
        </w:rPr>
      </w:pPr>
      <w:r>
        <w:rPr>
          <w:rStyle w:val="FootnoteReference"/>
        </w:rPr>
        <w:footnoteRef/>
      </w:r>
      <w:r>
        <w:t xml:space="preserve"> ACIL</w:t>
      </w:r>
      <w:r>
        <w:noBreakHyphen/>
        <w:t>Allen Consulting, Commercial Building Disclosure: Program Review, Report to the Department of Industry and Science, March 2015, pp. 56</w:t>
      </w:r>
      <w:r>
        <w:noBreakHyphen/>
        <w:t>57.</w:t>
      </w:r>
    </w:p>
  </w:footnote>
  <w:footnote w:id="34">
    <w:p w14:paraId="7646171F" w14:textId="77777777" w:rsidR="003E0782" w:rsidRDefault="003E0782" w:rsidP="00ED0E85">
      <w:pPr>
        <w:pStyle w:val="FootnoteText"/>
      </w:pPr>
      <w:r>
        <w:rPr>
          <w:rStyle w:val="FootnoteReference"/>
        </w:rPr>
        <w:footnoteRef/>
      </w:r>
      <w:r>
        <w:t xml:space="preserve"> </w:t>
      </w:r>
      <w:r>
        <w:tab/>
        <w:t>NABERS Annual report, 2017-18, p. 16.</w:t>
      </w:r>
    </w:p>
  </w:footnote>
  <w:footnote w:id="35">
    <w:p w14:paraId="79F206C1" w14:textId="77777777" w:rsidR="003E0782" w:rsidRPr="000E6929" w:rsidRDefault="003E0782" w:rsidP="00ED0E85">
      <w:pPr>
        <w:pStyle w:val="FootnoteText"/>
        <w:rPr>
          <w:lang w:val="en-US"/>
        </w:rPr>
      </w:pPr>
      <w:r>
        <w:rPr>
          <w:rStyle w:val="FootnoteReference"/>
        </w:rPr>
        <w:footnoteRef/>
      </w:r>
      <w:r>
        <w:t xml:space="preserve"> </w:t>
      </w:r>
      <w:r>
        <w:rPr>
          <w:lang w:val="en-US"/>
        </w:rPr>
        <w:t xml:space="preserve">NABERS website, </w:t>
      </w:r>
      <w:hyperlink r:id="rId10" w:history="1">
        <w:r>
          <w:rPr>
            <w:rStyle w:val="Hyperlink"/>
          </w:rPr>
          <w:t>https://www.nabers.gov.au/ratings/spaces-we-rate/office-buildings</w:t>
        </w:r>
      </w:hyperlink>
      <w:r>
        <w:t>, accessed 8 May 2019.</w:t>
      </w:r>
    </w:p>
  </w:footnote>
  <w:footnote w:id="36">
    <w:p w14:paraId="54FA1C1D" w14:textId="77777777" w:rsidR="003E0782" w:rsidRPr="004B4B4A" w:rsidRDefault="003E0782" w:rsidP="00ED0E85">
      <w:pPr>
        <w:pStyle w:val="FootnoteText"/>
        <w:rPr>
          <w:lang w:val="en-US"/>
        </w:rPr>
      </w:pPr>
      <w:r>
        <w:rPr>
          <w:rStyle w:val="FootnoteReference"/>
        </w:rPr>
        <w:footnoteRef/>
      </w:r>
      <w:r>
        <w:t xml:space="preserve"> </w:t>
      </w:r>
      <w:r>
        <w:rPr>
          <w:lang w:val="en-US"/>
        </w:rPr>
        <w:t xml:space="preserve">NABERS website, </w:t>
      </w:r>
      <w:hyperlink r:id="rId11" w:history="1">
        <w:r>
          <w:rPr>
            <w:rStyle w:val="Hyperlink"/>
          </w:rPr>
          <w:t>https://www.nabers.gov.au/about/what-nabers/how-it-works-rating-and-certification</w:t>
        </w:r>
      </w:hyperlink>
      <w:r>
        <w:t>, accessed 9 May 2019.</w:t>
      </w:r>
    </w:p>
  </w:footnote>
  <w:footnote w:id="37">
    <w:p w14:paraId="1A156412" w14:textId="77777777" w:rsidR="003E0782" w:rsidRDefault="003E0782" w:rsidP="00ED0E85">
      <w:pPr>
        <w:pStyle w:val="FootnoteText"/>
      </w:pPr>
      <w:r>
        <w:rPr>
          <w:rStyle w:val="FootnoteReference"/>
        </w:rPr>
        <w:footnoteRef/>
      </w:r>
      <w:r>
        <w:t xml:space="preserve"> </w:t>
      </w:r>
      <w:r>
        <w:tab/>
        <w:t>We note that some stakeholders are concerned that the with greenpower measures is limited and does not properly incorporate their purchase of renewable energy as currently structured.</w:t>
      </w:r>
    </w:p>
  </w:footnote>
  <w:footnote w:id="38">
    <w:p w14:paraId="41ACD0B8" w14:textId="77777777" w:rsidR="003E0782" w:rsidRPr="00BA6150" w:rsidRDefault="003E0782" w:rsidP="00ED0E85">
      <w:pPr>
        <w:pStyle w:val="FootnoteText"/>
      </w:pPr>
      <w:r>
        <w:rPr>
          <w:rStyle w:val="FootnoteReference"/>
        </w:rPr>
        <w:footnoteRef/>
      </w:r>
      <w:r>
        <w:t xml:space="preserve"> </w:t>
      </w:r>
      <w:r>
        <w:tab/>
        <w:t xml:space="preserve">This is consistent with PMC’s principles-based regulation. See PMC (2014), </w:t>
      </w:r>
      <w:r>
        <w:rPr>
          <w:i/>
          <w:iCs/>
        </w:rPr>
        <w:t xml:space="preserve">The Australian Government Guide to Regulation, </w:t>
      </w:r>
      <w:r>
        <w:t xml:space="preserve">p 28. </w:t>
      </w:r>
    </w:p>
  </w:footnote>
  <w:footnote w:id="39">
    <w:p w14:paraId="1DCFF5F1" w14:textId="77777777" w:rsidR="003E0782" w:rsidRPr="00F406FD" w:rsidRDefault="003E0782" w:rsidP="00ED0E85">
      <w:pPr>
        <w:pStyle w:val="FootnoteText"/>
        <w:rPr>
          <w:lang w:val="en-US"/>
        </w:rPr>
      </w:pPr>
      <w:r>
        <w:rPr>
          <w:rStyle w:val="FootnoteReference"/>
        </w:rPr>
        <w:footnoteRef/>
      </w:r>
      <w:r>
        <w:t xml:space="preserve"> </w:t>
      </w:r>
      <w:r>
        <w:rPr>
          <w:lang w:val="en-US"/>
        </w:rPr>
        <w:t xml:space="preserve">NABERS website, </w:t>
      </w:r>
      <w:hyperlink r:id="rId12" w:history="1">
        <w:r>
          <w:rPr>
            <w:rStyle w:val="Hyperlink"/>
          </w:rPr>
          <w:t>https://www.nabers.gov.au/pricing</w:t>
        </w:r>
      </w:hyperlink>
      <w:r>
        <w:t>, accessed 8 August 2019.</w:t>
      </w:r>
    </w:p>
  </w:footnote>
  <w:footnote w:id="40">
    <w:p w14:paraId="4E1AE2E3" w14:textId="77777777" w:rsidR="003E0782" w:rsidRDefault="003E0782" w:rsidP="00ED0E85">
      <w:pPr>
        <w:pStyle w:val="FootnoteText"/>
      </w:pPr>
      <w:r>
        <w:rPr>
          <w:rStyle w:val="FootnoteReference"/>
        </w:rPr>
        <w:footnoteRef/>
      </w:r>
      <w:r>
        <w:t xml:space="preserve"> </w:t>
      </w:r>
      <w:r>
        <w:tab/>
      </w:r>
      <w:r w:rsidRPr="00F574FB">
        <w:t>IBISWorld Industry Report OD5255</w:t>
      </w:r>
      <w:r>
        <w:t xml:space="preserve">, </w:t>
      </w:r>
      <w:r w:rsidRPr="00F574FB">
        <w:t>Shopping Centre Operators</w:t>
      </w:r>
      <w:r>
        <w:t xml:space="preserve"> </w:t>
      </w:r>
      <w:r w:rsidRPr="00F574FB">
        <w:t>in Australia</w:t>
      </w:r>
      <w:r>
        <w:t xml:space="preserve">, </w:t>
      </w:r>
      <w:r w:rsidRPr="00F574FB">
        <w:t>August 2016</w:t>
      </w:r>
      <w:r>
        <w:t>.</w:t>
      </w:r>
    </w:p>
  </w:footnote>
  <w:footnote w:id="41">
    <w:p w14:paraId="787EEB1D" w14:textId="77777777" w:rsidR="003E0782" w:rsidRDefault="003E0782" w:rsidP="00ED0E85">
      <w:pPr>
        <w:pStyle w:val="FootnoteText"/>
      </w:pPr>
      <w:r>
        <w:rPr>
          <w:rStyle w:val="FootnoteReference"/>
        </w:rPr>
        <w:footnoteRef/>
      </w:r>
      <w:r>
        <w:t xml:space="preserve"> </w:t>
      </w:r>
      <w:r>
        <w:tab/>
      </w:r>
      <w:r w:rsidRPr="00F574FB">
        <w:t>IBISWorld Industry Report OD5255</w:t>
      </w:r>
      <w:r>
        <w:t xml:space="preserve">, </w:t>
      </w:r>
      <w:r w:rsidRPr="00F574FB">
        <w:t>Shopping Centre Operators</w:t>
      </w:r>
      <w:r>
        <w:t xml:space="preserve"> </w:t>
      </w:r>
      <w:r w:rsidRPr="00F574FB">
        <w:t>in Australia</w:t>
      </w:r>
      <w:r>
        <w:t xml:space="preserve">, </w:t>
      </w:r>
      <w:r w:rsidRPr="00F574FB">
        <w:t>August 2016</w:t>
      </w:r>
      <w:r>
        <w:t>.</w:t>
      </w:r>
    </w:p>
  </w:footnote>
  <w:footnote w:id="42">
    <w:p w14:paraId="380EB0C5" w14:textId="77777777" w:rsidR="003E0782" w:rsidRDefault="003E0782" w:rsidP="00ED0E85">
      <w:pPr>
        <w:pStyle w:val="FootnoteText"/>
      </w:pPr>
      <w:r>
        <w:rPr>
          <w:rStyle w:val="FootnoteReference"/>
        </w:rPr>
        <w:footnoteRef/>
      </w:r>
      <w:r>
        <w:t xml:space="preserve"> </w:t>
      </w:r>
      <w:r>
        <w:tab/>
        <w:t xml:space="preserve">Kelly, A. (2016), </w:t>
      </w:r>
      <w:r w:rsidRPr="00F574FB">
        <w:t>IBISWorld Industry Report OD5255</w:t>
      </w:r>
      <w:r>
        <w:t xml:space="preserve">, </w:t>
      </w:r>
      <w:r w:rsidRPr="00F574FB">
        <w:t>Shopping Centre Operators</w:t>
      </w:r>
      <w:r>
        <w:t xml:space="preserve"> </w:t>
      </w:r>
      <w:r w:rsidRPr="00F574FB">
        <w:t>in Australia</w:t>
      </w:r>
      <w:r>
        <w:t>.</w:t>
      </w:r>
    </w:p>
  </w:footnote>
  <w:footnote w:id="43">
    <w:p w14:paraId="26A04B83" w14:textId="77777777" w:rsidR="003E0782" w:rsidRDefault="003E0782" w:rsidP="00ED0E85">
      <w:pPr>
        <w:pStyle w:val="FootnoteText"/>
      </w:pPr>
      <w:r>
        <w:rPr>
          <w:rStyle w:val="FootnoteReference"/>
        </w:rPr>
        <w:footnoteRef/>
      </w:r>
      <w:r>
        <w:t xml:space="preserve"> </w:t>
      </w:r>
      <w:r>
        <w:tab/>
        <w:t>CIE calculations based on Scentre Annual Report 2018.</w:t>
      </w:r>
    </w:p>
  </w:footnote>
  <w:footnote w:id="44">
    <w:p w14:paraId="6E7DA12D" w14:textId="77777777" w:rsidR="003E0782" w:rsidRDefault="003E0782" w:rsidP="00ED0E85">
      <w:pPr>
        <w:pStyle w:val="FootnoteText"/>
      </w:pPr>
      <w:r>
        <w:rPr>
          <w:rStyle w:val="FootnoteReference"/>
        </w:rPr>
        <w:footnoteRef/>
      </w:r>
      <w:r>
        <w:t xml:space="preserve"> </w:t>
      </w:r>
      <w:r>
        <w:tab/>
        <w:t>Scentre Annual Report 2018, p. 6.</w:t>
      </w:r>
    </w:p>
  </w:footnote>
  <w:footnote w:id="45">
    <w:p w14:paraId="649D2B37" w14:textId="77777777" w:rsidR="003E0782" w:rsidRPr="00810C5B" w:rsidRDefault="003E0782" w:rsidP="00ED0E85">
      <w:pPr>
        <w:pStyle w:val="Default"/>
        <w:ind w:left="284" w:hanging="284"/>
        <w:rPr>
          <w:sz w:val="19"/>
          <w:szCs w:val="19"/>
        </w:rPr>
      </w:pPr>
      <w:r>
        <w:rPr>
          <w:rStyle w:val="FootnoteReference"/>
        </w:rPr>
        <w:footnoteRef/>
      </w:r>
      <w:r>
        <w:t xml:space="preserve"> </w:t>
      </w:r>
      <w:r>
        <w:tab/>
      </w:r>
      <w:r w:rsidRPr="008F60FC">
        <w:rPr>
          <w:rFonts w:asciiTheme="minorHAnsi" w:eastAsia="Times New Roman" w:hAnsiTheme="minorHAnsi" w:cs="Times New Roman"/>
          <w:i/>
          <w:color w:val="auto"/>
          <w:sz w:val="19"/>
          <w:szCs w:val="18"/>
        </w:rPr>
        <w:t>Retail Shop Leases Act 1994</w:t>
      </w:r>
      <w:r w:rsidRPr="008F60FC">
        <w:rPr>
          <w:rFonts w:asciiTheme="minorHAnsi" w:eastAsia="Times New Roman" w:hAnsiTheme="minorHAnsi" w:cs="Times New Roman"/>
          <w:color w:val="auto"/>
          <w:sz w:val="19"/>
          <w:szCs w:val="18"/>
        </w:rPr>
        <w:t xml:space="preserve"> (Queensland); </w:t>
      </w:r>
      <w:r w:rsidRPr="008F60FC">
        <w:rPr>
          <w:rFonts w:asciiTheme="minorHAnsi" w:eastAsia="Times New Roman" w:hAnsiTheme="minorHAnsi" w:cs="Times New Roman"/>
          <w:i/>
          <w:color w:val="auto"/>
          <w:sz w:val="19"/>
          <w:szCs w:val="18"/>
        </w:rPr>
        <w:t>Retail Leases Act 1994</w:t>
      </w:r>
      <w:r w:rsidRPr="008F60FC">
        <w:rPr>
          <w:rFonts w:asciiTheme="minorHAnsi" w:eastAsia="Times New Roman" w:hAnsiTheme="minorHAnsi" w:cs="Times New Roman"/>
          <w:color w:val="auto"/>
          <w:sz w:val="19"/>
          <w:szCs w:val="18"/>
        </w:rPr>
        <w:t xml:space="preserve"> (NSW) ; </w:t>
      </w:r>
      <w:r w:rsidRPr="008F60FC">
        <w:rPr>
          <w:rFonts w:asciiTheme="minorHAnsi" w:eastAsia="Times New Roman" w:hAnsiTheme="minorHAnsi" w:cs="Times New Roman"/>
          <w:i/>
          <w:color w:val="auto"/>
          <w:sz w:val="19"/>
          <w:szCs w:val="18"/>
        </w:rPr>
        <w:t>Leases (Commercial and Retail) Act 2001</w:t>
      </w:r>
      <w:r w:rsidRPr="008F60FC">
        <w:rPr>
          <w:rFonts w:asciiTheme="minorHAnsi" w:eastAsia="Times New Roman" w:hAnsiTheme="minorHAnsi" w:cs="Times New Roman"/>
          <w:color w:val="auto"/>
          <w:sz w:val="19"/>
          <w:szCs w:val="18"/>
        </w:rPr>
        <w:t xml:space="preserve"> (Australian Capital Territory); </w:t>
      </w:r>
      <w:r w:rsidRPr="008F60FC">
        <w:rPr>
          <w:rFonts w:asciiTheme="minorHAnsi" w:eastAsia="Times New Roman" w:hAnsiTheme="minorHAnsi" w:cs="Times New Roman"/>
          <w:i/>
          <w:color w:val="auto"/>
          <w:sz w:val="19"/>
          <w:szCs w:val="18"/>
        </w:rPr>
        <w:t>Retail Leases Act 2003</w:t>
      </w:r>
      <w:r w:rsidRPr="008F60FC">
        <w:rPr>
          <w:rFonts w:asciiTheme="minorHAnsi" w:eastAsia="Times New Roman" w:hAnsiTheme="minorHAnsi" w:cs="Times New Roman"/>
          <w:color w:val="auto"/>
          <w:sz w:val="19"/>
          <w:szCs w:val="18"/>
        </w:rPr>
        <w:t xml:space="preserve"> (Victoria</w:t>
      </w:r>
      <w:r w:rsidRPr="008F60FC">
        <w:rPr>
          <w:rFonts w:asciiTheme="minorHAnsi" w:eastAsia="Times New Roman" w:hAnsiTheme="minorHAnsi" w:cs="Times New Roman"/>
          <w:i/>
          <w:color w:val="auto"/>
          <w:sz w:val="19"/>
          <w:szCs w:val="18"/>
        </w:rPr>
        <w:t>); Fair Trading (Code of Practice for Retail Tenancies) Regulations 1998</w:t>
      </w:r>
      <w:r w:rsidRPr="008F60FC">
        <w:rPr>
          <w:rFonts w:asciiTheme="minorHAnsi" w:eastAsia="Times New Roman" w:hAnsiTheme="minorHAnsi" w:cs="Times New Roman"/>
          <w:color w:val="auto"/>
          <w:sz w:val="19"/>
          <w:szCs w:val="18"/>
        </w:rPr>
        <w:t xml:space="preserve"> (Tasmania); </w:t>
      </w:r>
      <w:r w:rsidRPr="008F60FC">
        <w:rPr>
          <w:rFonts w:asciiTheme="minorHAnsi" w:eastAsia="Times New Roman" w:hAnsiTheme="minorHAnsi" w:cs="Times New Roman"/>
          <w:i/>
          <w:color w:val="auto"/>
          <w:sz w:val="19"/>
          <w:szCs w:val="18"/>
        </w:rPr>
        <w:t>Retail and Commercial Leases Act 1995</w:t>
      </w:r>
      <w:r w:rsidRPr="008F60FC">
        <w:rPr>
          <w:rFonts w:asciiTheme="minorHAnsi" w:eastAsia="Times New Roman" w:hAnsiTheme="minorHAnsi" w:cs="Times New Roman"/>
          <w:color w:val="auto"/>
          <w:sz w:val="19"/>
          <w:szCs w:val="18"/>
        </w:rPr>
        <w:t xml:space="preserve"> (South Australia); </w:t>
      </w:r>
      <w:r w:rsidRPr="008F60FC">
        <w:rPr>
          <w:rFonts w:asciiTheme="minorHAnsi" w:eastAsia="Times New Roman" w:hAnsiTheme="minorHAnsi" w:cs="Times New Roman"/>
          <w:i/>
          <w:color w:val="auto"/>
          <w:sz w:val="19"/>
          <w:szCs w:val="18"/>
        </w:rPr>
        <w:t>Commercial Tenancy (Retail Shops) Agreements Act 1985</w:t>
      </w:r>
      <w:r w:rsidRPr="008F60FC">
        <w:rPr>
          <w:rFonts w:asciiTheme="minorHAnsi" w:eastAsia="Times New Roman" w:hAnsiTheme="minorHAnsi" w:cs="Times New Roman"/>
          <w:color w:val="auto"/>
          <w:sz w:val="19"/>
          <w:szCs w:val="18"/>
        </w:rPr>
        <w:t xml:space="preserve"> (Western Australia) ; and </w:t>
      </w:r>
      <w:r w:rsidRPr="008F60FC">
        <w:rPr>
          <w:rFonts w:asciiTheme="minorHAnsi" w:eastAsia="Times New Roman" w:hAnsiTheme="minorHAnsi" w:cs="Times New Roman"/>
          <w:i/>
          <w:color w:val="auto"/>
          <w:sz w:val="19"/>
          <w:szCs w:val="18"/>
        </w:rPr>
        <w:t>Business Tenancies (Fair Dealings) Act</w:t>
      </w:r>
      <w:r w:rsidRPr="008F60FC">
        <w:rPr>
          <w:rFonts w:asciiTheme="minorHAnsi" w:eastAsia="Times New Roman" w:hAnsiTheme="minorHAnsi" w:cs="Times New Roman"/>
          <w:color w:val="auto"/>
          <w:sz w:val="19"/>
          <w:szCs w:val="18"/>
        </w:rPr>
        <w:t xml:space="preserve"> (Northern Territory).</w:t>
      </w:r>
      <w:r>
        <w:rPr>
          <w:sz w:val="19"/>
          <w:szCs w:val="19"/>
        </w:rPr>
        <w:t xml:space="preserve"> </w:t>
      </w:r>
    </w:p>
  </w:footnote>
  <w:footnote w:id="46">
    <w:p w14:paraId="7C8FBE29" w14:textId="77777777" w:rsidR="003E0782" w:rsidRDefault="003E0782" w:rsidP="00ED0E85">
      <w:pPr>
        <w:pStyle w:val="FootnoteText"/>
      </w:pPr>
      <w:r>
        <w:rPr>
          <w:rStyle w:val="FootnoteReference"/>
        </w:rPr>
        <w:footnoteRef/>
      </w:r>
      <w:r>
        <w:t xml:space="preserve"> </w:t>
      </w:r>
      <w:r>
        <w:tab/>
        <w:t>NABERS 2018, Annual Report 2017/18, p. 12.</w:t>
      </w:r>
    </w:p>
  </w:footnote>
  <w:footnote w:id="47">
    <w:p w14:paraId="317F1B4A" w14:textId="77777777" w:rsidR="003E0782" w:rsidRDefault="003E0782" w:rsidP="00ED0E85">
      <w:pPr>
        <w:pStyle w:val="FootnoteText"/>
      </w:pPr>
      <w:r>
        <w:rPr>
          <w:rStyle w:val="FootnoteReference"/>
        </w:rPr>
        <w:footnoteRef/>
      </w:r>
      <w:r>
        <w:t xml:space="preserve"> </w:t>
      </w:r>
      <w:r>
        <w:tab/>
        <w:t>Note that Mirvac reports contain different estimates for the 2013 starting point. We use the reductions as stated by Mirvac in its sustainability reporting.</w:t>
      </w:r>
    </w:p>
  </w:footnote>
  <w:footnote w:id="48">
    <w:p w14:paraId="7446AB0A" w14:textId="77777777" w:rsidR="003E0782" w:rsidRDefault="003E0782" w:rsidP="00ED0E85">
      <w:pPr>
        <w:pStyle w:val="FootnoteText"/>
      </w:pPr>
      <w:r>
        <w:rPr>
          <w:rStyle w:val="FootnoteReference"/>
        </w:rPr>
        <w:footnoteRef/>
      </w:r>
      <w:r>
        <w:t xml:space="preserve"> </w:t>
      </w:r>
      <w:r>
        <w:tab/>
        <w:t xml:space="preserve">Where revenue includes all costs (such as rent, purchases and wages), as well as profit and depreciation. </w:t>
      </w:r>
    </w:p>
  </w:footnote>
  <w:footnote w:id="49">
    <w:p w14:paraId="561C9192" w14:textId="77777777" w:rsidR="003E0782" w:rsidRDefault="003E0782" w:rsidP="00ED0E85">
      <w:pPr>
        <w:pStyle w:val="FootnoteText"/>
      </w:pPr>
      <w:r>
        <w:rPr>
          <w:rStyle w:val="FootnoteReference"/>
        </w:rPr>
        <w:footnoteRef/>
      </w:r>
      <w:r>
        <w:t xml:space="preserve"> </w:t>
      </w:r>
      <w:r>
        <w:tab/>
        <w:t>This uses a weighted average price across Australian states and territories for 2018 of 9.79 cents per kwh of electricity and 2.34 cents per MJ for gas.</w:t>
      </w:r>
    </w:p>
  </w:footnote>
  <w:footnote w:id="50">
    <w:p w14:paraId="21098075" w14:textId="77777777" w:rsidR="003E0782" w:rsidRPr="003D1700" w:rsidRDefault="003E0782" w:rsidP="00ED0E85">
      <w:pPr>
        <w:pStyle w:val="FootnoteText"/>
      </w:pPr>
      <w:r>
        <w:rPr>
          <w:rStyle w:val="FootnoteReference"/>
        </w:rPr>
        <w:footnoteRef/>
      </w:r>
      <w:r>
        <w:t xml:space="preserve"> </w:t>
      </w:r>
      <w:r>
        <w:tab/>
        <w:t xml:space="preserve">Australian Trade and Investment Commission (website), </w:t>
      </w:r>
      <w:r>
        <w:rPr>
          <w:i/>
          <w:iCs/>
        </w:rPr>
        <w:t xml:space="preserve">Hotel Industry Trends, </w:t>
      </w:r>
      <w:r>
        <w:t xml:space="preserve">available at: </w:t>
      </w:r>
      <w:hyperlink r:id="rId13" w:history="1">
        <w:r>
          <w:rPr>
            <w:rStyle w:val="Hyperlink"/>
          </w:rPr>
          <w:t>http://www.tourisminvestment.com.au/en/research-insights/hotel-performance.html</w:t>
        </w:r>
      </w:hyperlink>
      <w:r>
        <w:t xml:space="preserve">, accessed 5 August 2019.  </w:t>
      </w:r>
    </w:p>
  </w:footnote>
  <w:footnote w:id="51">
    <w:p w14:paraId="0491C9FF" w14:textId="77777777" w:rsidR="003E0782" w:rsidRDefault="003E0782" w:rsidP="00ED0E85">
      <w:pPr>
        <w:pStyle w:val="FootnoteText"/>
      </w:pPr>
      <w:r>
        <w:rPr>
          <w:rStyle w:val="FootnoteReference"/>
        </w:rPr>
        <w:footnoteRef/>
      </w:r>
      <w:r>
        <w:t xml:space="preserve"> </w:t>
      </w:r>
      <w:r>
        <w:tab/>
        <w:t xml:space="preserve">ABS (2016), </w:t>
      </w:r>
      <w:r>
        <w:rPr>
          <w:i/>
          <w:iCs/>
        </w:rPr>
        <w:t xml:space="preserve">Tourist Accommodation, Australia 2015-16, </w:t>
      </w:r>
      <w:r>
        <w:t>Cat. 8635.0, Data Cube: Tourist Accommodation – Australia; accessed 31 July 2019. At the time of access, this was the most up to date data available.</w:t>
      </w:r>
    </w:p>
  </w:footnote>
  <w:footnote w:id="52">
    <w:p w14:paraId="67FEE5AB" w14:textId="77777777" w:rsidR="003E0782" w:rsidRPr="0000788F" w:rsidRDefault="003E0782" w:rsidP="00ED0E85">
      <w:pPr>
        <w:pStyle w:val="FootnoteText"/>
      </w:pPr>
      <w:r>
        <w:rPr>
          <w:rStyle w:val="FootnoteReference"/>
        </w:rPr>
        <w:footnoteRef/>
      </w:r>
      <w:r>
        <w:t xml:space="preserve"> </w:t>
      </w:r>
      <w:r>
        <w:tab/>
        <w:t xml:space="preserve">NABERS 2015, </w:t>
      </w:r>
      <w:r>
        <w:rPr>
          <w:i/>
        </w:rPr>
        <w:t>NABERS energy and water for hotels: rules for collecting and using data,</w:t>
      </w:r>
      <w:r>
        <w:t xml:space="preserve"> Version 3.2, August.</w:t>
      </w:r>
    </w:p>
  </w:footnote>
  <w:footnote w:id="53">
    <w:p w14:paraId="38BDCD81" w14:textId="77777777" w:rsidR="003E0782" w:rsidRPr="003D1700" w:rsidRDefault="003E0782" w:rsidP="00ED0E85">
      <w:pPr>
        <w:pStyle w:val="FootnoteText"/>
      </w:pPr>
      <w:r>
        <w:rPr>
          <w:rStyle w:val="FootnoteReference"/>
        </w:rPr>
        <w:footnoteRef/>
      </w:r>
      <w:r>
        <w:t xml:space="preserve"> </w:t>
      </w:r>
      <w:r>
        <w:tab/>
        <w:t xml:space="preserve">Energy Action, EnergyConsult (2018), </w:t>
      </w:r>
      <w:r>
        <w:rPr>
          <w:i/>
          <w:iCs/>
        </w:rPr>
        <w:t xml:space="preserve">CBD Expansion: Feasibility Study, </w:t>
      </w:r>
      <w:r>
        <w:t xml:space="preserve">Prepared for Department of the Environment and Energy, p 2. </w:t>
      </w:r>
    </w:p>
  </w:footnote>
  <w:footnote w:id="54">
    <w:p w14:paraId="6481956B" w14:textId="77777777" w:rsidR="003E0782" w:rsidRDefault="003E0782" w:rsidP="00ED0E85">
      <w:pPr>
        <w:pStyle w:val="FootnoteText"/>
      </w:pPr>
      <w:r>
        <w:rPr>
          <w:rStyle w:val="FootnoteReference"/>
        </w:rPr>
        <w:footnoteRef/>
      </w:r>
      <w:r>
        <w:t xml:space="preserve"> </w:t>
      </w:r>
      <w:r>
        <w:tab/>
        <w:t xml:space="preserve">Cloutman, N. (2017), IBIS World Industry Report, </w:t>
      </w:r>
      <w:r>
        <w:rPr>
          <w:i/>
          <w:iCs/>
        </w:rPr>
        <w:t xml:space="preserve">Hotels and Resorts in Australia, </w:t>
      </w:r>
      <w:r>
        <w:t xml:space="preserve">H4401, p 25. </w:t>
      </w:r>
    </w:p>
  </w:footnote>
  <w:footnote w:id="55">
    <w:p w14:paraId="5A4E159E" w14:textId="77777777" w:rsidR="003E0782" w:rsidRDefault="003E0782" w:rsidP="00ED0E85">
      <w:pPr>
        <w:pStyle w:val="FootnoteText"/>
      </w:pPr>
      <w:r>
        <w:rPr>
          <w:rStyle w:val="FootnoteReference"/>
        </w:rPr>
        <w:footnoteRef/>
      </w:r>
      <w:r>
        <w:t xml:space="preserve">  Cloutman, N. (2017), IBIS World Industry Report, </w:t>
      </w:r>
      <w:r>
        <w:rPr>
          <w:i/>
          <w:iCs/>
        </w:rPr>
        <w:t xml:space="preserve">Hotels and Resorts in Australia, </w:t>
      </w:r>
      <w:r>
        <w:t>H4401, p 19.</w:t>
      </w:r>
    </w:p>
  </w:footnote>
  <w:footnote w:id="56">
    <w:p w14:paraId="00A02FE2" w14:textId="77777777" w:rsidR="003E0782" w:rsidRDefault="003E0782" w:rsidP="00ED0E85">
      <w:pPr>
        <w:pStyle w:val="FootnoteText"/>
      </w:pPr>
      <w:r>
        <w:rPr>
          <w:rStyle w:val="FootnoteReference"/>
        </w:rPr>
        <w:footnoteRef/>
      </w:r>
      <w:r>
        <w:t xml:space="preserve"> </w:t>
      </w:r>
      <w:r>
        <w:tab/>
        <w:t xml:space="preserve">Ecotourism (website), </w:t>
      </w:r>
      <w:r>
        <w:rPr>
          <w:i/>
          <w:iCs/>
        </w:rPr>
        <w:t xml:space="preserve">Certification Programs, </w:t>
      </w:r>
      <w:r>
        <w:t xml:space="preserve">available at: </w:t>
      </w:r>
      <w:hyperlink r:id="rId14" w:history="1">
        <w:r w:rsidRPr="00B27C1D">
          <w:rPr>
            <w:rStyle w:val="Hyperlink"/>
          </w:rPr>
          <w:t>https://www.ecotourism.org.au/our-certification-programs/</w:t>
        </w:r>
      </w:hyperlink>
      <w:r>
        <w:t xml:space="preserve">, accessed 5 August 2019. </w:t>
      </w:r>
    </w:p>
  </w:footnote>
  <w:footnote w:id="57">
    <w:p w14:paraId="1C59B0A5" w14:textId="77777777" w:rsidR="003E0782" w:rsidRDefault="003E0782" w:rsidP="00ED0E85">
      <w:pPr>
        <w:pStyle w:val="FootnoteText"/>
      </w:pPr>
      <w:r>
        <w:rPr>
          <w:rStyle w:val="FootnoteReference"/>
        </w:rPr>
        <w:footnoteRef/>
      </w:r>
      <w:r>
        <w:t xml:space="preserve"> </w:t>
      </w:r>
      <w:r>
        <w:tab/>
        <w:t xml:space="preserve">Ecotourism (website), available at: </w:t>
      </w:r>
      <w:hyperlink r:id="rId15" w:anchor="mapContents" w:history="1">
        <w:r w:rsidRPr="00B27C1D">
          <w:rPr>
            <w:rStyle w:val="Hyperlink"/>
          </w:rPr>
          <w:t>https://www.ecotourism.org.au/eco-experiences/green-travel-guide/?sStates=NSW-VIC-QLD-TAS-SA-WA-NT-ACT&amp;sCertificationDetailPages=&amp;sExperienceTypes=15&amp;sSearchKey=#mapContents</w:t>
        </w:r>
      </w:hyperlink>
      <w:r>
        <w:t xml:space="preserve">, accessed 5 August 2019. </w:t>
      </w:r>
    </w:p>
  </w:footnote>
  <w:footnote w:id="58">
    <w:p w14:paraId="37DA5E9E" w14:textId="77777777" w:rsidR="003E0782" w:rsidRDefault="003E0782" w:rsidP="00ED0E85">
      <w:pPr>
        <w:pStyle w:val="FootnoteText"/>
      </w:pPr>
      <w:r>
        <w:rPr>
          <w:rStyle w:val="FootnoteReference"/>
        </w:rPr>
        <w:footnoteRef/>
      </w:r>
      <w:r>
        <w:t xml:space="preserve"> </w:t>
      </w:r>
      <w:r>
        <w:tab/>
        <w:t xml:space="preserve">Ecotourism (website), </w:t>
      </w:r>
      <w:r>
        <w:rPr>
          <w:i/>
          <w:iCs/>
        </w:rPr>
        <w:t xml:space="preserve">Climate Action Certification, </w:t>
      </w:r>
      <w:r>
        <w:t xml:space="preserve">available at: </w:t>
      </w:r>
      <w:hyperlink r:id="rId16" w:history="1">
        <w:r w:rsidRPr="00B27C1D">
          <w:rPr>
            <w:rStyle w:val="Hyperlink"/>
          </w:rPr>
          <w:t>https://www.ecotourism.org.au/our-certification-programs/eco-certification-3/</w:t>
        </w:r>
      </w:hyperlink>
      <w:r>
        <w:t xml:space="preserve">, accessed 5 August 2019.  </w:t>
      </w:r>
    </w:p>
  </w:footnote>
  <w:footnote w:id="59">
    <w:p w14:paraId="4F6CACF9" w14:textId="77777777" w:rsidR="003E0782" w:rsidRDefault="003E0782" w:rsidP="00ED0E85">
      <w:pPr>
        <w:pStyle w:val="FootnoteText"/>
      </w:pPr>
      <w:r>
        <w:rPr>
          <w:rStyle w:val="FootnoteReference"/>
        </w:rPr>
        <w:footnoteRef/>
      </w:r>
      <w:r>
        <w:t xml:space="preserve"> </w:t>
      </w:r>
      <w:r>
        <w:tab/>
        <w:t xml:space="preserve">The Green List (website), </w:t>
      </w:r>
      <w:r>
        <w:rPr>
          <w:i/>
          <w:iCs/>
        </w:rPr>
        <w:t xml:space="preserve">A cheat sheet to green ratings tools, </w:t>
      </w:r>
      <w:r>
        <w:t xml:space="preserve">available at: </w:t>
      </w:r>
      <w:hyperlink r:id="rId17" w:history="1">
        <w:r w:rsidRPr="00B27C1D">
          <w:rPr>
            <w:rStyle w:val="Hyperlink"/>
          </w:rPr>
          <w:t>https://thegreenlist.com.au/listing/a-cheat-sheet-to-green-rating-tools/</w:t>
        </w:r>
      </w:hyperlink>
      <w:r>
        <w:t xml:space="preserve">, accessed 2 August 2019. </w:t>
      </w:r>
    </w:p>
  </w:footnote>
  <w:footnote w:id="60">
    <w:p w14:paraId="1734BF40" w14:textId="77777777" w:rsidR="003E0782" w:rsidRDefault="003E0782" w:rsidP="00ED0E85">
      <w:pPr>
        <w:pStyle w:val="FootnoteText"/>
      </w:pPr>
      <w:r>
        <w:rPr>
          <w:rStyle w:val="FootnoteReference"/>
        </w:rPr>
        <w:footnoteRef/>
      </w:r>
      <w:r>
        <w:t xml:space="preserve"> </w:t>
      </w:r>
      <w:r>
        <w:tab/>
        <w:t xml:space="preserve">Green Building Council of Australia (2013), </w:t>
      </w:r>
      <w:r w:rsidRPr="00AE5DE9">
        <w:rPr>
          <w:i/>
          <w:iCs/>
        </w:rPr>
        <w:t>The Value of Green Star - A decade of environmental benefits</w:t>
      </w:r>
      <w:r>
        <w:t xml:space="preserve">, available at:  </w:t>
      </w:r>
      <w:r>
        <w:tab/>
      </w:r>
      <w:hyperlink r:id="rId18" w:history="1">
        <w:r>
          <w:rPr>
            <w:rStyle w:val="Hyperlink"/>
          </w:rPr>
          <w:t>https://www.gbca.org.au/uploads/194/34754/The_Value_of_Green_Star_A_Decade_of_Environmental_Benefits.pdf</w:t>
        </w:r>
      </w:hyperlink>
      <w:r>
        <w:t xml:space="preserve">, p 3. </w:t>
      </w:r>
    </w:p>
  </w:footnote>
  <w:footnote w:id="61">
    <w:p w14:paraId="5D99B837" w14:textId="77777777" w:rsidR="003E0782" w:rsidRDefault="003E0782" w:rsidP="00ED0E85">
      <w:pPr>
        <w:pStyle w:val="FootnoteText"/>
      </w:pPr>
      <w:r>
        <w:rPr>
          <w:rStyle w:val="FootnoteReference"/>
        </w:rPr>
        <w:footnoteRef/>
      </w:r>
      <w:r>
        <w:t xml:space="preserve"> </w:t>
      </w:r>
      <w:r>
        <w:tab/>
        <w:t xml:space="preserve">EarthCheck (website), </w:t>
      </w:r>
      <w:r>
        <w:rPr>
          <w:i/>
          <w:iCs/>
        </w:rPr>
        <w:t xml:space="preserve">EarthCheck Certified, </w:t>
      </w:r>
      <w:r>
        <w:t xml:space="preserve">available at: </w:t>
      </w:r>
      <w:hyperlink r:id="rId19" w:history="1">
        <w:r w:rsidRPr="00B27C1D">
          <w:rPr>
            <w:rStyle w:val="Hyperlink"/>
          </w:rPr>
          <w:t>https://earthcheck.org/products-services/certification/benchmarking-and-certification/</w:t>
        </w:r>
      </w:hyperlink>
      <w:r>
        <w:t xml:space="preserve">, accessed 2 August 2019. </w:t>
      </w:r>
    </w:p>
  </w:footnote>
  <w:footnote w:id="62">
    <w:p w14:paraId="6D3CF822" w14:textId="77777777" w:rsidR="003E0782" w:rsidRDefault="003E0782" w:rsidP="00ED0E85">
      <w:pPr>
        <w:pStyle w:val="FootnoteText"/>
      </w:pPr>
      <w:r>
        <w:rPr>
          <w:rStyle w:val="FootnoteReference"/>
        </w:rPr>
        <w:footnoteRef/>
      </w:r>
      <w:r>
        <w:t xml:space="preserve"> </w:t>
      </w:r>
      <w:r>
        <w:tab/>
        <w:t xml:space="preserve">International Tourism Partnership (2016), </w:t>
      </w:r>
      <w:r>
        <w:rPr>
          <w:i/>
          <w:iCs/>
        </w:rPr>
        <w:t xml:space="preserve">Know How Guide: Sustainable Hotel Certification Schemes, </w:t>
      </w:r>
      <w:r>
        <w:t xml:space="preserve">available at: </w:t>
      </w:r>
      <w:hyperlink r:id="rId20" w:history="1">
        <w:r w:rsidRPr="00B27C1D">
          <w:rPr>
            <w:rStyle w:val="Hyperlink"/>
          </w:rPr>
          <w:t>http://www.greenhotelier.org/wp-content/uploads/2016/09/Know-How-Guide-to-sustainable-hotel-certifications1.pdf</w:t>
        </w:r>
      </w:hyperlink>
      <w:r>
        <w:t xml:space="preserve">.  </w:t>
      </w:r>
    </w:p>
  </w:footnote>
  <w:footnote w:id="63">
    <w:p w14:paraId="57082E9B" w14:textId="77777777" w:rsidR="003E0782" w:rsidRDefault="003E0782" w:rsidP="00ED0E85">
      <w:pPr>
        <w:pStyle w:val="FootnoteText"/>
      </w:pPr>
      <w:r>
        <w:rPr>
          <w:rStyle w:val="FootnoteReference"/>
        </w:rPr>
        <w:footnoteRef/>
      </w:r>
      <w:r>
        <w:t xml:space="preserve"> </w:t>
      </w:r>
      <w:r>
        <w:tab/>
        <w:t xml:space="preserve">EarthCheck (2018), </w:t>
      </w:r>
      <w:r>
        <w:rPr>
          <w:i/>
          <w:iCs/>
        </w:rPr>
        <w:t xml:space="preserve">Company Standard, </w:t>
      </w:r>
      <w:r>
        <w:t xml:space="preserve">version 4.0, May 2018, available at: </w:t>
      </w:r>
      <w:hyperlink r:id="rId21" w:history="1">
        <w:r w:rsidRPr="00B27C1D">
          <w:rPr>
            <w:rStyle w:val="Hyperlink"/>
          </w:rPr>
          <w:t>https://earthcheck.org/media/49073/final-master-earthcheck-company-standard_version-4_may18.pdf</w:t>
        </w:r>
      </w:hyperlink>
      <w:r>
        <w:t xml:space="preserve">. </w:t>
      </w:r>
    </w:p>
  </w:footnote>
  <w:footnote w:id="64">
    <w:p w14:paraId="6FF0CCB1" w14:textId="77777777" w:rsidR="003E0782" w:rsidRPr="00627A41" w:rsidRDefault="003E0782" w:rsidP="00ED0E85">
      <w:pPr>
        <w:pStyle w:val="Reference"/>
        <w:rPr>
          <w:rFonts w:eastAsiaTheme="minorEastAsia"/>
        </w:rPr>
      </w:pPr>
      <w:r>
        <w:rPr>
          <w:rStyle w:val="FootnoteReference"/>
        </w:rPr>
        <w:footnoteRef/>
      </w:r>
      <w:r>
        <w:t xml:space="preserve"> </w:t>
      </w:r>
      <w:r>
        <w:tab/>
        <w:t xml:space="preserve">The SDGs for Energy include: </w:t>
      </w:r>
      <w:r w:rsidRPr="00627A41">
        <w:rPr>
          <w:rFonts w:eastAsiaTheme="minorEastAsia"/>
        </w:rPr>
        <w:t>7.1 By 2030, ensure universal access to affordable, reliable and modern energy services</w:t>
      </w:r>
      <w:r>
        <w:rPr>
          <w:rFonts w:eastAsiaTheme="minorEastAsia"/>
        </w:rPr>
        <w:t xml:space="preserve">; </w:t>
      </w:r>
      <w:r w:rsidRPr="00627A41">
        <w:rPr>
          <w:rFonts w:eastAsiaTheme="minorEastAsia"/>
        </w:rPr>
        <w:t>7.2 By 2030, increase substantially the share of renewable energy in the global energy mix</w:t>
      </w:r>
      <w:r>
        <w:rPr>
          <w:rFonts w:eastAsiaTheme="minorEastAsia"/>
        </w:rPr>
        <w:t xml:space="preserve">; </w:t>
      </w:r>
      <w:r w:rsidRPr="00627A41">
        <w:rPr>
          <w:rFonts w:eastAsiaTheme="minorEastAsia"/>
        </w:rPr>
        <w:t>7.3 By 2030, double the global rate of improvement in energy efficiency</w:t>
      </w:r>
      <w:r>
        <w:rPr>
          <w:rFonts w:eastAsiaTheme="minorEastAsia"/>
        </w:rPr>
        <w:t xml:space="preserve">; </w:t>
      </w:r>
      <w:r w:rsidRPr="00627A41">
        <w:rPr>
          <w:rFonts w:eastAsiaTheme="minorEastAsia"/>
        </w:rPr>
        <w:t>7.A By 2030, enhance international cooperation to facilitate access to clean energy research and technology, including renewable energy, energy efficiency and advanced and cleaner fossil-fuel technology, and promote investment in energy infrastructure and clean energy technology</w:t>
      </w:r>
      <w:r>
        <w:rPr>
          <w:rFonts w:eastAsiaTheme="minorEastAsia"/>
        </w:rPr>
        <w:t xml:space="preserve">; </w:t>
      </w:r>
      <w:r w:rsidRPr="00627A41">
        <w:rPr>
          <w:rFonts w:eastAsiaTheme="minorEastAsia"/>
        </w:rPr>
        <w:t>7.B By 2030, expand infrastructure and upgrade technology for supplying modern and sustainable energy services for all in developing countries, in particular least developed countries, small island developing States, and land-locked developing countries, in accordance with their respective programmes of support</w:t>
      </w:r>
      <w:r>
        <w:rPr>
          <w:rFonts w:eastAsiaTheme="minorEastAsia"/>
        </w:rPr>
        <w:t xml:space="preserve">. See UN website at: </w:t>
      </w:r>
      <w:hyperlink r:id="rId22" w:history="1">
        <w:r>
          <w:rPr>
            <w:rStyle w:val="Hyperlink"/>
          </w:rPr>
          <w:t>https://www.un.org/sustainabledevelopment/energy/</w:t>
        </w:r>
      </w:hyperlink>
    </w:p>
  </w:footnote>
  <w:footnote w:id="65">
    <w:p w14:paraId="03E9A115" w14:textId="77777777" w:rsidR="003E0782" w:rsidRDefault="003E0782" w:rsidP="00ED0E85">
      <w:pPr>
        <w:pStyle w:val="FootnoteText"/>
      </w:pPr>
      <w:r>
        <w:rPr>
          <w:rStyle w:val="FootnoteReference"/>
        </w:rPr>
        <w:footnoteRef/>
      </w:r>
      <w:r>
        <w:t xml:space="preserve"> </w:t>
      </w:r>
      <w:r>
        <w:tab/>
        <w:t xml:space="preserve">International Tourism Partnership (2016), </w:t>
      </w:r>
      <w:r>
        <w:rPr>
          <w:i/>
          <w:iCs/>
        </w:rPr>
        <w:t xml:space="preserve">Know How Guide: Sustainable Hotel Certification Schemes, </w:t>
      </w:r>
      <w:r>
        <w:t xml:space="preserve">available at: </w:t>
      </w:r>
      <w:hyperlink r:id="rId23" w:history="1">
        <w:r w:rsidRPr="00B27C1D">
          <w:rPr>
            <w:rStyle w:val="Hyperlink"/>
          </w:rPr>
          <w:t>http://www.greenhotelier.org/wp-content/uploads/2016/09/Know-How-Guide-to-sustainable-hotel-certifications1.pdf</w:t>
        </w:r>
      </w:hyperlink>
      <w:r>
        <w:t xml:space="preserve">. </w:t>
      </w:r>
    </w:p>
  </w:footnote>
  <w:footnote w:id="66">
    <w:p w14:paraId="34D562FE" w14:textId="77777777" w:rsidR="003E0782" w:rsidRDefault="003E0782" w:rsidP="00ED0E85">
      <w:pPr>
        <w:pStyle w:val="FootnoteText"/>
      </w:pPr>
      <w:r>
        <w:rPr>
          <w:rStyle w:val="FootnoteReference"/>
        </w:rPr>
        <w:footnoteRef/>
      </w:r>
      <w:r>
        <w:t xml:space="preserve"> </w:t>
      </w:r>
      <w:r>
        <w:tab/>
        <w:t xml:space="preserve">NABERS (2018), </w:t>
      </w:r>
      <w:r>
        <w:rPr>
          <w:i/>
          <w:iCs/>
        </w:rPr>
        <w:t xml:space="preserve">Nabers Annual Report 2017-18, </w:t>
      </w:r>
      <w:r>
        <w:t xml:space="preserve">version 1, available at: </w:t>
      </w:r>
      <w:hyperlink r:id="rId24" w:history="1">
        <w:r w:rsidRPr="00B27C1D">
          <w:rPr>
            <w:rStyle w:val="Hyperlink"/>
          </w:rPr>
          <w:t>https://nabers.info/annual-report/2017-2018/hotel%e2%80%93energy.html</w:t>
        </w:r>
      </w:hyperlink>
      <w:r>
        <w:t xml:space="preserve">.  </w:t>
      </w:r>
    </w:p>
  </w:footnote>
  <w:footnote w:id="67">
    <w:p w14:paraId="7943853C" w14:textId="77777777" w:rsidR="003E0782" w:rsidRDefault="003E0782" w:rsidP="00ED0E85">
      <w:pPr>
        <w:pStyle w:val="FootnoteText"/>
      </w:pPr>
      <w:r>
        <w:rPr>
          <w:rStyle w:val="FootnoteReference"/>
        </w:rPr>
        <w:footnoteRef/>
      </w:r>
      <w:r>
        <w:t xml:space="preserve"> </w:t>
      </w:r>
      <w:r>
        <w:tab/>
        <w:t xml:space="preserve">Green Key (website), </w:t>
      </w:r>
      <w:r>
        <w:rPr>
          <w:i/>
          <w:iCs/>
        </w:rPr>
        <w:t xml:space="preserve">Raising awareness and creating global changes, </w:t>
      </w:r>
      <w:r>
        <w:t xml:space="preserve">available at: </w:t>
      </w:r>
      <w:hyperlink r:id="rId25" w:history="1">
        <w:r w:rsidRPr="00B27C1D">
          <w:rPr>
            <w:rStyle w:val="Hyperlink"/>
          </w:rPr>
          <w:t>https://www.greenkey.global/our-programme</w:t>
        </w:r>
      </w:hyperlink>
      <w:r>
        <w:t xml:space="preserve">, accessed 2 August 2019. </w:t>
      </w:r>
    </w:p>
  </w:footnote>
  <w:footnote w:id="68">
    <w:p w14:paraId="2E5B3C45" w14:textId="77777777" w:rsidR="003E0782" w:rsidRDefault="003E0782" w:rsidP="00ED0E85">
      <w:pPr>
        <w:pStyle w:val="FootnoteText"/>
      </w:pPr>
      <w:r>
        <w:rPr>
          <w:rStyle w:val="FootnoteReference"/>
        </w:rPr>
        <w:footnoteRef/>
      </w:r>
      <w:r>
        <w:t xml:space="preserve"> </w:t>
      </w:r>
      <w:r>
        <w:tab/>
        <w:t xml:space="preserve">Green Key (website), </w:t>
      </w:r>
      <w:r>
        <w:rPr>
          <w:i/>
          <w:iCs/>
        </w:rPr>
        <w:t xml:space="preserve">Hotels and Hostels, </w:t>
      </w:r>
      <w:r w:rsidRPr="003522EE">
        <w:t xml:space="preserve">[criteria and explanatory notes], available at: </w:t>
      </w:r>
      <w:hyperlink r:id="rId26" w:history="1">
        <w:r w:rsidRPr="003522EE">
          <w:rPr>
            <w:rStyle w:val="Hyperlink"/>
          </w:rPr>
          <w:t>https://www.greenkey.global/criteria</w:t>
        </w:r>
      </w:hyperlink>
      <w:r>
        <w:t xml:space="preserve">. </w:t>
      </w:r>
    </w:p>
  </w:footnote>
  <w:footnote w:id="69">
    <w:p w14:paraId="7D23E513" w14:textId="77777777" w:rsidR="003E0782" w:rsidRDefault="003E0782" w:rsidP="00ED0E85">
      <w:pPr>
        <w:pStyle w:val="FootnoteText"/>
      </w:pPr>
      <w:r>
        <w:rPr>
          <w:rStyle w:val="FootnoteReference"/>
        </w:rPr>
        <w:footnoteRef/>
      </w:r>
      <w:r>
        <w:t xml:space="preserve"> </w:t>
      </w:r>
      <w:r>
        <w:tab/>
        <w:t xml:space="preserve">Green Globe (website), </w:t>
      </w:r>
      <w:r>
        <w:rPr>
          <w:i/>
          <w:iCs/>
        </w:rPr>
        <w:t xml:space="preserve">About Green Globe, </w:t>
      </w:r>
      <w:r>
        <w:t xml:space="preserve">available at: </w:t>
      </w:r>
      <w:hyperlink r:id="rId27" w:history="1">
        <w:r w:rsidRPr="00B27C1D">
          <w:rPr>
            <w:rStyle w:val="Hyperlink"/>
          </w:rPr>
          <w:t>https://greenglobe.com/about/</w:t>
        </w:r>
      </w:hyperlink>
      <w:r>
        <w:t>, accessed 2 August 2019</w:t>
      </w:r>
    </w:p>
  </w:footnote>
  <w:footnote w:id="70">
    <w:p w14:paraId="65180B14" w14:textId="77777777" w:rsidR="003E0782" w:rsidRDefault="003E0782" w:rsidP="00ED0E85">
      <w:pPr>
        <w:pStyle w:val="FootnoteText"/>
      </w:pPr>
      <w:r>
        <w:rPr>
          <w:rStyle w:val="FootnoteReference"/>
        </w:rPr>
        <w:footnoteRef/>
      </w:r>
      <w:r>
        <w:t xml:space="preserve"> </w:t>
      </w:r>
      <w:r>
        <w:tab/>
        <w:t xml:space="preserve">Green Globe (website), </w:t>
      </w:r>
      <w:r>
        <w:rPr>
          <w:i/>
          <w:iCs/>
        </w:rPr>
        <w:t xml:space="preserve">About Green Globe, </w:t>
      </w:r>
      <w:r>
        <w:t xml:space="preserve">available at: </w:t>
      </w:r>
      <w:hyperlink r:id="rId28" w:history="1">
        <w:r w:rsidRPr="00B27C1D">
          <w:rPr>
            <w:rStyle w:val="Hyperlink"/>
          </w:rPr>
          <w:t>https://greenglobe.com/about/</w:t>
        </w:r>
      </w:hyperlink>
      <w:r>
        <w:t>, accessed 2 August 2019</w:t>
      </w:r>
    </w:p>
  </w:footnote>
  <w:footnote w:id="71">
    <w:p w14:paraId="666DDDCC" w14:textId="77777777" w:rsidR="003E0782" w:rsidRDefault="003E0782" w:rsidP="00ED0E85">
      <w:pPr>
        <w:pStyle w:val="FootnoteText"/>
      </w:pPr>
      <w:r>
        <w:rPr>
          <w:rStyle w:val="FootnoteReference"/>
        </w:rPr>
        <w:footnoteRef/>
      </w:r>
      <w:r>
        <w:t xml:space="preserve"> </w:t>
      </w:r>
      <w:r>
        <w:tab/>
        <w:t xml:space="preserve">Green Globe (website), </w:t>
      </w:r>
      <w:r w:rsidRPr="003522EE">
        <w:rPr>
          <w:i/>
          <w:iCs/>
        </w:rPr>
        <w:t>Green Globe’s International Standard for Sustainable Tourism,</w:t>
      </w:r>
      <w:r>
        <w:t xml:space="preserve"> V1.7, available at: </w:t>
      </w:r>
      <w:hyperlink r:id="rId29" w:history="1">
        <w:r w:rsidRPr="00B27C1D">
          <w:rPr>
            <w:rStyle w:val="Hyperlink"/>
          </w:rPr>
          <w:t>https://shapingsustainablemarkets.iied.org/green-globe%E2%80%99s-international-standard-sustainable-tourism-v17</w:t>
        </w:r>
      </w:hyperlink>
      <w:r>
        <w:t xml:space="preserve">, accessed 5 August 2019. </w:t>
      </w:r>
    </w:p>
  </w:footnote>
  <w:footnote w:id="72">
    <w:p w14:paraId="1FE2CBA7" w14:textId="77777777" w:rsidR="003E0782" w:rsidRDefault="003E0782" w:rsidP="00ED0E85">
      <w:pPr>
        <w:pStyle w:val="FootnoteText"/>
      </w:pPr>
      <w:r>
        <w:rPr>
          <w:rStyle w:val="FootnoteReference"/>
        </w:rPr>
        <w:footnoteRef/>
      </w:r>
      <w:r>
        <w:t xml:space="preserve"> </w:t>
      </w:r>
      <w:r>
        <w:tab/>
        <w:t xml:space="preserve">Cloutman, N. (2017), IBIS World Industry Report, </w:t>
      </w:r>
      <w:r>
        <w:rPr>
          <w:i/>
          <w:iCs/>
        </w:rPr>
        <w:t xml:space="preserve">Hotels and Resorts in Australia, </w:t>
      </w:r>
      <w:r>
        <w:t>H4401, p 23.</w:t>
      </w:r>
    </w:p>
  </w:footnote>
  <w:footnote w:id="73">
    <w:p w14:paraId="5AAB98C3" w14:textId="77777777" w:rsidR="003E0782" w:rsidRPr="0045010A" w:rsidRDefault="003E0782" w:rsidP="00ED0E85">
      <w:pPr>
        <w:pStyle w:val="FootnoteText"/>
      </w:pPr>
      <w:r>
        <w:rPr>
          <w:rStyle w:val="FootnoteReference"/>
        </w:rPr>
        <w:footnoteRef/>
      </w:r>
      <w:r>
        <w:t xml:space="preserve"> </w:t>
      </w:r>
      <w:r>
        <w:tab/>
        <w:t xml:space="preserve">Accor (2018), </w:t>
      </w:r>
      <w:r>
        <w:rPr>
          <w:i/>
          <w:iCs/>
        </w:rPr>
        <w:t xml:space="preserve">Corporate Responsibility Report – Australia 2018, </w:t>
      </w:r>
      <w:r>
        <w:t xml:space="preserve">available at: </w:t>
      </w:r>
      <w:hyperlink r:id="rId30" w:history="1">
        <w:r>
          <w:rPr>
            <w:rStyle w:val="Hyperlink"/>
          </w:rPr>
          <w:t>https://images.jobsataccor.com.au/wp-content/uploads/AccorHotels-Corporate-Responsibility-Report-2018.pdf</w:t>
        </w:r>
      </w:hyperlink>
      <w:r>
        <w:t xml:space="preserve">, p 39. </w:t>
      </w:r>
    </w:p>
  </w:footnote>
  <w:footnote w:id="74">
    <w:p w14:paraId="04105B8B" w14:textId="77777777" w:rsidR="003E0782" w:rsidRDefault="003E0782" w:rsidP="00ED0E85">
      <w:pPr>
        <w:pStyle w:val="FootnoteText"/>
      </w:pPr>
      <w:r>
        <w:rPr>
          <w:rStyle w:val="FootnoteReference"/>
        </w:rPr>
        <w:footnoteRef/>
      </w:r>
      <w:r>
        <w:t xml:space="preserve"> </w:t>
      </w:r>
      <w:r>
        <w:tab/>
        <w:t xml:space="preserve">Langham Hospitality Group (2017), </w:t>
      </w:r>
      <w:r w:rsidRPr="00CE6689">
        <w:rPr>
          <w:i/>
          <w:iCs/>
        </w:rPr>
        <w:t>Sustainability Report,</w:t>
      </w:r>
      <w:r>
        <w:t xml:space="preserve"> available at: </w:t>
      </w:r>
      <w:hyperlink r:id="rId31" w:history="1">
        <w:r>
          <w:rPr>
            <w:rStyle w:val="Hyperlink"/>
          </w:rPr>
          <w:t>http://www.langhamhospitalitygroup.com/cdn-600efdb1/globalassets/lhg/about-us/corporate-social-responsibility/lhg-csr-report-2017-en1.pdf</w:t>
        </w:r>
      </w:hyperlink>
      <w:r>
        <w:t xml:space="preserve">, pp 13-14.  </w:t>
      </w:r>
    </w:p>
  </w:footnote>
  <w:footnote w:id="75">
    <w:p w14:paraId="029489CA" w14:textId="77777777" w:rsidR="003E0782" w:rsidRDefault="003E0782" w:rsidP="00ED0E85">
      <w:pPr>
        <w:pStyle w:val="FootnoteText"/>
      </w:pPr>
      <w:r>
        <w:rPr>
          <w:rStyle w:val="FootnoteReference"/>
        </w:rPr>
        <w:footnoteRef/>
      </w:r>
      <w:r>
        <w:t xml:space="preserve"> </w:t>
      </w:r>
      <w:r>
        <w:tab/>
        <w:t xml:space="preserve">Hilton (website), </w:t>
      </w:r>
      <w:r>
        <w:rPr>
          <w:i/>
          <w:iCs/>
        </w:rPr>
        <w:t xml:space="preserve">Energy &amp; Carbon, </w:t>
      </w:r>
      <w:r>
        <w:t xml:space="preserve">available at: </w:t>
      </w:r>
      <w:hyperlink r:id="rId32" w:anchor="energy" w:history="1">
        <w:r w:rsidRPr="00B27C1D">
          <w:rPr>
            <w:rStyle w:val="Hyperlink"/>
          </w:rPr>
          <w:t>https://cr.hilton.com/environment/#energy</w:t>
        </w:r>
      </w:hyperlink>
      <w:r>
        <w:t xml:space="preserve">; accessed 5 August 2019. </w:t>
      </w:r>
    </w:p>
  </w:footnote>
  <w:footnote w:id="76">
    <w:p w14:paraId="1776B6E5" w14:textId="77777777" w:rsidR="003E0782" w:rsidRDefault="003E0782" w:rsidP="00ED0E85">
      <w:pPr>
        <w:pStyle w:val="FootnoteText"/>
      </w:pPr>
      <w:r>
        <w:rPr>
          <w:rStyle w:val="FootnoteReference"/>
        </w:rPr>
        <w:footnoteRef/>
      </w:r>
      <w:r>
        <w:t xml:space="preserve"> </w:t>
      </w:r>
      <w:r>
        <w:tab/>
        <w:t xml:space="preserve">Hilton (website), </w:t>
      </w:r>
      <w:r>
        <w:rPr>
          <w:i/>
          <w:iCs/>
        </w:rPr>
        <w:t xml:space="preserve">Hilton Wins Product of the Year from Environmental Leader for Corporate Responsibility Measurement Platform ‘LightStay’, </w:t>
      </w:r>
      <w:r>
        <w:t xml:space="preserve">23 June 2016, available at: </w:t>
      </w:r>
      <w:hyperlink r:id="rId33" w:history="1">
        <w:r w:rsidRPr="00B27C1D">
          <w:rPr>
            <w:rStyle w:val="Hyperlink"/>
          </w:rPr>
          <w:t>https://newsroom.hilton.com/corporate/news/hilton-wins-product-of-the-year-from-environmental-leader-for-corporate-responsibility-measurement-platform-lightstay</w:t>
        </w:r>
      </w:hyperlink>
      <w:r>
        <w:t>, accessed 6 August 2019.</w:t>
      </w:r>
    </w:p>
  </w:footnote>
  <w:footnote w:id="77">
    <w:p w14:paraId="40531EA0" w14:textId="77777777" w:rsidR="003E0782" w:rsidRDefault="003E0782" w:rsidP="00ED0E85">
      <w:pPr>
        <w:pStyle w:val="FootnoteText"/>
      </w:pPr>
      <w:r>
        <w:rPr>
          <w:rStyle w:val="FootnoteReference"/>
        </w:rPr>
        <w:footnoteRef/>
      </w:r>
      <w:r>
        <w:t xml:space="preserve"> </w:t>
      </w:r>
      <w:r>
        <w:tab/>
        <w:t xml:space="preserve">Marriott International (2018), </w:t>
      </w:r>
      <w:r>
        <w:rPr>
          <w:i/>
          <w:iCs/>
        </w:rPr>
        <w:t xml:space="preserve">2018 Serve 360 Report Sustainability and Social Impact at Marriott International, </w:t>
      </w:r>
      <w:r>
        <w:t xml:space="preserve">available at: </w:t>
      </w:r>
      <w:hyperlink r:id="rId34" w:history="1">
        <w:r>
          <w:rPr>
            <w:rStyle w:val="Hyperlink"/>
          </w:rPr>
          <w:t>http://serve360.marriott.com/wp-content/uploads/2018/10/2018_Serve_360_Report.pdf</w:t>
        </w:r>
      </w:hyperlink>
      <w:r>
        <w:t>, p 29.</w:t>
      </w:r>
    </w:p>
  </w:footnote>
  <w:footnote w:id="78">
    <w:p w14:paraId="4FCAA9C7" w14:textId="77777777" w:rsidR="003E0782" w:rsidRDefault="003E0782" w:rsidP="00ED0E85">
      <w:pPr>
        <w:pStyle w:val="FootnoteText"/>
      </w:pPr>
      <w:r>
        <w:rPr>
          <w:rStyle w:val="FootnoteReference"/>
        </w:rPr>
        <w:footnoteRef/>
      </w:r>
      <w:r>
        <w:t xml:space="preserve"> </w:t>
      </w:r>
      <w:r>
        <w:tab/>
        <w:t xml:space="preserve">Marriott International (2018), </w:t>
      </w:r>
      <w:r>
        <w:rPr>
          <w:i/>
          <w:iCs/>
        </w:rPr>
        <w:t xml:space="preserve">2018 Serve 360 Report Sustainability and Social Impact at Marriott International, </w:t>
      </w:r>
      <w:r>
        <w:t xml:space="preserve">available at: </w:t>
      </w:r>
      <w:hyperlink r:id="rId35" w:history="1">
        <w:r>
          <w:rPr>
            <w:rStyle w:val="Hyperlink"/>
          </w:rPr>
          <w:t>http://serve360.marriott.com/wp-content/uploads/2018/10/2018_Serve_360_Report.pdf</w:t>
        </w:r>
      </w:hyperlink>
      <w:r>
        <w:t>, p 29.</w:t>
      </w:r>
    </w:p>
  </w:footnote>
  <w:footnote w:id="79">
    <w:p w14:paraId="2CE02657" w14:textId="77777777" w:rsidR="003E0782" w:rsidRDefault="003E0782" w:rsidP="00ED0E85">
      <w:pPr>
        <w:pStyle w:val="FootnoteText"/>
      </w:pPr>
      <w:r>
        <w:rPr>
          <w:rStyle w:val="FootnoteReference"/>
        </w:rPr>
        <w:footnoteRef/>
      </w:r>
      <w:r>
        <w:t xml:space="preserve"> </w:t>
      </w:r>
      <w:r>
        <w:tab/>
        <w:t xml:space="preserve">US Department of Energy (website), available at: </w:t>
      </w:r>
      <w:hyperlink r:id="rId36" w:history="1">
        <w:r>
          <w:rPr>
            <w:rStyle w:val="Hyperlink"/>
          </w:rPr>
          <w:t>https://betterbuildingssolutioncenter.energy.gov/about-better-buildings-initiative</w:t>
        </w:r>
      </w:hyperlink>
      <w:r>
        <w:t xml:space="preserve">, accessed 7 August 2019. </w:t>
      </w:r>
    </w:p>
  </w:footnote>
  <w:footnote w:id="80">
    <w:p w14:paraId="2E2B926D" w14:textId="77777777" w:rsidR="003E0782" w:rsidRPr="00A54147" w:rsidRDefault="003E0782" w:rsidP="00ED0E85">
      <w:pPr>
        <w:pStyle w:val="FootnoteText"/>
        <w:rPr>
          <w:i/>
          <w:iCs/>
        </w:rPr>
      </w:pPr>
      <w:r>
        <w:rPr>
          <w:rStyle w:val="FootnoteReference"/>
        </w:rPr>
        <w:footnoteRef/>
      </w:r>
      <w:r>
        <w:t xml:space="preserve"> </w:t>
      </w:r>
      <w:r>
        <w:tab/>
        <w:t xml:space="preserve">US Department of Energy (2019), </w:t>
      </w:r>
      <w:r>
        <w:rPr>
          <w:i/>
          <w:iCs/>
        </w:rPr>
        <w:t xml:space="preserve">Working Toward a More Innovative, Affordable, and Energy Efficient Future, Progress Report 2019, </w:t>
      </w:r>
      <w:r>
        <w:t xml:space="preserve">available at: </w:t>
      </w:r>
      <w:hyperlink r:id="rId37" w:history="1">
        <w:r w:rsidRPr="00BD71AD">
          <w:rPr>
            <w:rStyle w:val="Hyperlink"/>
          </w:rPr>
          <w:t>https://betterbuildingssolutioncenter.energy.gov/sites/default/files/program/DOE_BBI_2019_Progress_Report.pdf</w:t>
        </w:r>
      </w:hyperlink>
      <w:r>
        <w:t xml:space="preserve">, </w:t>
      </w:r>
      <w:r w:rsidRPr="00A54147">
        <w:t>p 25.</w:t>
      </w:r>
      <w:r>
        <w:rPr>
          <w:i/>
          <w:iCs/>
        </w:rPr>
        <w:t xml:space="preserve"> </w:t>
      </w:r>
    </w:p>
  </w:footnote>
  <w:footnote w:id="81">
    <w:p w14:paraId="589D29A0" w14:textId="77777777" w:rsidR="003E0782" w:rsidRDefault="003E0782" w:rsidP="00ED0E85">
      <w:pPr>
        <w:pStyle w:val="FootnoteText"/>
      </w:pPr>
      <w:r>
        <w:rPr>
          <w:rStyle w:val="FootnoteReference"/>
        </w:rPr>
        <w:footnoteRef/>
      </w:r>
      <w:r>
        <w:t xml:space="preserve"> </w:t>
      </w:r>
      <w:r>
        <w:tab/>
        <w:t xml:space="preserve">Energy Star (website), available at: </w:t>
      </w:r>
      <w:hyperlink r:id="rId38" w:history="1">
        <w:r>
          <w:rPr>
            <w:rStyle w:val="Hyperlink"/>
          </w:rPr>
          <w:t>https://www.energystar.gov/about</w:t>
        </w:r>
      </w:hyperlink>
      <w:r>
        <w:t>, accessed 7 August 2019.</w:t>
      </w:r>
    </w:p>
  </w:footnote>
  <w:footnote w:id="82">
    <w:p w14:paraId="2052CAA6" w14:textId="77777777" w:rsidR="003E0782" w:rsidRDefault="003E0782" w:rsidP="00ED0E85">
      <w:pPr>
        <w:pStyle w:val="FootnoteText"/>
      </w:pPr>
      <w:r>
        <w:rPr>
          <w:rStyle w:val="FootnoteReference"/>
        </w:rPr>
        <w:footnoteRef/>
      </w:r>
      <w:r>
        <w:t xml:space="preserve"> </w:t>
      </w:r>
      <w:r>
        <w:tab/>
        <w:t xml:space="preserve">The CDP was formerly known as the Carbon Disclosure Project. The CDP currently runs the global disclosure system that enables companies, cities, states and regions to measure and manage their environmental impacts. For further information, see their website: </w:t>
      </w:r>
      <w:hyperlink r:id="rId39" w:history="1">
        <w:r w:rsidRPr="009253DC">
          <w:rPr>
            <w:rStyle w:val="Hyperlink"/>
          </w:rPr>
          <w:t>https://www.cdp.net/en</w:t>
        </w:r>
      </w:hyperlink>
      <w:r>
        <w:rPr>
          <w:rFonts w:ascii="Calisto MT" w:eastAsiaTheme="minorEastAsia" w:hAnsi="Calisto MT"/>
          <w:sz w:val="21"/>
          <w:szCs w:val="21"/>
        </w:rPr>
        <w:t xml:space="preserve">. </w:t>
      </w:r>
    </w:p>
  </w:footnote>
  <w:footnote w:id="83">
    <w:p w14:paraId="23350EE2" w14:textId="77777777" w:rsidR="003E0782" w:rsidRPr="002A4FE6" w:rsidRDefault="003E0782" w:rsidP="00ED0E85">
      <w:pPr>
        <w:pStyle w:val="FootnoteText"/>
      </w:pPr>
      <w:r>
        <w:rPr>
          <w:rStyle w:val="FootnoteReference"/>
        </w:rPr>
        <w:footnoteRef/>
      </w:r>
      <w:r>
        <w:t xml:space="preserve"> </w:t>
      </w:r>
      <w:r>
        <w:tab/>
        <w:t xml:space="preserve">Science Based Targets (website), </w:t>
      </w:r>
      <w:r>
        <w:rPr>
          <w:i/>
          <w:iCs/>
        </w:rPr>
        <w:t xml:space="preserve">About the Science Based Targets Initiative, </w:t>
      </w:r>
      <w:r>
        <w:t xml:space="preserve">available at: </w:t>
      </w:r>
      <w:hyperlink r:id="rId40" w:history="1">
        <w:r>
          <w:rPr>
            <w:rStyle w:val="Hyperlink"/>
          </w:rPr>
          <w:t>https://sciencebasedtargets.org/about-the-science-based-targets-initiative/</w:t>
        </w:r>
      </w:hyperlink>
      <w:r>
        <w:t xml:space="preserve">, accessed  7 August 2019. </w:t>
      </w:r>
    </w:p>
  </w:footnote>
  <w:footnote w:id="84">
    <w:p w14:paraId="4588C001" w14:textId="77777777" w:rsidR="003E0782" w:rsidRDefault="003E0782" w:rsidP="00ED0E85">
      <w:pPr>
        <w:pStyle w:val="FootnoteText"/>
      </w:pPr>
      <w:r>
        <w:rPr>
          <w:rStyle w:val="FootnoteReference"/>
        </w:rPr>
        <w:footnoteRef/>
      </w:r>
      <w:r>
        <w:t xml:space="preserve"> </w:t>
      </w:r>
      <w:r>
        <w:tab/>
        <w:t xml:space="preserve">PWC, </w:t>
      </w:r>
      <w:r>
        <w:rPr>
          <w:i/>
          <w:iCs/>
        </w:rPr>
        <w:t xml:space="preserve">What’s driving customer loyalty for today’s hotel brands, </w:t>
      </w:r>
      <w:r>
        <w:t>available at:</w:t>
      </w:r>
      <w:r>
        <w:rPr>
          <w:i/>
          <w:iCs/>
        </w:rPr>
        <w:t xml:space="preserve"> </w:t>
      </w:r>
      <w:hyperlink r:id="rId41" w:history="1">
        <w:r w:rsidRPr="00B27C1D">
          <w:rPr>
            <w:rStyle w:val="Hyperlink"/>
          </w:rPr>
          <w:t>https://www.pwc.com/id/en/publications/assets/ticepublications/cis-hotel-loyalty.pdf</w:t>
        </w:r>
      </w:hyperlink>
      <w:r>
        <w:t xml:space="preserve">, pp 7-8. </w:t>
      </w:r>
    </w:p>
  </w:footnote>
  <w:footnote w:id="85">
    <w:p w14:paraId="2A3AC047" w14:textId="77777777" w:rsidR="003E0782" w:rsidRPr="006B71E2" w:rsidRDefault="003E0782" w:rsidP="00ED0E85">
      <w:pPr>
        <w:pStyle w:val="FootnoteText"/>
      </w:pPr>
      <w:r>
        <w:rPr>
          <w:rStyle w:val="FootnoteReference"/>
        </w:rPr>
        <w:footnoteRef/>
      </w:r>
      <w:r>
        <w:t xml:space="preserve"> </w:t>
      </w:r>
      <w:r>
        <w:tab/>
        <w:t xml:space="preserve">Urban Land Institute (2019), </w:t>
      </w:r>
      <w:r>
        <w:rPr>
          <w:i/>
          <w:iCs/>
        </w:rPr>
        <w:t xml:space="preserve">Sustainability in Hotels, </w:t>
      </w:r>
      <w:r>
        <w:t xml:space="preserve">p 6. </w:t>
      </w:r>
    </w:p>
  </w:footnote>
  <w:footnote w:id="86">
    <w:p w14:paraId="2AEF3C6F" w14:textId="77777777" w:rsidR="003E0782" w:rsidRPr="00104598" w:rsidRDefault="003E0782" w:rsidP="00ED0E85">
      <w:pPr>
        <w:pStyle w:val="FootnoteText"/>
      </w:pPr>
      <w:r>
        <w:rPr>
          <w:rStyle w:val="FootnoteReference"/>
        </w:rPr>
        <w:footnoteRef/>
      </w:r>
      <w:r>
        <w:t xml:space="preserve"> </w:t>
      </w:r>
      <w:r>
        <w:tab/>
        <w:t xml:space="preserve">Booking.com (2017), </w:t>
      </w:r>
      <w:r>
        <w:rPr>
          <w:i/>
          <w:iCs/>
        </w:rPr>
        <w:t xml:space="preserve">2017 Sustainable Travel Report, </w:t>
      </w:r>
      <w:r>
        <w:t xml:space="preserve">available at: </w:t>
      </w:r>
      <w:hyperlink r:id="rId42" w:history="1">
        <w:r>
          <w:rPr>
            <w:rStyle w:val="Hyperlink"/>
          </w:rPr>
          <w:t>https://news.booking.com/bookingcoms-2017-sustainable-travel-report/</w:t>
        </w:r>
      </w:hyperlink>
      <w:r>
        <w:t>, accessed 7 August 2019.</w:t>
      </w:r>
    </w:p>
  </w:footnote>
  <w:footnote w:id="87">
    <w:p w14:paraId="36EE4398" w14:textId="77777777" w:rsidR="003E0782" w:rsidRPr="00A75C35" w:rsidRDefault="003E0782" w:rsidP="00ED0E85">
      <w:pPr>
        <w:pStyle w:val="FootnoteText"/>
      </w:pPr>
      <w:r>
        <w:rPr>
          <w:rStyle w:val="FootnoteReference"/>
        </w:rPr>
        <w:footnoteRef/>
      </w:r>
      <w:r>
        <w:t xml:space="preserve"> </w:t>
      </w:r>
      <w:r>
        <w:tab/>
        <w:t xml:space="preserve">Planet 21 Research, Accenture strategy, Accor (2015), </w:t>
      </w:r>
      <w:r>
        <w:rPr>
          <w:i/>
          <w:iCs/>
        </w:rPr>
        <w:t xml:space="preserve">AccorHotels: sustainability initiatives contribute to guest satisfaction and business performance, </w:t>
      </w:r>
      <w:r>
        <w:t xml:space="preserve">available at: </w:t>
      </w:r>
      <w:hyperlink r:id="rId43" w:history="1">
        <w:r>
          <w:rPr>
            <w:rStyle w:val="Hyperlink"/>
          </w:rPr>
          <w:t>https://group.accor.com/en/commitment/sharing-our-knowledge/csr-and-performance</w:t>
        </w:r>
      </w:hyperlink>
      <w:r>
        <w:t xml:space="preserve">, page 19.  </w:t>
      </w:r>
    </w:p>
  </w:footnote>
  <w:footnote w:id="88">
    <w:p w14:paraId="6DA3ECD1" w14:textId="77777777" w:rsidR="003E0782" w:rsidRPr="00C262E9" w:rsidRDefault="003E0782" w:rsidP="00ED0E85">
      <w:pPr>
        <w:pStyle w:val="FootnoteText"/>
      </w:pPr>
      <w:r>
        <w:rPr>
          <w:rStyle w:val="FootnoteReference"/>
        </w:rPr>
        <w:footnoteRef/>
      </w:r>
      <w:r>
        <w:t xml:space="preserve"> </w:t>
      </w:r>
      <w:r>
        <w:tab/>
        <w:t xml:space="preserve">Planet 21 Research, Accor (2015), </w:t>
      </w:r>
      <w:r>
        <w:rPr>
          <w:i/>
          <w:iCs/>
        </w:rPr>
        <w:t xml:space="preserve">What are the links between business and CSR performance for AccorHotels’s strategic and key B2B accounts, </w:t>
      </w:r>
      <w:r>
        <w:t xml:space="preserve">available at: </w:t>
      </w:r>
      <w:hyperlink r:id="rId44" w:history="1">
        <w:r>
          <w:rPr>
            <w:rStyle w:val="Hyperlink"/>
          </w:rPr>
          <w:t>https://group.accor.com/en/commitment/sharing-our-knowledge/csr-and-performance</w:t>
        </w:r>
      </w:hyperlink>
      <w:r>
        <w:t xml:space="preserve">, p 10. </w:t>
      </w:r>
    </w:p>
  </w:footnote>
  <w:footnote w:id="89">
    <w:p w14:paraId="44C0FC85" w14:textId="77777777" w:rsidR="003E0782" w:rsidRPr="00501702" w:rsidRDefault="003E0782" w:rsidP="00ED0E85">
      <w:pPr>
        <w:pStyle w:val="FootnoteText"/>
        <w:rPr>
          <w:lang w:val="en-US"/>
        </w:rPr>
      </w:pPr>
      <w:r>
        <w:rPr>
          <w:rStyle w:val="FootnoteReference"/>
        </w:rPr>
        <w:footnoteRef/>
      </w:r>
      <w:r>
        <w:t xml:space="preserve"> </w:t>
      </w:r>
      <w:r>
        <w:rPr>
          <w:lang w:val="en-US"/>
        </w:rPr>
        <w:t xml:space="preserve">Energy Action, CBD Expansion: Feasibility Study: Shopping Centres, Data Centres and Hotels, 20 June 2018, p. </w:t>
      </w:r>
    </w:p>
  </w:footnote>
  <w:footnote w:id="90">
    <w:p w14:paraId="3AA4580D" w14:textId="77777777" w:rsidR="003E0782" w:rsidRPr="0090051E" w:rsidRDefault="003E0782" w:rsidP="00ED0E85">
      <w:pPr>
        <w:pStyle w:val="FootnoteText"/>
        <w:rPr>
          <w:lang w:val="en-US"/>
        </w:rPr>
      </w:pPr>
      <w:r>
        <w:rPr>
          <w:rStyle w:val="FootnoteReference"/>
        </w:rPr>
        <w:footnoteRef/>
      </w:r>
      <w:r>
        <w:t xml:space="preserve"> </w:t>
      </w:r>
      <w:r>
        <w:rPr>
          <w:lang w:val="en-US"/>
        </w:rPr>
        <w:t xml:space="preserve">NABERS website, </w:t>
      </w:r>
      <w:hyperlink r:id="rId45" w:history="1">
        <w:r>
          <w:rPr>
            <w:rStyle w:val="Hyperlink"/>
          </w:rPr>
          <w:t>https://www.nabers.gov.au/ratings/spaces-we-rate/data-centres</w:t>
        </w:r>
      </w:hyperlink>
      <w:r>
        <w:t>, accessed 9 May 2019.</w:t>
      </w:r>
    </w:p>
  </w:footnote>
  <w:footnote w:id="91">
    <w:p w14:paraId="4DD2CD7A" w14:textId="77777777" w:rsidR="003E0782" w:rsidRPr="005B0741" w:rsidRDefault="003E0782" w:rsidP="00ED0E85">
      <w:pPr>
        <w:pStyle w:val="FootnoteText"/>
        <w:rPr>
          <w:lang w:val="en-US"/>
        </w:rPr>
      </w:pPr>
      <w:r>
        <w:rPr>
          <w:rStyle w:val="FootnoteReference"/>
        </w:rPr>
        <w:footnoteRef/>
      </w:r>
      <w:r>
        <w:t xml:space="preserve"> NABERS, </w:t>
      </w:r>
      <w:r>
        <w:rPr>
          <w:lang w:val="en-US"/>
        </w:rPr>
        <w:t>NABERS Energy for data centres, Rules for collecting and using data, July 2014, p. 10.</w:t>
      </w:r>
    </w:p>
  </w:footnote>
  <w:footnote w:id="92">
    <w:p w14:paraId="2B21AA99" w14:textId="77777777" w:rsidR="003E0782" w:rsidRPr="00BC6E50" w:rsidRDefault="003E0782" w:rsidP="00ED0E85">
      <w:pPr>
        <w:pStyle w:val="FootnoteText"/>
        <w:rPr>
          <w:lang w:val="en-US"/>
        </w:rPr>
      </w:pPr>
      <w:r>
        <w:rPr>
          <w:rStyle w:val="FootnoteReference"/>
        </w:rPr>
        <w:footnoteRef/>
      </w:r>
      <w:r>
        <w:t xml:space="preserve"> </w:t>
      </w:r>
      <w:r>
        <w:rPr>
          <w:lang w:val="en-US"/>
        </w:rPr>
        <w:t xml:space="preserve">NABERS website, </w:t>
      </w:r>
      <w:hyperlink r:id="rId46" w:history="1">
        <w:r>
          <w:rPr>
            <w:rStyle w:val="Hyperlink"/>
          </w:rPr>
          <w:t>https://www.nabers.gov.au/pricing</w:t>
        </w:r>
      </w:hyperlink>
      <w:r>
        <w:t>, accessed 9 August 2019.</w:t>
      </w:r>
    </w:p>
  </w:footnote>
  <w:footnote w:id="93">
    <w:p w14:paraId="459A6AED" w14:textId="77777777" w:rsidR="003E0782" w:rsidRDefault="003E0782" w:rsidP="00ED0E85">
      <w:pPr>
        <w:pStyle w:val="FootnoteText"/>
      </w:pPr>
      <w:r>
        <w:rPr>
          <w:rStyle w:val="FootnoteReference"/>
        </w:rPr>
        <w:footnoteRef/>
      </w:r>
      <w:r>
        <w:t xml:space="preserve"> </w:t>
      </w:r>
      <w:r>
        <w:tab/>
        <w:t xml:space="preserve">ABS (2017), </w:t>
      </w:r>
      <w:r>
        <w:rPr>
          <w:i/>
          <w:iCs/>
        </w:rPr>
        <w:t xml:space="preserve">Census of Population and Housing, </w:t>
      </w:r>
      <w:r>
        <w:t xml:space="preserve">Cat. 2071, Table 2, available at:  </w:t>
      </w:r>
      <w:hyperlink r:id="rId47" w:history="1">
        <w:r>
          <w:rPr>
            <w:rStyle w:val="Hyperlink"/>
          </w:rPr>
          <w:t>https://www.abs.gov.au/ausstats/abs@.nsf/Lookup/by%20Subject/2071.0~2016~Main%20Features~Apartment%20Living~20</w:t>
        </w:r>
      </w:hyperlink>
      <w:r>
        <w:t xml:space="preserve">, accessed 9 August 2019. </w:t>
      </w:r>
    </w:p>
  </w:footnote>
  <w:footnote w:id="94">
    <w:p w14:paraId="5004DA8B" w14:textId="77777777" w:rsidR="003E0782" w:rsidRDefault="003E0782" w:rsidP="00ED0E85">
      <w:pPr>
        <w:pStyle w:val="FootnoteText"/>
      </w:pPr>
      <w:r>
        <w:rPr>
          <w:rStyle w:val="FootnoteReference"/>
        </w:rPr>
        <w:footnoteRef/>
      </w:r>
      <w:r>
        <w:t xml:space="preserve"> </w:t>
      </w:r>
      <w:r>
        <w:tab/>
        <w:t xml:space="preserve">ABS (2017), </w:t>
      </w:r>
      <w:r>
        <w:rPr>
          <w:i/>
          <w:iCs/>
        </w:rPr>
        <w:t xml:space="preserve">Census Data Summary, </w:t>
      </w:r>
      <w:r>
        <w:t xml:space="preserve">available at:  </w:t>
      </w:r>
      <w:r>
        <w:tab/>
      </w:r>
      <w:hyperlink r:id="rId48" w:history="1">
        <w:r>
          <w:rPr>
            <w:rStyle w:val="Hyperlink"/>
          </w:rPr>
          <w:t>https://www.ausstats.abs.gov.au/ausstats/subscriber.nsf/0/19DA38C6B6AF5E9FCA25814B00030D2E/$File/snapshot%20of%20australia,%202016%20census%20data%20summary.pdf</w:t>
        </w:r>
      </w:hyperlink>
      <w:r>
        <w:t>, accessed 9 August 2019.</w:t>
      </w:r>
      <w:r>
        <w:tab/>
      </w:r>
    </w:p>
  </w:footnote>
  <w:footnote w:id="95">
    <w:p w14:paraId="6540D52B" w14:textId="77777777" w:rsidR="003E0782" w:rsidRDefault="003E0782" w:rsidP="00ED0E85">
      <w:pPr>
        <w:pStyle w:val="FootnoteText"/>
      </w:pPr>
      <w:r>
        <w:rPr>
          <w:rStyle w:val="FootnoteReference"/>
        </w:rPr>
        <w:footnoteRef/>
      </w:r>
      <w:r>
        <w:t xml:space="preserve"> ABS (2017), </w:t>
      </w:r>
      <w:r>
        <w:rPr>
          <w:i/>
          <w:iCs/>
        </w:rPr>
        <w:t xml:space="preserve">Census of Population and Housing: Reflecting Australia - Stories from the Census, 2016, </w:t>
      </w:r>
      <w:r>
        <w:rPr>
          <w:iCs/>
        </w:rPr>
        <w:t xml:space="preserve">available at: </w:t>
      </w:r>
      <w:hyperlink r:id="rId49" w:history="1">
        <w:r>
          <w:rPr>
            <w:rStyle w:val="Hyperlink"/>
          </w:rPr>
          <w:t>https://www.abs.gov.au/ausstats/abs@.nsf/Lookup/by%20Subject/2071.0~2016~Main%20Features~Apartment%20Living~20</w:t>
        </w:r>
      </w:hyperlink>
      <w:r>
        <w:t xml:space="preserve">, accessed 9 August 2019. </w:t>
      </w:r>
    </w:p>
  </w:footnote>
  <w:footnote w:id="96">
    <w:p w14:paraId="033EC830" w14:textId="77777777" w:rsidR="003E0782" w:rsidRDefault="003E0782" w:rsidP="00ED0E85">
      <w:pPr>
        <w:pStyle w:val="FootnoteText"/>
        <w:rPr>
          <w:lang w:val="en-GB"/>
        </w:rPr>
      </w:pPr>
      <w:r>
        <w:rPr>
          <w:rStyle w:val="FootnoteReference"/>
        </w:rPr>
        <w:footnoteRef/>
      </w:r>
      <w:r>
        <w:t xml:space="preserve"> Australian Government Department of Finance, </w:t>
      </w:r>
      <w:r>
        <w:rPr>
          <w:i/>
        </w:rPr>
        <w:t>Australian Government Cost Recovery Guidelines</w:t>
      </w:r>
      <w:r>
        <w:t>, Resource Management Guide No. 304, July 2014 – Third edition, p. 1.</w:t>
      </w:r>
    </w:p>
  </w:footnote>
  <w:footnote w:id="97">
    <w:p w14:paraId="1A928CB1" w14:textId="77777777" w:rsidR="003E0782" w:rsidRDefault="003E0782" w:rsidP="00ED0E85">
      <w:pPr>
        <w:pStyle w:val="FootnoteText"/>
      </w:pPr>
      <w:r>
        <w:rPr>
          <w:rStyle w:val="FootnoteReference"/>
        </w:rPr>
        <w:footnoteRef/>
      </w:r>
      <w:r>
        <w:t xml:space="preserve"> </w:t>
      </w:r>
      <w:bookmarkStart w:id="6769" w:name="_Hlk507851411"/>
      <w:r>
        <w:t xml:space="preserve">Lazar, Jim and Ken Colborn 2013, </w:t>
      </w:r>
      <w:r>
        <w:rPr>
          <w:i/>
        </w:rPr>
        <w:t>Recognizing the Full Value of Energy Efficiency (What’s Under the Feel-Good Frosting of the World’s Most Valuable Layer Cake of Benefits)</w:t>
      </w:r>
      <w:r>
        <w:t xml:space="preserve">, September 2013, available at </w:t>
      </w:r>
      <w:r w:rsidRPr="00B31FE8">
        <w:t>http://www.raponline.org/wp-content/uploads/2016/05/rap-lazarcolburn-layercakepaper-2013-sept-9.pdf</w:t>
      </w:r>
      <w:bookmarkEnd w:id="6769"/>
      <w:r>
        <w:t>.</w:t>
      </w:r>
    </w:p>
  </w:footnote>
  <w:footnote w:id="98">
    <w:p w14:paraId="032C1F13" w14:textId="77777777" w:rsidR="003E0782" w:rsidRPr="008D5BA8" w:rsidRDefault="003E0782" w:rsidP="00ED0E85">
      <w:pPr>
        <w:pStyle w:val="FootnoteText"/>
        <w:rPr>
          <w:lang w:val="en-GB"/>
        </w:rPr>
      </w:pPr>
      <w:r>
        <w:rPr>
          <w:rStyle w:val="FootnoteReference"/>
        </w:rPr>
        <w:footnoteRef/>
      </w:r>
      <w:r>
        <w:t xml:space="preserve"> </w:t>
      </w:r>
      <w:r>
        <w:rPr>
          <w:lang w:val="en-GB"/>
        </w:rPr>
        <w:t xml:space="preserve">Jacobs 2014, </w:t>
      </w:r>
      <w:r w:rsidRPr="00A77DD6">
        <w:rPr>
          <w:i/>
          <w:lang w:val="en-GB"/>
        </w:rPr>
        <w:t>NSW Energy efficiency programs: Cost-benefit analysis</w:t>
      </w:r>
      <w:r>
        <w:rPr>
          <w:lang w:val="en-GB"/>
        </w:rPr>
        <w:t>, Final report to the NSW Office of Environment and Heritage, pp. 68</w:t>
      </w:r>
      <w:r>
        <w:rPr>
          <w:lang w:val="en-GB"/>
        </w:rPr>
        <w:noBreakHyphen/>
        <w:t>75.</w:t>
      </w:r>
    </w:p>
  </w:footnote>
  <w:footnote w:id="99">
    <w:p w14:paraId="4EB0CBEE" w14:textId="77777777" w:rsidR="003E0782" w:rsidRPr="004C4FE5" w:rsidRDefault="003E0782" w:rsidP="00ED0E85">
      <w:pPr>
        <w:pStyle w:val="FootnoteText"/>
        <w:rPr>
          <w:lang w:val="en-GB"/>
        </w:rPr>
      </w:pPr>
      <w:r>
        <w:rPr>
          <w:rStyle w:val="FootnoteReference"/>
        </w:rPr>
        <w:footnoteRef/>
      </w:r>
      <w:r>
        <w:t xml:space="preserve"> </w:t>
      </w:r>
      <w:r>
        <w:rPr>
          <w:lang w:val="en-GB"/>
        </w:rPr>
        <w:t xml:space="preserve">See Houston Kemp Economists 2017, </w:t>
      </w:r>
      <w:r w:rsidRPr="00A77DD6">
        <w:rPr>
          <w:i/>
          <w:lang w:val="en-GB"/>
        </w:rPr>
        <w:t>Residential Building Regulatory Impact Statement Methodology</w:t>
      </w:r>
      <w:r>
        <w:rPr>
          <w:lang w:val="en-GB"/>
        </w:rPr>
        <w:t>, A report for the Department of the Environment and Energy, 6 April 2017, pp. 14</w:t>
      </w:r>
      <w:r>
        <w:rPr>
          <w:lang w:val="en-GB"/>
        </w:rPr>
        <w:noBreakHyphen/>
        <w:t>15.</w:t>
      </w:r>
    </w:p>
  </w:footnote>
  <w:footnote w:id="100">
    <w:p w14:paraId="6F8C53DC" w14:textId="77777777" w:rsidR="003E0782" w:rsidRPr="003E7C06" w:rsidRDefault="003E0782" w:rsidP="00ED0E85">
      <w:pPr>
        <w:pStyle w:val="FootnoteText"/>
        <w:rPr>
          <w:lang w:val="en-GB"/>
        </w:rPr>
      </w:pPr>
      <w:r>
        <w:rPr>
          <w:rStyle w:val="FootnoteReference"/>
        </w:rPr>
        <w:footnoteRef/>
      </w:r>
      <w:r>
        <w:t xml:space="preserve"> </w:t>
      </w:r>
      <w:r>
        <w:rPr>
          <w:lang w:val="en-GB"/>
        </w:rPr>
        <w:t xml:space="preserve">NERA Economic Consulting 2014, </w:t>
      </w:r>
      <w:r w:rsidRPr="00A77DD6">
        <w:rPr>
          <w:i/>
          <w:lang w:val="en-GB"/>
        </w:rPr>
        <w:t>Economic Concepts for Pricing Electricity Network Services: A Report for the Australian Energy Market Commission</w:t>
      </w:r>
      <w:r>
        <w:rPr>
          <w:lang w:val="en-GB"/>
        </w:rPr>
        <w:t>, 21 July 2014, pp. 4</w:t>
      </w:r>
      <w:r>
        <w:rPr>
          <w:lang w:val="en-GB"/>
        </w:rPr>
        <w:noBreakHyphen/>
        <w:t>6.</w:t>
      </w:r>
    </w:p>
  </w:footnote>
  <w:footnote w:id="101">
    <w:p w14:paraId="757A0D10" w14:textId="77777777" w:rsidR="003E0782" w:rsidRPr="00147496" w:rsidRDefault="003E0782" w:rsidP="00ED0E85">
      <w:pPr>
        <w:pStyle w:val="FootnoteText"/>
        <w:rPr>
          <w:lang w:val="en-GB"/>
        </w:rPr>
      </w:pPr>
      <w:r>
        <w:rPr>
          <w:rStyle w:val="FootnoteReference"/>
        </w:rPr>
        <w:footnoteRef/>
      </w:r>
      <w:r>
        <w:t xml:space="preserve"> </w:t>
      </w:r>
      <w:r>
        <w:rPr>
          <w:lang w:val="en-GB"/>
        </w:rPr>
        <w:t xml:space="preserve">Australian Competition and Consumer Commission 2017, </w:t>
      </w:r>
      <w:r w:rsidRPr="00A77DD6">
        <w:rPr>
          <w:i/>
          <w:lang w:val="en-GB"/>
        </w:rPr>
        <w:t>Retail Electricity Pricing Inquiry</w:t>
      </w:r>
      <w:r>
        <w:rPr>
          <w:lang w:val="en-GB"/>
        </w:rPr>
        <w:t>, Preliminary report, 22 September 2017, pp. 53</w:t>
      </w:r>
      <w:r>
        <w:rPr>
          <w:lang w:val="en-GB"/>
        </w:rPr>
        <w:noBreakHyphen/>
        <w:t>75.</w:t>
      </w:r>
    </w:p>
  </w:footnote>
  <w:footnote w:id="102">
    <w:p w14:paraId="66541F9D" w14:textId="77777777" w:rsidR="003E0782" w:rsidRPr="008D5BA8" w:rsidRDefault="003E0782" w:rsidP="00ED0E85">
      <w:pPr>
        <w:pStyle w:val="FootnoteText"/>
        <w:rPr>
          <w:lang w:val="en-GB"/>
        </w:rPr>
      </w:pPr>
      <w:r>
        <w:rPr>
          <w:rStyle w:val="FootnoteReference"/>
        </w:rPr>
        <w:footnoteRef/>
      </w:r>
      <w:r>
        <w:t xml:space="preserve"> </w:t>
      </w:r>
      <w:r>
        <w:rPr>
          <w:lang w:val="en-GB"/>
        </w:rPr>
        <w:t>ibid, p. 51.</w:t>
      </w:r>
    </w:p>
  </w:footnote>
  <w:footnote w:id="103">
    <w:p w14:paraId="444DAD2A" w14:textId="77777777" w:rsidR="003E0782" w:rsidRPr="00A81246" w:rsidRDefault="003E0782" w:rsidP="00ED0E85">
      <w:pPr>
        <w:pStyle w:val="FootnoteText"/>
        <w:rPr>
          <w:lang w:val="en-GB"/>
        </w:rPr>
      </w:pPr>
      <w:r>
        <w:rPr>
          <w:rStyle w:val="FootnoteReference"/>
        </w:rPr>
        <w:footnoteRef/>
      </w:r>
      <w:r>
        <w:t xml:space="preserve"> </w:t>
      </w:r>
      <w:r>
        <w:rPr>
          <w:lang w:val="en-GB"/>
        </w:rPr>
        <w:t>National Electricity Rules, Chapter 6: Economic Regulation of Distribution Services, p. 762.</w:t>
      </w:r>
    </w:p>
  </w:footnote>
  <w:footnote w:id="104">
    <w:p w14:paraId="72F90A02" w14:textId="77777777" w:rsidR="003E0782" w:rsidRPr="000F4098" w:rsidRDefault="003E0782" w:rsidP="00ED0E85">
      <w:pPr>
        <w:pStyle w:val="FootnoteText"/>
        <w:rPr>
          <w:lang w:val="en-GB"/>
        </w:rPr>
      </w:pPr>
      <w:r>
        <w:rPr>
          <w:rStyle w:val="FootnoteReference"/>
        </w:rPr>
        <w:footnoteRef/>
      </w:r>
      <w:r>
        <w:t xml:space="preserve"> </w:t>
      </w:r>
      <w:r>
        <w:rPr>
          <w:lang w:val="en-GB"/>
        </w:rPr>
        <w:t xml:space="preserve">See for example, Isaac, T. and Pears, A. 2016, </w:t>
      </w:r>
      <w:r w:rsidRPr="000F4098">
        <w:rPr>
          <w:i/>
          <w:lang w:val="en-GB"/>
        </w:rPr>
        <w:t>How cautious analysis could lead to a ‘do nothing’</w:t>
      </w:r>
      <w:r>
        <w:rPr>
          <w:i/>
          <w:lang w:val="en-GB"/>
        </w:rPr>
        <w:t xml:space="preserve"> </w:t>
      </w:r>
      <w:r w:rsidRPr="000F4098">
        <w:rPr>
          <w:i/>
          <w:lang w:val="en-GB"/>
        </w:rPr>
        <w:t>policy: A case study of the 6-star housing Regulation Impact Statement</w:t>
      </w:r>
      <w:r>
        <w:rPr>
          <w:lang w:val="en-GB"/>
        </w:rPr>
        <w:t>, July 2016, pp. 13</w:t>
      </w:r>
      <w:r>
        <w:rPr>
          <w:lang w:val="en-GB"/>
        </w:rPr>
        <w:noBreakHyphen/>
        <w:t xml:space="preserve">16; and pitt&amp;sherry 2013, </w:t>
      </w:r>
      <w:r w:rsidRPr="003E7C06">
        <w:rPr>
          <w:i/>
          <w:lang w:val="en-GB"/>
        </w:rPr>
        <w:t>Final report: Quantitative assessment of energy savings from building energy efficiency measures</w:t>
      </w:r>
      <w:r>
        <w:rPr>
          <w:lang w:val="en-GB"/>
        </w:rPr>
        <w:t>, Prepared for: Department of Climate Change and Energy Efficiency, 20 March 2013, pp. 36</w:t>
      </w:r>
      <w:r>
        <w:rPr>
          <w:lang w:val="en-GB"/>
        </w:rPr>
        <w:noBreakHyphen/>
        <w:t>41.</w:t>
      </w:r>
    </w:p>
  </w:footnote>
  <w:footnote w:id="105">
    <w:p w14:paraId="5701E231" w14:textId="77777777" w:rsidR="003E0782" w:rsidRPr="001152D3" w:rsidRDefault="003E0782" w:rsidP="00ED0E85">
      <w:pPr>
        <w:pStyle w:val="FootnoteText"/>
      </w:pPr>
      <w:r>
        <w:rPr>
          <w:rStyle w:val="FootnoteReference"/>
        </w:rPr>
        <w:footnoteRef/>
      </w:r>
      <w:r>
        <w:t xml:space="preserve"> </w:t>
      </w:r>
      <w:r>
        <w:tab/>
        <w:t xml:space="preserve">Energeia 2019, </w:t>
      </w:r>
      <w:r>
        <w:rPr>
          <w:i/>
        </w:rPr>
        <w:t>Trajectory for low energy buildings: Infrastructure and customer impacts,</w:t>
      </w:r>
      <w:r>
        <w:t xml:space="preserve"> prepared for Department of the Environment and Energy.</w:t>
      </w:r>
    </w:p>
  </w:footnote>
  <w:footnote w:id="106">
    <w:p w14:paraId="7E4F4831" w14:textId="77777777" w:rsidR="003E0782" w:rsidRDefault="003E0782" w:rsidP="00ED0E85">
      <w:pPr>
        <w:pStyle w:val="FootnoteText"/>
      </w:pPr>
      <w:r>
        <w:rPr>
          <w:rStyle w:val="FootnoteReference"/>
        </w:rPr>
        <w:footnoteRef/>
      </w:r>
      <w:r>
        <w:t xml:space="preserve"> </w:t>
      </w:r>
      <w:r>
        <w:tab/>
        <w:t>Note that the Energeia study does not appear to measure changes to operating costs.</w:t>
      </w:r>
    </w:p>
  </w:footnote>
  <w:footnote w:id="107">
    <w:p w14:paraId="42916A33" w14:textId="77777777" w:rsidR="003E0782" w:rsidRPr="001152D3" w:rsidRDefault="003E0782" w:rsidP="00ED0E85">
      <w:pPr>
        <w:pStyle w:val="FootnoteText"/>
      </w:pPr>
      <w:r>
        <w:rPr>
          <w:rStyle w:val="FootnoteReference"/>
        </w:rPr>
        <w:footnoteRef/>
      </w:r>
      <w:r>
        <w:t xml:space="preserve"> Australian Energy Market Commission 2018, </w:t>
      </w:r>
      <w:r>
        <w:rPr>
          <w:i/>
        </w:rPr>
        <w:t>2018 residential electricity price trends review,</w:t>
      </w:r>
      <w:r>
        <w:t xml:space="preserve"> December, </w:t>
      </w:r>
      <w:hyperlink r:id="rId50" w:history="1">
        <w:r>
          <w:rPr>
            <w:rStyle w:val="Hyperlink"/>
          </w:rPr>
          <w:t>https://www.aemc.gov.au/sites/default/files/2018-12/2018%20Price%20Trends%20-%20Final%20Report%20-%20CLEAN.PDF</w:t>
        </w:r>
      </w:hyperlink>
      <w:r>
        <w:t>.</w:t>
      </w:r>
    </w:p>
  </w:footnote>
  <w:footnote w:id="108">
    <w:p w14:paraId="5FA3FDAB" w14:textId="77777777" w:rsidR="003E0782" w:rsidRPr="002B3C0A" w:rsidRDefault="003E0782" w:rsidP="00ED0E85">
      <w:pPr>
        <w:pStyle w:val="FootnoteText"/>
        <w:rPr>
          <w:lang w:val="en-GB"/>
        </w:rPr>
      </w:pPr>
      <w:r w:rsidRPr="007B74D1">
        <w:rPr>
          <w:i/>
        </w:rPr>
        <w:t>Accounts Factors</w:t>
      </w:r>
      <w:r w:rsidRPr="007B74D1">
        <w:t>, Australian National Greenhouse Accounts, July 2018, p. 12.</w:t>
      </w:r>
    </w:p>
  </w:footnote>
  <w:footnote w:id="109">
    <w:p w14:paraId="31476C7A" w14:textId="77777777" w:rsidR="003E0782" w:rsidRPr="002B3C0A" w:rsidRDefault="003E0782" w:rsidP="00ED0E85">
      <w:pPr>
        <w:pStyle w:val="FootnoteText"/>
        <w:rPr>
          <w:lang w:val="en-GB"/>
        </w:rPr>
      </w:pPr>
      <w:r>
        <w:rPr>
          <w:rStyle w:val="FootnoteReference"/>
        </w:rPr>
        <w:footnoteRef/>
      </w:r>
      <w:r>
        <w:t xml:space="preserve"> </w:t>
      </w:r>
      <w:r w:rsidRPr="002B3C0A">
        <w:t xml:space="preserve">Australian Government Department of the Environment and Energy, </w:t>
      </w:r>
      <w:r w:rsidRPr="002B3C0A">
        <w:rPr>
          <w:i/>
        </w:rPr>
        <w:t>National Greenhouse Accounts Factors</w:t>
      </w:r>
      <w:r w:rsidRPr="002B3C0A">
        <w:t>, Australian National Greenhouse Accounts, July 2018, p. 66.</w:t>
      </w:r>
    </w:p>
  </w:footnote>
  <w:footnote w:id="110">
    <w:p w14:paraId="1C19589E" w14:textId="77777777" w:rsidR="003E0782" w:rsidRPr="00E331C2" w:rsidRDefault="003E0782" w:rsidP="00ED0E85">
      <w:pPr>
        <w:pStyle w:val="FootnoteText"/>
      </w:pPr>
      <w:r>
        <w:rPr>
          <w:rStyle w:val="FootnoteReference"/>
        </w:rPr>
        <w:footnoteRef/>
      </w:r>
      <w:r>
        <w:t xml:space="preserve"> </w:t>
      </w:r>
      <w:r w:rsidRPr="00E331C2">
        <w:t>Jotzo, F., Pezzey, J.</w:t>
      </w:r>
      <w:r>
        <w:t>,</w:t>
      </w:r>
      <w:r w:rsidRPr="00E331C2">
        <w:t xml:space="preserve"> van Dijk, J. and Mazouz, S. 2015, </w:t>
      </w:r>
      <w:r w:rsidRPr="00E331C2">
        <w:rPr>
          <w:i/>
        </w:rPr>
        <w:t>Social cost of carbon for NSW policy analysis</w:t>
      </w:r>
      <w:r w:rsidRPr="00E331C2">
        <w:t>, prepared for the NSW Department of Environment and Heritage, p. 9.</w:t>
      </w:r>
    </w:p>
  </w:footnote>
  <w:footnote w:id="111">
    <w:p w14:paraId="13696624" w14:textId="77777777" w:rsidR="003E0782" w:rsidRDefault="003E0782" w:rsidP="00ED0E85">
      <w:pPr>
        <w:pStyle w:val="FootnoteText"/>
      </w:pPr>
      <w:r>
        <w:rPr>
          <w:rStyle w:val="FootnoteReference"/>
        </w:rPr>
        <w:footnoteRef/>
      </w:r>
      <w:r>
        <w:t xml:space="preserve"> US EPA 2017, </w:t>
      </w:r>
      <w:r>
        <w:rPr>
          <w:i/>
        </w:rPr>
        <w:t>The Social Cost of Carbon: Estimating the Benefit of Reducing Greenhouse Gas Emissions</w:t>
      </w:r>
      <w:r>
        <w:t xml:space="preserve">, </w:t>
      </w:r>
      <w:r w:rsidRPr="0034294C">
        <w:t>https://19january2017snapshot.epa.gov/climatechange/social-cost-carbon_.html</w:t>
      </w:r>
      <w:r>
        <w:t>.</w:t>
      </w:r>
    </w:p>
  </w:footnote>
  <w:footnote w:id="112">
    <w:p w14:paraId="4D802428" w14:textId="77777777" w:rsidR="003E0782" w:rsidRPr="001152D3" w:rsidRDefault="003E0782" w:rsidP="00ED0E85">
      <w:pPr>
        <w:pStyle w:val="FootnoteText"/>
        <w:rPr>
          <w:rFonts w:ascii="Calisto MT" w:eastAsiaTheme="minorEastAsia" w:hAnsi="Calisto MT"/>
          <w:b/>
          <w:sz w:val="21"/>
          <w:szCs w:val="21"/>
        </w:rPr>
      </w:pPr>
      <w:r>
        <w:rPr>
          <w:rStyle w:val="FootnoteReference"/>
        </w:rPr>
        <w:footnoteRef/>
      </w:r>
      <w:r>
        <w:t xml:space="preserve"> </w:t>
      </w:r>
      <w:r>
        <w:tab/>
      </w:r>
      <w:r w:rsidRPr="00091768">
        <w:rPr>
          <w:rStyle w:val="FootnoteReference"/>
        </w:rPr>
        <w:t xml:space="preserve">Clean Energy Regulator, 2019, Electricity sector emissions and generation data 2017-18, </w:t>
      </w:r>
      <w:hyperlink r:id="rId51" w:history="1">
        <w:r w:rsidRPr="00091768">
          <w:rPr>
            <w:rStyle w:val="FootnoteReference"/>
            <w:lang w:eastAsia="en-US"/>
          </w:rPr>
          <w:t>http://www.cleanenergyregulator.gov.au/NGER/Pages/Published%20information/Electricity%20sector%20emissions%20and%20generation%20data/Electricity-sector-emissions-and-generation-data-2017%E2%80%9318-.aspx</w:t>
        </w:r>
      </w:hyperlink>
      <w:r>
        <w:rPr>
          <w:lang w:eastAsia="en-US"/>
        </w:rPr>
        <w:t>.</w:t>
      </w:r>
    </w:p>
  </w:footnote>
  <w:footnote w:id="113">
    <w:p w14:paraId="47F7EB65" w14:textId="77777777" w:rsidR="003E0782" w:rsidRDefault="003E0782" w:rsidP="00ED0E85">
      <w:pPr>
        <w:pStyle w:val="FootnoteText"/>
      </w:pPr>
      <w:r>
        <w:rPr>
          <w:rStyle w:val="FootnoteReference"/>
        </w:rPr>
        <w:footnoteRef/>
      </w:r>
      <w:r>
        <w:t xml:space="preserve"> </w:t>
      </w:r>
      <w:r>
        <w:tab/>
        <w:t xml:space="preserve">PAEHolmes, 2013, </w:t>
      </w:r>
      <w:r>
        <w:rPr>
          <w:i/>
        </w:rPr>
        <w:t xml:space="preserve">Methodology for valuing the health impacts of changes in particle emissions </w:t>
      </w:r>
      <w:r>
        <w:rPr>
          <w:i/>
        </w:rPr>
        <w:noBreakHyphen/>
        <w:t xml:space="preserve"> final report</w:t>
      </w:r>
      <w:r>
        <w:t>. Prepared for NSW Environment Protection Authority (EPA).</w:t>
      </w:r>
    </w:p>
  </w:footnote>
  <w:footnote w:id="114">
    <w:p w14:paraId="0D0E6BDE" w14:textId="77777777" w:rsidR="003E0782" w:rsidRDefault="003E0782" w:rsidP="00ED0E85">
      <w:pPr>
        <w:pStyle w:val="FootnoteText"/>
      </w:pPr>
      <w:r>
        <w:rPr>
          <w:rStyle w:val="FootnoteReference"/>
        </w:rPr>
        <w:footnoteRef/>
      </w:r>
      <w:r>
        <w:t xml:space="preserve"> </w:t>
      </w:r>
      <w:r>
        <w:tab/>
        <w:t xml:space="preserve">Defra, 2012, </w:t>
      </w:r>
      <w:r>
        <w:rPr>
          <w:i/>
        </w:rPr>
        <w:t xml:space="preserve">Air Quality Damage Costs. Published by Defra. </w:t>
      </w:r>
      <w:r>
        <w:t xml:space="preserve">Current damage cost values published at: </w:t>
      </w:r>
      <w:hyperlink r:id="rId52" w:history="1">
        <w:r>
          <w:rPr>
            <w:rStyle w:val="Hyperlink"/>
          </w:rPr>
          <w:t>http://www.defra.gov.uk/environment/quality/air/airquality/economic/damage/</w:t>
        </w:r>
      </w:hyperlink>
      <w:r>
        <w:t xml:space="preserve">. with a guidance document on the use of the damage costs at: </w:t>
      </w:r>
      <w:hyperlink r:id="rId53" w:history="1">
        <w:r>
          <w:rPr>
            <w:rStyle w:val="Hyperlink"/>
          </w:rPr>
          <w:t>http://archive.defra.gov.uk/environment/quality/air/airquality/panels/igcb/documents/damagecost-guidance.pdf</w:t>
        </w:r>
      </w:hyperlink>
      <w:r>
        <w:t xml:space="preserve"> </w:t>
      </w:r>
    </w:p>
  </w:footnote>
  <w:footnote w:id="115">
    <w:p w14:paraId="7D4CE5E2" w14:textId="77777777" w:rsidR="003E0782" w:rsidRDefault="003E0782" w:rsidP="00ED0E85">
      <w:pPr>
        <w:pStyle w:val="FootnoteText"/>
      </w:pPr>
      <w:r>
        <w:rPr>
          <w:rStyle w:val="FootnoteReference"/>
        </w:rPr>
        <w:footnoteRef/>
      </w:r>
      <w:r>
        <w:t xml:space="preserve"> </w:t>
      </w:r>
      <w:r>
        <w:tab/>
        <w:t>Electricity generation facility either located in SUA or located nearby.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0A423A" w14:textId="77777777" w:rsidR="003E0782" w:rsidRPr="009D4FBD" w:rsidRDefault="003E0782" w:rsidP="00677846">
    <w:pPr>
      <w:pStyle w:val="Header"/>
      <w:ind w:left="0" w:right="-1"/>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Pr>
    <w:tblGrid>
      <w:gridCol w:w="2268"/>
      <w:gridCol w:w="1134"/>
      <w:gridCol w:w="6804"/>
      <w:gridCol w:w="1701"/>
    </w:tblGrid>
    <w:tr w:rsidR="003E0782" w14:paraId="77C7DE6D" w14:textId="77777777" w:rsidTr="006D44B3">
      <w:trPr>
        <w:trHeight w:val="624"/>
      </w:trPr>
      <w:tc>
        <w:tcPr>
          <w:tcW w:w="2268" w:type="dxa"/>
        </w:tcPr>
        <w:p w14:paraId="3C6FCDCE" w14:textId="77777777" w:rsidR="003E0782" w:rsidRDefault="003E0782" w:rsidP="006D44B3">
          <w:pPr>
            <w:pStyle w:val="Header"/>
            <w:ind w:left="0" w:right="-1"/>
          </w:pPr>
        </w:p>
      </w:tc>
      <w:tc>
        <w:tcPr>
          <w:tcW w:w="1134" w:type="dxa"/>
          <w:vAlign w:val="bottom"/>
        </w:tcPr>
        <w:p w14:paraId="2837387F" w14:textId="77777777" w:rsidR="003E0782" w:rsidRDefault="003E0782" w:rsidP="006D44B3">
          <w:pPr>
            <w:pStyle w:val="Header"/>
            <w:ind w:left="0" w:right="-1"/>
          </w:pPr>
          <w:r>
            <w:rPr>
              <w:rStyle w:val="PageNumber"/>
            </w:rPr>
            <w:fldChar w:fldCharType="begin"/>
          </w:r>
          <w:r>
            <w:rPr>
              <w:rStyle w:val="PageNumber"/>
            </w:rPr>
            <w:instrText xml:space="preserve"> PAGE </w:instrText>
          </w:r>
          <w:r>
            <w:rPr>
              <w:rStyle w:val="PageNumber"/>
            </w:rPr>
            <w:fldChar w:fldCharType="separate"/>
          </w:r>
          <w:r w:rsidR="00557D49">
            <w:rPr>
              <w:rStyle w:val="PageNumber"/>
              <w:noProof/>
            </w:rPr>
            <w:t>22</w:t>
          </w:r>
          <w:r>
            <w:rPr>
              <w:rStyle w:val="PageNumber"/>
            </w:rPr>
            <w:fldChar w:fldCharType="end"/>
          </w:r>
        </w:p>
      </w:tc>
      <w:tc>
        <w:tcPr>
          <w:tcW w:w="6804" w:type="dxa"/>
          <w:vAlign w:val="bottom"/>
        </w:tcPr>
        <w:p w14:paraId="697F1FC0" w14:textId="6D4C3D36" w:rsidR="003E0782" w:rsidRDefault="003E0782" w:rsidP="006D44B3">
          <w:pPr>
            <w:pStyle w:val="Header"/>
            <w:ind w:left="0" w:right="-1"/>
            <w:jc w:val="right"/>
          </w:pPr>
          <w:r>
            <w:rPr>
              <w:noProof/>
            </w:rPr>
            <w:fldChar w:fldCharType="begin"/>
          </w:r>
          <w:r>
            <w:rPr>
              <w:noProof/>
            </w:rPr>
            <w:instrText xml:space="preserve"> STYLEREF  Title </w:instrText>
          </w:r>
          <w:r>
            <w:rPr>
              <w:noProof/>
            </w:rPr>
            <w:fldChar w:fldCharType="separate"/>
          </w:r>
          <w:r w:rsidR="00557D49">
            <w:rPr>
              <w:noProof/>
            </w:rPr>
            <w:t>Independent review of the Commercial Building Disclosure Program</w:t>
          </w:r>
          <w:r>
            <w:rPr>
              <w:noProof/>
            </w:rPr>
            <w:fldChar w:fldCharType="end"/>
          </w:r>
        </w:p>
      </w:tc>
      <w:tc>
        <w:tcPr>
          <w:tcW w:w="1701" w:type="dxa"/>
        </w:tcPr>
        <w:p w14:paraId="4CF1EAC1" w14:textId="77777777" w:rsidR="003E0782" w:rsidRDefault="003E0782" w:rsidP="006D44B3">
          <w:pPr>
            <w:pStyle w:val="Header"/>
            <w:ind w:left="0" w:right="-1"/>
          </w:pPr>
        </w:p>
      </w:tc>
    </w:tr>
  </w:tbl>
  <w:p w14:paraId="49AD0684" w14:textId="77777777" w:rsidR="003E0782" w:rsidRPr="009D4FBD" w:rsidRDefault="003E0782" w:rsidP="00677846">
    <w:pPr>
      <w:pStyle w:val="Header"/>
      <w:ind w:left="0" w:right="-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Pr>
    <w:tblGrid>
      <w:gridCol w:w="2268"/>
      <w:gridCol w:w="7513"/>
      <w:gridCol w:w="992"/>
      <w:gridCol w:w="1701"/>
    </w:tblGrid>
    <w:tr w:rsidR="003E0782" w14:paraId="69330B2A" w14:textId="77777777" w:rsidTr="004E7620">
      <w:trPr>
        <w:trHeight w:val="624"/>
      </w:trPr>
      <w:tc>
        <w:tcPr>
          <w:tcW w:w="2268" w:type="dxa"/>
        </w:tcPr>
        <w:p w14:paraId="5CDA7FF0" w14:textId="77777777" w:rsidR="003E0782" w:rsidRDefault="003E0782" w:rsidP="006D44B3">
          <w:pPr>
            <w:pStyle w:val="Header"/>
            <w:ind w:left="0" w:right="-1"/>
          </w:pPr>
        </w:p>
      </w:tc>
      <w:tc>
        <w:tcPr>
          <w:tcW w:w="7513" w:type="dxa"/>
          <w:vAlign w:val="bottom"/>
        </w:tcPr>
        <w:p w14:paraId="456AEF62" w14:textId="5F8E5166" w:rsidR="003E0782" w:rsidRDefault="003E0782" w:rsidP="006D44B3">
          <w:pPr>
            <w:pStyle w:val="Header"/>
            <w:ind w:left="0" w:right="-1"/>
          </w:pPr>
          <w:r>
            <w:rPr>
              <w:noProof/>
            </w:rPr>
            <w:fldChar w:fldCharType="begin"/>
          </w:r>
          <w:r>
            <w:rPr>
              <w:noProof/>
            </w:rPr>
            <w:instrText xml:space="preserve"> STYLEREF  Title </w:instrText>
          </w:r>
          <w:r>
            <w:rPr>
              <w:noProof/>
            </w:rPr>
            <w:fldChar w:fldCharType="separate"/>
          </w:r>
          <w:r w:rsidR="00557D49">
            <w:rPr>
              <w:noProof/>
            </w:rPr>
            <w:t>Independent review of the Commercial Building Disclosure Program</w:t>
          </w:r>
          <w:r>
            <w:rPr>
              <w:noProof/>
            </w:rPr>
            <w:fldChar w:fldCharType="end"/>
          </w:r>
        </w:p>
      </w:tc>
      <w:tc>
        <w:tcPr>
          <w:tcW w:w="992" w:type="dxa"/>
          <w:vAlign w:val="bottom"/>
        </w:tcPr>
        <w:p w14:paraId="326E4A3C" w14:textId="77777777" w:rsidR="003E0782" w:rsidRDefault="003E0782" w:rsidP="006D44B3">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sidR="00557D49">
            <w:rPr>
              <w:rStyle w:val="PageNumber"/>
              <w:noProof/>
            </w:rPr>
            <w:t>25</w:t>
          </w:r>
          <w:r>
            <w:rPr>
              <w:rStyle w:val="PageNumber"/>
            </w:rPr>
            <w:fldChar w:fldCharType="end"/>
          </w:r>
        </w:p>
      </w:tc>
      <w:tc>
        <w:tcPr>
          <w:tcW w:w="1701" w:type="dxa"/>
        </w:tcPr>
        <w:p w14:paraId="4C22AC26" w14:textId="77777777" w:rsidR="003E0782" w:rsidRDefault="003E0782" w:rsidP="006D44B3">
          <w:pPr>
            <w:pStyle w:val="Header"/>
            <w:ind w:left="0" w:right="-1"/>
          </w:pPr>
        </w:p>
      </w:tc>
    </w:tr>
  </w:tbl>
  <w:p w14:paraId="66403088" w14:textId="77777777" w:rsidR="003E0782" w:rsidRPr="009D4FBD" w:rsidRDefault="003E0782" w:rsidP="00ED0E85">
    <w:pPr>
      <w:pStyle w:val="Header"/>
      <w:ind w:left="0" w:right="-1"/>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Pr>
    <w:tblGrid>
      <w:gridCol w:w="2268"/>
      <w:gridCol w:w="1134"/>
      <w:gridCol w:w="6804"/>
      <w:gridCol w:w="1701"/>
    </w:tblGrid>
    <w:tr w:rsidR="003E0782" w14:paraId="61D471DF" w14:textId="77777777" w:rsidTr="006D44B3">
      <w:trPr>
        <w:trHeight w:val="624"/>
      </w:trPr>
      <w:tc>
        <w:tcPr>
          <w:tcW w:w="2268" w:type="dxa"/>
        </w:tcPr>
        <w:p w14:paraId="41DC8F54" w14:textId="77777777" w:rsidR="003E0782" w:rsidRDefault="003E0782" w:rsidP="006D44B3">
          <w:pPr>
            <w:pStyle w:val="Header"/>
            <w:ind w:left="0" w:right="-1"/>
          </w:pPr>
        </w:p>
      </w:tc>
      <w:tc>
        <w:tcPr>
          <w:tcW w:w="1134" w:type="dxa"/>
          <w:vAlign w:val="bottom"/>
        </w:tcPr>
        <w:p w14:paraId="45737423" w14:textId="77777777" w:rsidR="003E0782" w:rsidRDefault="003E0782" w:rsidP="006D44B3">
          <w:pPr>
            <w:pStyle w:val="Header"/>
            <w:ind w:left="0" w:right="-1"/>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tc>
      <w:tc>
        <w:tcPr>
          <w:tcW w:w="6804" w:type="dxa"/>
          <w:vAlign w:val="bottom"/>
        </w:tcPr>
        <w:p w14:paraId="793B4EC2" w14:textId="34BD717E" w:rsidR="003E0782" w:rsidRDefault="003E0782" w:rsidP="006D44B3">
          <w:pPr>
            <w:pStyle w:val="Header"/>
            <w:ind w:left="0" w:right="-1"/>
            <w:jc w:val="right"/>
          </w:pPr>
          <w:r>
            <w:rPr>
              <w:noProof/>
            </w:rPr>
            <w:fldChar w:fldCharType="begin"/>
          </w:r>
          <w:r>
            <w:rPr>
              <w:noProof/>
            </w:rPr>
            <w:instrText xml:space="preserve"> STYLEREF  Title </w:instrText>
          </w:r>
          <w:r>
            <w:rPr>
              <w:noProof/>
            </w:rPr>
            <w:fldChar w:fldCharType="separate"/>
          </w:r>
          <w:r w:rsidR="00AD3561">
            <w:rPr>
              <w:noProof/>
            </w:rPr>
            <w:t>Independent review of the Commercial Building Disclosure Program</w:t>
          </w:r>
          <w:r>
            <w:rPr>
              <w:noProof/>
            </w:rPr>
            <w:fldChar w:fldCharType="end"/>
          </w:r>
        </w:p>
      </w:tc>
      <w:tc>
        <w:tcPr>
          <w:tcW w:w="1701" w:type="dxa"/>
        </w:tcPr>
        <w:p w14:paraId="734965D4" w14:textId="77777777" w:rsidR="003E0782" w:rsidRDefault="003E0782" w:rsidP="006D44B3">
          <w:pPr>
            <w:pStyle w:val="Header"/>
            <w:ind w:left="0" w:right="-1"/>
          </w:pPr>
        </w:p>
      </w:tc>
    </w:tr>
  </w:tbl>
  <w:p w14:paraId="2E215B98" w14:textId="77777777" w:rsidR="003E0782" w:rsidRPr="009D4FBD" w:rsidRDefault="003E0782" w:rsidP="00677846">
    <w:pPr>
      <w:pStyle w:val="Header"/>
      <w:ind w:left="0" w:right="-1"/>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Pr>
    <w:tblGrid>
      <w:gridCol w:w="2268"/>
      <w:gridCol w:w="7513"/>
      <w:gridCol w:w="992"/>
      <w:gridCol w:w="1701"/>
    </w:tblGrid>
    <w:tr w:rsidR="003E0782" w14:paraId="5AED8E65" w14:textId="77777777" w:rsidTr="004E7620">
      <w:trPr>
        <w:trHeight w:val="624"/>
      </w:trPr>
      <w:tc>
        <w:tcPr>
          <w:tcW w:w="2268" w:type="dxa"/>
        </w:tcPr>
        <w:p w14:paraId="7AD388D2" w14:textId="77777777" w:rsidR="003E0782" w:rsidRDefault="003E0782" w:rsidP="006D44B3">
          <w:pPr>
            <w:pStyle w:val="Header"/>
            <w:ind w:left="0" w:right="-1"/>
          </w:pPr>
        </w:p>
      </w:tc>
      <w:tc>
        <w:tcPr>
          <w:tcW w:w="7513" w:type="dxa"/>
          <w:vAlign w:val="bottom"/>
        </w:tcPr>
        <w:p w14:paraId="2034DF38" w14:textId="6FA50EF8" w:rsidR="003E0782" w:rsidRDefault="003E0782" w:rsidP="006D44B3">
          <w:pPr>
            <w:pStyle w:val="Header"/>
            <w:ind w:left="0" w:right="-1"/>
          </w:pPr>
          <w:r>
            <w:rPr>
              <w:noProof/>
            </w:rPr>
            <w:fldChar w:fldCharType="begin"/>
          </w:r>
          <w:r>
            <w:rPr>
              <w:noProof/>
            </w:rPr>
            <w:instrText xml:space="preserve"> STYLEREF  Title </w:instrText>
          </w:r>
          <w:r>
            <w:rPr>
              <w:noProof/>
            </w:rPr>
            <w:fldChar w:fldCharType="separate"/>
          </w:r>
          <w:r w:rsidR="00557D49">
            <w:rPr>
              <w:noProof/>
            </w:rPr>
            <w:t>Independent review of the Commercial Building Disclosure Program</w:t>
          </w:r>
          <w:r>
            <w:rPr>
              <w:noProof/>
            </w:rPr>
            <w:fldChar w:fldCharType="end"/>
          </w:r>
        </w:p>
      </w:tc>
      <w:tc>
        <w:tcPr>
          <w:tcW w:w="992" w:type="dxa"/>
          <w:vAlign w:val="bottom"/>
        </w:tcPr>
        <w:p w14:paraId="276435CC" w14:textId="77777777" w:rsidR="003E0782" w:rsidRDefault="003E0782" w:rsidP="006D44B3">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sidR="00557D49">
            <w:rPr>
              <w:rStyle w:val="PageNumber"/>
              <w:noProof/>
            </w:rPr>
            <w:t>31</w:t>
          </w:r>
          <w:r>
            <w:rPr>
              <w:rStyle w:val="PageNumber"/>
            </w:rPr>
            <w:fldChar w:fldCharType="end"/>
          </w:r>
        </w:p>
      </w:tc>
      <w:tc>
        <w:tcPr>
          <w:tcW w:w="1701" w:type="dxa"/>
        </w:tcPr>
        <w:p w14:paraId="4A708D67" w14:textId="77777777" w:rsidR="003E0782" w:rsidRDefault="003E0782" w:rsidP="006D44B3">
          <w:pPr>
            <w:pStyle w:val="Header"/>
            <w:ind w:left="0" w:right="-1"/>
          </w:pPr>
        </w:p>
      </w:tc>
    </w:tr>
  </w:tbl>
  <w:p w14:paraId="667C9AB2" w14:textId="77777777" w:rsidR="003E0782" w:rsidRPr="009D4FBD" w:rsidRDefault="003E0782" w:rsidP="00677846">
    <w:pPr>
      <w:pStyle w:val="Header"/>
      <w:ind w:left="0" w:right="-1"/>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Pr>
    <w:tblGrid>
      <w:gridCol w:w="2268"/>
      <w:gridCol w:w="1134"/>
      <w:gridCol w:w="6804"/>
      <w:gridCol w:w="1701"/>
    </w:tblGrid>
    <w:tr w:rsidR="003E0782" w14:paraId="0E6F624A" w14:textId="77777777" w:rsidTr="006D44B3">
      <w:trPr>
        <w:trHeight w:val="624"/>
      </w:trPr>
      <w:tc>
        <w:tcPr>
          <w:tcW w:w="2268" w:type="dxa"/>
        </w:tcPr>
        <w:p w14:paraId="4D89A85D" w14:textId="77777777" w:rsidR="003E0782" w:rsidRDefault="003E0782" w:rsidP="006D44B3">
          <w:pPr>
            <w:pStyle w:val="Header"/>
            <w:ind w:left="0" w:right="-1"/>
          </w:pPr>
        </w:p>
      </w:tc>
      <w:tc>
        <w:tcPr>
          <w:tcW w:w="1134" w:type="dxa"/>
          <w:vAlign w:val="bottom"/>
        </w:tcPr>
        <w:p w14:paraId="350CCB2E" w14:textId="77777777" w:rsidR="003E0782" w:rsidRDefault="003E0782" w:rsidP="006D44B3">
          <w:pPr>
            <w:pStyle w:val="Header"/>
            <w:ind w:left="0" w:right="-1"/>
          </w:pPr>
          <w:r>
            <w:rPr>
              <w:rStyle w:val="PageNumber"/>
            </w:rPr>
            <w:fldChar w:fldCharType="begin"/>
          </w:r>
          <w:r>
            <w:rPr>
              <w:rStyle w:val="PageNumber"/>
            </w:rPr>
            <w:instrText xml:space="preserve"> PAGE </w:instrText>
          </w:r>
          <w:r>
            <w:rPr>
              <w:rStyle w:val="PageNumber"/>
            </w:rPr>
            <w:fldChar w:fldCharType="separate"/>
          </w:r>
          <w:r w:rsidR="00557D49">
            <w:rPr>
              <w:rStyle w:val="PageNumber"/>
              <w:noProof/>
            </w:rPr>
            <w:t>52</w:t>
          </w:r>
          <w:r>
            <w:rPr>
              <w:rStyle w:val="PageNumber"/>
            </w:rPr>
            <w:fldChar w:fldCharType="end"/>
          </w:r>
        </w:p>
      </w:tc>
      <w:tc>
        <w:tcPr>
          <w:tcW w:w="6804" w:type="dxa"/>
          <w:vAlign w:val="bottom"/>
        </w:tcPr>
        <w:p w14:paraId="46DB83EB" w14:textId="00C87C0D" w:rsidR="003E0782" w:rsidRDefault="003E0782" w:rsidP="006D44B3">
          <w:pPr>
            <w:pStyle w:val="Header"/>
            <w:ind w:left="0" w:right="-1"/>
            <w:jc w:val="right"/>
          </w:pPr>
          <w:r>
            <w:rPr>
              <w:noProof/>
            </w:rPr>
            <w:fldChar w:fldCharType="begin"/>
          </w:r>
          <w:r>
            <w:rPr>
              <w:noProof/>
            </w:rPr>
            <w:instrText xml:space="preserve"> STYLEREF  Title </w:instrText>
          </w:r>
          <w:r>
            <w:rPr>
              <w:noProof/>
            </w:rPr>
            <w:fldChar w:fldCharType="separate"/>
          </w:r>
          <w:r w:rsidR="00557D49">
            <w:rPr>
              <w:noProof/>
            </w:rPr>
            <w:t>Independent review of the Commercial Building Disclosure Program</w:t>
          </w:r>
          <w:r>
            <w:rPr>
              <w:noProof/>
            </w:rPr>
            <w:fldChar w:fldCharType="end"/>
          </w:r>
        </w:p>
      </w:tc>
      <w:tc>
        <w:tcPr>
          <w:tcW w:w="1701" w:type="dxa"/>
        </w:tcPr>
        <w:p w14:paraId="6E60B0E6" w14:textId="77777777" w:rsidR="003E0782" w:rsidRDefault="003E0782" w:rsidP="006D44B3">
          <w:pPr>
            <w:pStyle w:val="Header"/>
            <w:ind w:left="0" w:right="-1"/>
          </w:pPr>
        </w:p>
      </w:tc>
    </w:tr>
  </w:tbl>
  <w:p w14:paraId="621A78BD" w14:textId="77777777" w:rsidR="003E0782" w:rsidRPr="009D4FBD" w:rsidRDefault="003E0782" w:rsidP="00677846">
    <w:pPr>
      <w:pStyle w:val="Header"/>
      <w:ind w:left="0" w:right="-1"/>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Pr>
    <w:tblGrid>
      <w:gridCol w:w="2268"/>
      <w:gridCol w:w="7513"/>
      <w:gridCol w:w="992"/>
      <w:gridCol w:w="1701"/>
    </w:tblGrid>
    <w:tr w:rsidR="003E0782" w14:paraId="6BC9BF3D" w14:textId="77777777" w:rsidTr="004E7620">
      <w:trPr>
        <w:trHeight w:val="624"/>
      </w:trPr>
      <w:tc>
        <w:tcPr>
          <w:tcW w:w="2268" w:type="dxa"/>
        </w:tcPr>
        <w:p w14:paraId="3019C75F" w14:textId="77777777" w:rsidR="003E0782" w:rsidRDefault="003E0782" w:rsidP="006D44B3">
          <w:pPr>
            <w:pStyle w:val="Header"/>
            <w:ind w:left="0" w:right="-1"/>
          </w:pPr>
        </w:p>
      </w:tc>
      <w:tc>
        <w:tcPr>
          <w:tcW w:w="7513" w:type="dxa"/>
          <w:vAlign w:val="bottom"/>
        </w:tcPr>
        <w:p w14:paraId="6802488C" w14:textId="2E090915" w:rsidR="003E0782" w:rsidRDefault="003E0782" w:rsidP="006D44B3">
          <w:pPr>
            <w:pStyle w:val="Header"/>
            <w:ind w:left="0" w:right="-1"/>
          </w:pPr>
          <w:r>
            <w:rPr>
              <w:noProof/>
            </w:rPr>
            <w:fldChar w:fldCharType="begin"/>
          </w:r>
          <w:r>
            <w:rPr>
              <w:noProof/>
            </w:rPr>
            <w:instrText xml:space="preserve"> STYLEREF  Title </w:instrText>
          </w:r>
          <w:r>
            <w:rPr>
              <w:noProof/>
            </w:rPr>
            <w:fldChar w:fldCharType="separate"/>
          </w:r>
          <w:r w:rsidR="00557D49">
            <w:rPr>
              <w:noProof/>
            </w:rPr>
            <w:t>Independent review of the Commercial Building Disclosure Program</w:t>
          </w:r>
          <w:r>
            <w:rPr>
              <w:noProof/>
            </w:rPr>
            <w:fldChar w:fldCharType="end"/>
          </w:r>
        </w:p>
      </w:tc>
      <w:tc>
        <w:tcPr>
          <w:tcW w:w="992" w:type="dxa"/>
          <w:vAlign w:val="bottom"/>
        </w:tcPr>
        <w:p w14:paraId="3AA6162D" w14:textId="77777777" w:rsidR="003E0782" w:rsidRDefault="003E0782" w:rsidP="006D44B3">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sidR="00557D49">
            <w:rPr>
              <w:rStyle w:val="PageNumber"/>
              <w:noProof/>
            </w:rPr>
            <w:t>51</w:t>
          </w:r>
          <w:r>
            <w:rPr>
              <w:rStyle w:val="PageNumber"/>
            </w:rPr>
            <w:fldChar w:fldCharType="end"/>
          </w:r>
        </w:p>
      </w:tc>
      <w:tc>
        <w:tcPr>
          <w:tcW w:w="1701" w:type="dxa"/>
        </w:tcPr>
        <w:p w14:paraId="10AD84BB" w14:textId="77777777" w:rsidR="003E0782" w:rsidRDefault="003E0782" w:rsidP="006D44B3">
          <w:pPr>
            <w:pStyle w:val="Header"/>
            <w:ind w:left="0" w:right="-1"/>
          </w:pPr>
        </w:p>
      </w:tc>
    </w:tr>
  </w:tbl>
  <w:p w14:paraId="35BA880A" w14:textId="77777777" w:rsidR="003E0782" w:rsidRPr="009D4FBD" w:rsidRDefault="003E0782" w:rsidP="00677846">
    <w:pPr>
      <w:pStyle w:val="Header"/>
      <w:ind w:left="0" w:right="-1"/>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Pr>
    <w:tblGrid>
      <w:gridCol w:w="2268"/>
      <w:gridCol w:w="1134"/>
      <w:gridCol w:w="6804"/>
      <w:gridCol w:w="1701"/>
    </w:tblGrid>
    <w:tr w:rsidR="003E0782" w14:paraId="2ABCF831" w14:textId="77777777" w:rsidTr="006D44B3">
      <w:trPr>
        <w:trHeight w:val="624"/>
      </w:trPr>
      <w:tc>
        <w:tcPr>
          <w:tcW w:w="2268" w:type="dxa"/>
        </w:tcPr>
        <w:p w14:paraId="2A57FB9C" w14:textId="77777777" w:rsidR="003E0782" w:rsidRDefault="003E0782" w:rsidP="006D44B3">
          <w:pPr>
            <w:pStyle w:val="Header"/>
            <w:ind w:left="0" w:right="-1"/>
          </w:pPr>
        </w:p>
      </w:tc>
      <w:tc>
        <w:tcPr>
          <w:tcW w:w="1134" w:type="dxa"/>
          <w:vAlign w:val="bottom"/>
        </w:tcPr>
        <w:p w14:paraId="0C5C5F8D" w14:textId="77777777" w:rsidR="003E0782" w:rsidRDefault="003E0782" w:rsidP="006D44B3">
          <w:pPr>
            <w:pStyle w:val="Header"/>
            <w:ind w:left="0" w:right="-1"/>
          </w:pP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p>
      </w:tc>
      <w:tc>
        <w:tcPr>
          <w:tcW w:w="6804" w:type="dxa"/>
          <w:vAlign w:val="bottom"/>
        </w:tcPr>
        <w:p w14:paraId="4ECA4976" w14:textId="4DA32D28" w:rsidR="003E0782" w:rsidRDefault="003E0782" w:rsidP="006D44B3">
          <w:pPr>
            <w:pStyle w:val="Header"/>
            <w:ind w:left="0" w:right="-1"/>
            <w:jc w:val="right"/>
          </w:pPr>
          <w:r>
            <w:rPr>
              <w:noProof/>
            </w:rPr>
            <w:fldChar w:fldCharType="begin"/>
          </w:r>
          <w:r>
            <w:rPr>
              <w:noProof/>
            </w:rPr>
            <w:instrText xml:space="preserve"> STYLEREF  Title </w:instrText>
          </w:r>
          <w:r>
            <w:rPr>
              <w:noProof/>
            </w:rPr>
            <w:fldChar w:fldCharType="separate"/>
          </w:r>
          <w:r w:rsidR="00AD3561">
            <w:rPr>
              <w:noProof/>
            </w:rPr>
            <w:t>Independent review of the Commercial Building Disclosure Program</w:t>
          </w:r>
          <w:r>
            <w:rPr>
              <w:noProof/>
            </w:rPr>
            <w:fldChar w:fldCharType="end"/>
          </w:r>
        </w:p>
      </w:tc>
      <w:tc>
        <w:tcPr>
          <w:tcW w:w="1701" w:type="dxa"/>
        </w:tcPr>
        <w:p w14:paraId="41711845" w14:textId="77777777" w:rsidR="003E0782" w:rsidRDefault="003E0782" w:rsidP="006D44B3">
          <w:pPr>
            <w:pStyle w:val="Header"/>
            <w:ind w:left="0" w:right="-1"/>
          </w:pPr>
        </w:p>
      </w:tc>
    </w:tr>
  </w:tbl>
  <w:p w14:paraId="2E8A4392" w14:textId="77777777" w:rsidR="003E0782" w:rsidRPr="009D4FBD" w:rsidRDefault="003E0782" w:rsidP="00677846">
    <w:pPr>
      <w:pStyle w:val="Header"/>
      <w:ind w:left="0" w:right="-1"/>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Pr>
    <w:tblGrid>
      <w:gridCol w:w="2268"/>
      <w:gridCol w:w="7513"/>
      <w:gridCol w:w="992"/>
      <w:gridCol w:w="1701"/>
    </w:tblGrid>
    <w:tr w:rsidR="003E0782" w14:paraId="13CCACC1" w14:textId="77777777" w:rsidTr="004E7620">
      <w:trPr>
        <w:trHeight w:val="624"/>
      </w:trPr>
      <w:tc>
        <w:tcPr>
          <w:tcW w:w="2268" w:type="dxa"/>
        </w:tcPr>
        <w:p w14:paraId="39DAF17F" w14:textId="77777777" w:rsidR="003E0782" w:rsidRDefault="003E0782" w:rsidP="006D44B3">
          <w:pPr>
            <w:pStyle w:val="Header"/>
            <w:ind w:left="0" w:right="-1"/>
          </w:pPr>
        </w:p>
      </w:tc>
      <w:tc>
        <w:tcPr>
          <w:tcW w:w="7513" w:type="dxa"/>
          <w:vAlign w:val="bottom"/>
        </w:tcPr>
        <w:p w14:paraId="1F6F6B62" w14:textId="407A36A2" w:rsidR="003E0782" w:rsidRDefault="003E0782" w:rsidP="006D44B3">
          <w:pPr>
            <w:pStyle w:val="Header"/>
            <w:ind w:left="0" w:right="-1"/>
          </w:pPr>
          <w:r>
            <w:rPr>
              <w:noProof/>
            </w:rPr>
            <w:fldChar w:fldCharType="begin"/>
          </w:r>
          <w:r>
            <w:rPr>
              <w:noProof/>
            </w:rPr>
            <w:instrText xml:space="preserve"> STYLEREF  Title </w:instrText>
          </w:r>
          <w:r>
            <w:rPr>
              <w:noProof/>
            </w:rPr>
            <w:fldChar w:fldCharType="separate"/>
          </w:r>
          <w:r w:rsidR="004550CB">
            <w:rPr>
              <w:noProof/>
            </w:rPr>
            <w:t>Independent review of the Commercial Building Disclosure Program</w:t>
          </w:r>
          <w:r>
            <w:rPr>
              <w:noProof/>
            </w:rPr>
            <w:fldChar w:fldCharType="end"/>
          </w:r>
        </w:p>
      </w:tc>
      <w:tc>
        <w:tcPr>
          <w:tcW w:w="992" w:type="dxa"/>
          <w:vAlign w:val="bottom"/>
        </w:tcPr>
        <w:p w14:paraId="107744B4" w14:textId="77777777" w:rsidR="003E0782" w:rsidRDefault="003E0782" w:rsidP="006D44B3">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sidR="004550CB">
            <w:rPr>
              <w:rStyle w:val="PageNumber"/>
              <w:noProof/>
            </w:rPr>
            <w:t>67</w:t>
          </w:r>
          <w:r>
            <w:rPr>
              <w:rStyle w:val="PageNumber"/>
            </w:rPr>
            <w:fldChar w:fldCharType="end"/>
          </w:r>
        </w:p>
      </w:tc>
      <w:tc>
        <w:tcPr>
          <w:tcW w:w="1701" w:type="dxa"/>
        </w:tcPr>
        <w:p w14:paraId="4A936669" w14:textId="77777777" w:rsidR="003E0782" w:rsidRDefault="003E0782" w:rsidP="006D44B3">
          <w:pPr>
            <w:pStyle w:val="Header"/>
            <w:ind w:left="0" w:right="-1"/>
          </w:pPr>
        </w:p>
      </w:tc>
    </w:tr>
  </w:tbl>
  <w:p w14:paraId="2E0C1D17" w14:textId="77777777" w:rsidR="003E0782" w:rsidRPr="009D4FBD" w:rsidRDefault="003E0782" w:rsidP="00677846">
    <w:pPr>
      <w:pStyle w:val="Header"/>
      <w:ind w:left="0" w:right="-1"/>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Pr>
    <w:tblGrid>
      <w:gridCol w:w="2268"/>
      <w:gridCol w:w="1134"/>
      <w:gridCol w:w="6804"/>
      <w:gridCol w:w="1701"/>
    </w:tblGrid>
    <w:tr w:rsidR="003E0782" w14:paraId="14FA1325" w14:textId="77777777" w:rsidTr="006D44B3">
      <w:trPr>
        <w:trHeight w:val="624"/>
      </w:trPr>
      <w:tc>
        <w:tcPr>
          <w:tcW w:w="2268" w:type="dxa"/>
        </w:tcPr>
        <w:p w14:paraId="487E6D15" w14:textId="77777777" w:rsidR="003E0782" w:rsidRDefault="003E0782" w:rsidP="006D44B3">
          <w:pPr>
            <w:pStyle w:val="Header"/>
            <w:ind w:left="0" w:right="-1"/>
          </w:pPr>
        </w:p>
      </w:tc>
      <w:tc>
        <w:tcPr>
          <w:tcW w:w="1134" w:type="dxa"/>
          <w:vAlign w:val="bottom"/>
        </w:tcPr>
        <w:p w14:paraId="352BA342" w14:textId="77777777" w:rsidR="003E0782" w:rsidRDefault="003E0782" w:rsidP="006D44B3">
          <w:pPr>
            <w:pStyle w:val="Header"/>
            <w:ind w:left="0" w:right="-1"/>
          </w:pPr>
          <w:r>
            <w:rPr>
              <w:rStyle w:val="PageNumber"/>
            </w:rPr>
            <w:fldChar w:fldCharType="begin"/>
          </w:r>
          <w:r>
            <w:rPr>
              <w:rStyle w:val="PageNumber"/>
            </w:rPr>
            <w:instrText xml:space="preserve"> PAGE </w:instrText>
          </w:r>
          <w:r>
            <w:rPr>
              <w:rStyle w:val="PageNumber"/>
            </w:rPr>
            <w:fldChar w:fldCharType="separate"/>
          </w:r>
          <w:r w:rsidR="004550CB">
            <w:rPr>
              <w:rStyle w:val="PageNumber"/>
              <w:noProof/>
            </w:rPr>
            <w:t>2</w:t>
          </w:r>
          <w:r>
            <w:rPr>
              <w:rStyle w:val="PageNumber"/>
            </w:rPr>
            <w:fldChar w:fldCharType="end"/>
          </w:r>
        </w:p>
      </w:tc>
      <w:tc>
        <w:tcPr>
          <w:tcW w:w="6804" w:type="dxa"/>
          <w:vAlign w:val="bottom"/>
        </w:tcPr>
        <w:p w14:paraId="6622F2A4" w14:textId="02779813" w:rsidR="003E0782" w:rsidRDefault="004550CB" w:rsidP="006D44B3">
          <w:pPr>
            <w:pStyle w:val="Header"/>
            <w:ind w:left="0" w:right="-1"/>
            <w:jc w:val="right"/>
          </w:pPr>
          <w:r>
            <w:rPr>
              <w:noProof/>
            </w:rPr>
            <w:fldChar w:fldCharType="begin"/>
          </w:r>
          <w:r>
            <w:rPr>
              <w:noProof/>
            </w:rPr>
            <w:instrText xml:space="preserve"> STYLEREF  Title </w:instrText>
          </w:r>
          <w:r>
            <w:rPr>
              <w:noProof/>
            </w:rPr>
            <w:fldChar w:fldCharType="separate"/>
          </w:r>
          <w:r>
            <w:rPr>
              <w:noProof/>
            </w:rPr>
            <w:t>Independent review of the Commercial Building Disclosure Program</w:t>
          </w:r>
          <w:r>
            <w:rPr>
              <w:noProof/>
            </w:rPr>
            <w:fldChar w:fldCharType="end"/>
          </w:r>
        </w:p>
      </w:tc>
      <w:tc>
        <w:tcPr>
          <w:tcW w:w="1701" w:type="dxa"/>
        </w:tcPr>
        <w:p w14:paraId="65C36B59" w14:textId="77777777" w:rsidR="003E0782" w:rsidRDefault="003E0782" w:rsidP="006D44B3">
          <w:pPr>
            <w:pStyle w:val="Header"/>
            <w:ind w:left="0" w:right="-1"/>
          </w:pPr>
        </w:p>
      </w:tc>
    </w:tr>
  </w:tbl>
  <w:p w14:paraId="58BD35CD" w14:textId="77777777" w:rsidR="003E0782" w:rsidRPr="009D4FBD" w:rsidRDefault="003E0782" w:rsidP="00677846">
    <w:pPr>
      <w:pStyle w:val="Header"/>
      <w:ind w:left="0" w:right="-1"/>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Pr>
    <w:tblGrid>
      <w:gridCol w:w="2268"/>
      <w:gridCol w:w="7513"/>
      <w:gridCol w:w="992"/>
      <w:gridCol w:w="1701"/>
    </w:tblGrid>
    <w:tr w:rsidR="003E0782" w14:paraId="6CAD1D24" w14:textId="77777777" w:rsidTr="004E7620">
      <w:trPr>
        <w:trHeight w:val="624"/>
      </w:trPr>
      <w:tc>
        <w:tcPr>
          <w:tcW w:w="2268" w:type="dxa"/>
        </w:tcPr>
        <w:p w14:paraId="5AFA8234" w14:textId="77777777" w:rsidR="003E0782" w:rsidRDefault="003E0782" w:rsidP="006D44B3">
          <w:pPr>
            <w:pStyle w:val="Header"/>
            <w:ind w:left="0" w:right="-1"/>
          </w:pPr>
        </w:p>
      </w:tc>
      <w:tc>
        <w:tcPr>
          <w:tcW w:w="7513" w:type="dxa"/>
          <w:vAlign w:val="bottom"/>
        </w:tcPr>
        <w:p w14:paraId="5761FC40" w14:textId="617990FB" w:rsidR="003E0782" w:rsidRDefault="004550CB" w:rsidP="006D44B3">
          <w:pPr>
            <w:pStyle w:val="Header"/>
            <w:ind w:left="0" w:right="-1"/>
          </w:pPr>
          <w:r>
            <w:rPr>
              <w:noProof/>
            </w:rPr>
            <w:fldChar w:fldCharType="begin"/>
          </w:r>
          <w:r>
            <w:rPr>
              <w:noProof/>
            </w:rPr>
            <w:instrText xml:space="preserve"> STYLEREF  Title </w:instrText>
          </w:r>
          <w:r>
            <w:rPr>
              <w:noProof/>
            </w:rPr>
            <w:fldChar w:fldCharType="separate"/>
          </w:r>
          <w:r>
            <w:rPr>
              <w:noProof/>
            </w:rPr>
            <w:t>Independent review of the Commercial Building Disclosure Program</w:t>
          </w:r>
          <w:r>
            <w:rPr>
              <w:noProof/>
            </w:rPr>
            <w:fldChar w:fldCharType="end"/>
          </w:r>
        </w:p>
      </w:tc>
      <w:tc>
        <w:tcPr>
          <w:tcW w:w="992" w:type="dxa"/>
          <w:vAlign w:val="bottom"/>
        </w:tcPr>
        <w:p w14:paraId="65170AA6" w14:textId="77777777" w:rsidR="003E0782" w:rsidRDefault="003E0782" w:rsidP="006D44B3">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sidR="004550CB">
            <w:rPr>
              <w:rStyle w:val="PageNumber"/>
              <w:noProof/>
            </w:rPr>
            <w:t>179</w:t>
          </w:r>
          <w:r>
            <w:rPr>
              <w:rStyle w:val="PageNumber"/>
            </w:rPr>
            <w:fldChar w:fldCharType="end"/>
          </w:r>
        </w:p>
      </w:tc>
      <w:tc>
        <w:tcPr>
          <w:tcW w:w="1701" w:type="dxa"/>
        </w:tcPr>
        <w:p w14:paraId="4000759F" w14:textId="77777777" w:rsidR="003E0782" w:rsidRDefault="003E0782" w:rsidP="006D44B3">
          <w:pPr>
            <w:pStyle w:val="Header"/>
            <w:ind w:left="0" w:right="-1"/>
          </w:pPr>
        </w:p>
      </w:tc>
    </w:tr>
  </w:tbl>
  <w:p w14:paraId="4843D9C0" w14:textId="77777777" w:rsidR="003E0782" w:rsidRPr="009D4FBD" w:rsidRDefault="003E0782" w:rsidP="00677846">
    <w:pPr>
      <w:pStyle w:val="Header"/>
      <w:ind w:left="0" w:right="-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Pr>
    <w:tblGrid>
      <w:gridCol w:w="2268"/>
      <w:gridCol w:w="1134"/>
      <w:gridCol w:w="6804"/>
      <w:gridCol w:w="1701"/>
    </w:tblGrid>
    <w:tr w:rsidR="003E0782" w14:paraId="21A8EBFF" w14:textId="77777777" w:rsidTr="004E7620">
      <w:trPr>
        <w:trHeight w:val="624"/>
      </w:trPr>
      <w:tc>
        <w:tcPr>
          <w:tcW w:w="2268" w:type="dxa"/>
        </w:tcPr>
        <w:p w14:paraId="74767A11" w14:textId="77777777" w:rsidR="003E0782" w:rsidRDefault="003E0782" w:rsidP="008F1A78">
          <w:pPr>
            <w:pStyle w:val="Header"/>
            <w:ind w:left="0" w:right="-1"/>
          </w:pPr>
        </w:p>
      </w:tc>
      <w:tc>
        <w:tcPr>
          <w:tcW w:w="1134" w:type="dxa"/>
          <w:vAlign w:val="bottom"/>
        </w:tcPr>
        <w:p w14:paraId="0035C3DC" w14:textId="77777777" w:rsidR="003E0782" w:rsidRDefault="003E0782" w:rsidP="008F1A78">
          <w:pPr>
            <w:pStyle w:val="Header"/>
            <w:ind w:left="0" w:right="-1"/>
          </w:pPr>
        </w:p>
      </w:tc>
      <w:tc>
        <w:tcPr>
          <w:tcW w:w="6804" w:type="dxa"/>
          <w:vAlign w:val="bottom"/>
        </w:tcPr>
        <w:p w14:paraId="29A76EC5" w14:textId="77777777" w:rsidR="003E0782" w:rsidRDefault="003E0782" w:rsidP="008F1A78">
          <w:pPr>
            <w:pStyle w:val="Header"/>
            <w:ind w:left="0" w:right="-1"/>
            <w:jc w:val="right"/>
          </w:pPr>
        </w:p>
      </w:tc>
      <w:tc>
        <w:tcPr>
          <w:tcW w:w="1701" w:type="dxa"/>
        </w:tcPr>
        <w:p w14:paraId="1751369D" w14:textId="77777777" w:rsidR="003E0782" w:rsidRDefault="003E0782" w:rsidP="008F1A78">
          <w:pPr>
            <w:pStyle w:val="Header"/>
            <w:ind w:left="0" w:right="-1"/>
          </w:pPr>
        </w:p>
      </w:tc>
    </w:tr>
  </w:tbl>
  <w:p w14:paraId="687249A3" w14:textId="77777777" w:rsidR="003E0782" w:rsidRPr="008F1A78" w:rsidRDefault="003E0782" w:rsidP="00677846">
    <w:pPr>
      <w:pStyle w:val="Header"/>
      <w:ind w:left="0" w:right="-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Pr>
    <w:tblGrid>
      <w:gridCol w:w="2268"/>
      <w:gridCol w:w="7513"/>
      <w:gridCol w:w="992"/>
      <w:gridCol w:w="1701"/>
    </w:tblGrid>
    <w:tr w:rsidR="003E0782" w14:paraId="3005FD3C" w14:textId="77777777" w:rsidTr="004E7620">
      <w:trPr>
        <w:trHeight w:val="624"/>
      </w:trPr>
      <w:tc>
        <w:tcPr>
          <w:tcW w:w="2268" w:type="dxa"/>
        </w:tcPr>
        <w:p w14:paraId="591A42E0" w14:textId="77777777" w:rsidR="003E0782" w:rsidRDefault="003E0782" w:rsidP="008F1A78">
          <w:pPr>
            <w:pStyle w:val="Header"/>
            <w:ind w:left="0" w:right="-1"/>
          </w:pPr>
        </w:p>
      </w:tc>
      <w:tc>
        <w:tcPr>
          <w:tcW w:w="7513" w:type="dxa"/>
          <w:vAlign w:val="bottom"/>
        </w:tcPr>
        <w:p w14:paraId="5F848296" w14:textId="0E1F3469" w:rsidR="003E0782" w:rsidRDefault="004550CB" w:rsidP="008F1A78">
          <w:pPr>
            <w:pStyle w:val="Header"/>
            <w:ind w:left="0" w:right="-1"/>
          </w:pPr>
          <w:r>
            <w:rPr>
              <w:noProof/>
            </w:rPr>
            <w:fldChar w:fldCharType="begin"/>
          </w:r>
          <w:r>
            <w:rPr>
              <w:noProof/>
            </w:rPr>
            <w:instrText xml:space="preserve"> STYLEREF  Title </w:instrText>
          </w:r>
          <w:r>
            <w:rPr>
              <w:noProof/>
            </w:rPr>
            <w:fldChar w:fldCharType="separate"/>
          </w:r>
          <w:r w:rsidR="00AD3561">
            <w:rPr>
              <w:noProof/>
            </w:rPr>
            <w:t>Independent review of the Commercial Building Disclosure Program</w:t>
          </w:r>
          <w:r>
            <w:rPr>
              <w:noProof/>
            </w:rPr>
            <w:fldChar w:fldCharType="end"/>
          </w:r>
        </w:p>
      </w:tc>
      <w:tc>
        <w:tcPr>
          <w:tcW w:w="992" w:type="dxa"/>
          <w:vAlign w:val="bottom"/>
        </w:tcPr>
        <w:p w14:paraId="79928DF4" w14:textId="77777777" w:rsidR="003E0782" w:rsidRDefault="003E0782" w:rsidP="008F1A78">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c>
        <w:tcPr>
          <w:tcW w:w="1701" w:type="dxa"/>
        </w:tcPr>
        <w:p w14:paraId="065CC534" w14:textId="77777777" w:rsidR="003E0782" w:rsidRDefault="003E0782" w:rsidP="008F1A78">
          <w:pPr>
            <w:pStyle w:val="Header"/>
            <w:ind w:left="0" w:right="-1"/>
          </w:pPr>
        </w:p>
      </w:tc>
    </w:tr>
  </w:tbl>
  <w:p w14:paraId="70D0BA1D" w14:textId="77777777" w:rsidR="003E0782" w:rsidRPr="009D4FBD" w:rsidRDefault="003E0782" w:rsidP="00A43AF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Pr>
    <w:tblGrid>
      <w:gridCol w:w="2268"/>
      <w:gridCol w:w="1134"/>
      <w:gridCol w:w="6804"/>
      <w:gridCol w:w="1701"/>
    </w:tblGrid>
    <w:tr w:rsidR="003E0782" w14:paraId="335E703F" w14:textId="77777777" w:rsidTr="004E7620">
      <w:trPr>
        <w:trHeight w:val="624"/>
      </w:trPr>
      <w:tc>
        <w:tcPr>
          <w:tcW w:w="2268" w:type="dxa"/>
        </w:tcPr>
        <w:p w14:paraId="548C85BF" w14:textId="77777777" w:rsidR="003E0782" w:rsidRDefault="003E0782" w:rsidP="00650F3E">
          <w:pPr>
            <w:pStyle w:val="Header"/>
            <w:ind w:left="0" w:right="-1"/>
          </w:pPr>
        </w:p>
      </w:tc>
      <w:tc>
        <w:tcPr>
          <w:tcW w:w="1134" w:type="dxa"/>
          <w:vAlign w:val="bottom"/>
        </w:tcPr>
        <w:p w14:paraId="2DF3D0AC" w14:textId="77777777" w:rsidR="003E0782" w:rsidRDefault="003E0782" w:rsidP="00650F3E">
          <w:pPr>
            <w:pStyle w:val="Header"/>
            <w:ind w:left="0" w:right="-1"/>
          </w:pPr>
          <w:r>
            <w:rPr>
              <w:rStyle w:val="PageNumber"/>
            </w:rPr>
            <w:fldChar w:fldCharType="begin"/>
          </w:r>
          <w:r>
            <w:rPr>
              <w:rStyle w:val="PageNumber"/>
            </w:rPr>
            <w:instrText xml:space="preserve"> PAGE </w:instrText>
          </w:r>
          <w:r>
            <w:rPr>
              <w:rStyle w:val="PageNumber"/>
            </w:rPr>
            <w:fldChar w:fldCharType="separate"/>
          </w:r>
          <w:r w:rsidR="00C353B5">
            <w:rPr>
              <w:rStyle w:val="PageNumber"/>
              <w:noProof/>
            </w:rPr>
            <w:t>iv</w:t>
          </w:r>
          <w:r>
            <w:rPr>
              <w:rStyle w:val="PageNumber"/>
            </w:rPr>
            <w:fldChar w:fldCharType="end"/>
          </w:r>
        </w:p>
      </w:tc>
      <w:tc>
        <w:tcPr>
          <w:tcW w:w="6804" w:type="dxa"/>
          <w:vAlign w:val="bottom"/>
        </w:tcPr>
        <w:p w14:paraId="7D99199E" w14:textId="2638626D" w:rsidR="003E0782" w:rsidRDefault="004550CB" w:rsidP="00650F3E">
          <w:pPr>
            <w:pStyle w:val="Header"/>
            <w:ind w:left="0" w:right="-1"/>
            <w:jc w:val="right"/>
          </w:pPr>
          <w:r>
            <w:rPr>
              <w:noProof/>
            </w:rPr>
            <w:fldChar w:fldCharType="begin"/>
          </w:r>
          <w:r>
            <w:rPr>
              <w:noProof/>
            </w:rPr>
            <w:instrText xml:space="preserve"> STYLEREF  Title </w:instrText>
          </w:r>
          <w:r>
            <w:rPr>
              <w:noProof/>
            </w:rPr>
            <w:fldChar w:fldCharType="separate"/>
          </w:r>
          <w:r w:rsidR="00C353B5">
            <w:rPr>
              <w:noProof/>
            </w:rPr>
            <w:t>Independent review of the Commercial Building Disclosure Program</w:t>
          </w:r>
          <w:r>
            <w:rPr>
              <w:noProof/>
            </w:rPr>
            <w:fldChar w:fldCharType="end"/>
          </w:r>
        </w:p>
      </w:tc>
      <w:tc>
        <w:tcPr>
          <w:tcW w:w="1701" w:type="dxa"/>
        </w:tcPr>
        <w:p w14:paraId="7578B902" w14:textId="77777777" w:rsidR="003E0782" w:rsidRDefault="003E0782" w:rsidP="00650F3E">
          <w:pPr>
            <w:pStyle w:val="Header"/>
            <w:ind w:left="0" w:right="-1"/>
          </w:pPr>
        </w:p>
      </w:tc>
    </w:tr>
  </w:tbl>
  <w:p w14:paraId="4904F7BA" w14:textId="77777777" w:rsidR="003E0782" w:rsidRDefault="003E0782" w:rsidP="00650F3E">
    <w:pPr>
      <w:pStyle w:val="Header"/>
      <w:ind w:left="0" w:right="-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Pr>
    <w:tblGrid>
      <w:gridCol w:w="2268"/>
      <w:gridCol w:w="7513"/>
      <w:gridCol w:w="992"/>
      <w:gridCol w:w="1701"/>
    </w:tblGrid>
    <w:tr w:rsidR="003E0782" w14:paraId="186AB53D" w14:textId="77777777" w:rsidTr="004E7620">
      <w:trPr>
        <w:trHeight w:val="624"/>
      </w:trPr>
      <w:tc>
        <w:tcPr>
          <w:tcW w:w="2268" w:type="dxa"/>
        </w:tcPr>
        <w:p w14:paraId="4F9E2F49" w14:textId="77777777" w:rsidR="003E0782" w:rsidRDefault="003E0782" w:rsidP="00650F3E">
          <w:pPr>
            <w:pStyle w:val="Header"/>
            <w:ind w:left="0" w:right="-1"/>
          </w:pPr>
        </w:p>
      </w:tc>
      <w:tc>
        <w:tcPr>
          <w:tcW w:w="7513" w:type="dxa"/>
          <w:vAlign w:val="bottom"/>
        </w:tcPr>
        <w:p w14:paraId="0288E920" w14:textId="6458822A" w:rsidR="003E0782" w:rsidRDefault="004550CB" w:rsidP="00650F3E">
          <w:pPr>
            <w:pStyle w:val="Header"/>
            <w:ind w:left="0" w:right="-1"/>
          </w:pPr>
          <w:r>
            <w:rPr>
              <w:noProof/>
            </w:rPr>
            <w:fldChar w:fldCharType="begin"/>
          </w:r>
          <w:r>
            <w:rPr>
              <w:noProof/>
            </w:rPr>
            <w:instrText xml:space="preserve"> STYLEREF  Title </w:instrText>
          </w:r>
          <w:r>
            <w:rPr>
              <w:noProof/>
            </w:rPr>
            <w:fldChar w:fldCharType="separate"/>
          </w:r>
          <w:r w:rsidR="00C353B5">
            <w:rPr>
              <w:noProof/>
            </w:rPr>
            <w:t>Independent review of the Commercial Building Disclosure Program</w:t>
          </w:r>
          <w:r>
            <w:rPr>
              <w:noProof/>
            </w:rPr>
            <w:fldChar w:fldCharType="end"/>
          </w:r>
        </w:p>
      </w:tc>
      <w:tc>
        <w:tcPr>
          <w:tcW w:w="992" w:type="dxa"/>
          <w:vAlign w:val="bottom"/>
        </w:tcPr>
        <w:p w14:paraId="59642FCA" w14:textId="77777777" w:rsidR="003E0782" w:rsidRDefault="003E0782" w:rsidP="00650F3E">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sidR="00C353B5">
            <w:rPr>
              <w:rStyle w:val="PageNumber"/>
              <w:noProof/>
            </w:rPr>
            <w:t>iii</w:t>
          </w:r>
          <w:r>
            <w:rPr>
              <w:rStyle w:val="PageNumber"/>
            </w:rPr>
            <w:fldChar w:fldCharType="end"/>
          </w:r>
        </w:p>
      </w:tc>
      <w:tc>
        <w:tcPr>
          <w:tcW w:w="1701" w:type="dxa"/>
        </w:tcPr>
        <w:p w14:paraId="738A36F1" w14:textId="77777777" w:rsidR="003E0782" w:rsidRDefault="003E0782" w:rsidP="00650F3E">
          <w:pPr>
            <w:pStyle w:val="Header"/>
            <w:ind w:left="0" w:right="-1"/>
          </w:pPr>
        </w:p>
      </w:tc>
    </w:tr>
  </w:tbl>
  <w:p w14:paraId="50B79809" w14:textId="77777777" w:rsidR="003E0782" w:rsidRPr="003D2A2B" w:rsidRDefault="003E0782" w:rsidP="00650F3E">
    <w:pPr>
      <w:pStyle w:val="Header"/>
      <w:ind w:left="0" w:right="-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1907" w:type="dxa"/>
      <w:tblBorders>
        <w:bottom w:val="single" w:sz="4" w:space="0" w:color="F61D12" w:themeColor="accent2"/>
      </w:tblBorders>
      <w:tblLayout w:type="fixed"/>
      <w:tblLook w:val="04A0" w:firstRow="1" w:lastRow="0" w:firstColumn="1" w:lastColumn="0" w:noHBand="0" w:noVBand="1"/>
    </w:tblPr>
    <w:tblGrid>
      <w:gridCol w:w="2268"/>
      <w:gridCol w:w="1134"/>
      <w:gridCol w:w="6804"/>
      <w:gridCol w:w="1701"/>
    </w:tblGrid>
    <w:tr w:rsidR="003E0782" w14:paraId="2A00D6A5" w14:textId="77777777" w:rsidTr="006D44B3">
      <w:trPr>
        <w:trHeight w:val="624"/>
      </w:trPr>
      <w:tc>
        <w:tcPr>
          <w:tcW w:w="2268" w:type="dxa"/>
        </w:tcPr>
        <w:p w14:paraId="11CE5EEE" w14:textId="77777777" w:rsidR="003E0782" w:rsidRDefault="003E0782" w:rsidP="006D44B3">
          <w:pPr>
            <w:pStyle w:val="Header"/>
            <w:ind w:left="0" w:right="-1"/>
          </w:pPr>
        </w:p>
      </w:tc>
      <w:tc>
        <w:tcPr>
          <w:tcW w:w="1134" w:type="dxa"/>
          <w:vAlign w:val="bottom"/>
        </w:tcPr>
        <w:p w14:paraId="351C9865" w14:textId="77777777" w:rsidR="003E0782" w:rsidRDefault="003E0782" w:rsidP="006D44B3">
          <w:pPr>
            <w:pStyle w:val="Header"/>
            <w:ind w:left="0" w:right="-1"/>
          </w:pPr>
          <w:r>
            <w:rPr>
              <w:rStyle w:val="PageNumber"/>
            </w:rPr>
            <w:fldChar w:fldCharType="begin"/>
          </w:r>
          <w:r>
            <w:rPr>
              <w:rStyle w:val="PageNumber"/>
            </w:rPr>
            <w:instrText xml:space="preserve"> PAGE </w:instrText>
          </w:r>
          <w:r>
            <w:rPr>
              <w:rStyle w:val="PageNumber"/>
            </w:rPr>
            <w:fldChar w:fldCharType="separate"/>
          </w:r>
          <w:r w:rsidR="00557D49">
            <w:rPr>
              <w:rStyle w:val="PageNumber"/>
              <w:noProof/>
            </w:rPr>
            <w:t>14</w:t>
          </w:r>
          <w:r>
            <w:rPr>
              <w:rStyle w:val="PageNumber"/>
            </w:rPr>
            <w:fldChar w:fldCharType="end"/>
          </w:r>
        </w:p>
      </w:tc>
      <w:tc>
        <w:tcPr>
          <w:tcW w:w="6804" w:type="dxa"/>
          <w:vAlign w:val="bottom"/>
        </w:tcPr>
        <w:p w14:paraId="250F1C8E" w14:textId="7F82D444" w:rsidR="003E0782" w:rsidRDefault="004550CB" w:rsidP="006D44B3">
          <w:pPr>
            <w:pStyle w:val="Header"/>
            <w:ind w:left="0" w:right="-1"/>
            <w:jc w:val="right"/>
          </w:pPr>
          <w:r>
            <w:rPr>
              <w:noProof/>
            </w:rPr>
            <w:fldChar w:fldCharType="begin"/>
          </w:r>
          <w:r>
            <w:rPr>
              <w:noProof/>
            </w:rPr>
            <w:instrText xml:space="preserve"> STYLEREF  Title </w:instrText>
          </w:r>
          <w:r>
            <w:rPr>
              <w:noProof/>
            </w:rPr>
            <w:fldChar w:fldCharType="separate"/>
          </w:r>
          <w:r w:rsidR="00557D49">
            <w:rPr>
              <w:noProof/>
            </w:rPr>
            <w:t>Independent review of the Commercial Building Disclosure Program</w:t>
          </w:r>
          <w:r>
            <w:rPr>
              <w:noProof/>
            </w:rPr>
            <w:fldChar w:fldCharType="end"/>
          </w:r>
        </w:p>
      </w:tc>
      <w:tc>
        <w:tcPr>
          <w:tcW w:w="1701" w:type="dxa"/>
        </w:tcPr>
        <w:p w14:paraId="4FC74076" w14:textId="77777777" w:rsidR="003E0782" w:rsidRDefault="003E0782" w:rsidP="006D44B3">
          <w:pPr>
            <w:pStyle w:val="Header"/>
            <w:ind w:left="0" w:right="-1"/>
          </w:pPr>
        </w:p>
      </w:tc>
    </w:tr>
  </w:tbl>
  <w:p w14:paraId="7D37415E" w14:textId="77777777" w:rsidR="003E0782" w:rsidRPr="009D4FBD" w:rsidRDefault="003E0782" w:rsidP="00677846">
    <w:pPr>
      <w:pStyle w:val="Header"/>
      <w:ind w:left="0" w:right="-1"/>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LayoutGrid"/>
      <w:tblpPr w:leftFromText="181" w:rightFromText="181" w:vertAnchor="text" w:horzAnchor="page" w:tblpX="1" w:tblpY="1"/>
      <w:tblOverlap w:val="never"/>
      <w:tblW w:w="12474" w:type="dxa"/>
      <w:tblBorders>
        <w:bottom w:val="single" w:sz="4" w:space="0" w:color="F61D12" w:themeColor="accent2"/>
      </w:tblBorders>
      <w:tblLayout w:type="fixed"/>
      <w:tblLook w:val="04A0" w:firstRow="1" w:lastRow="0" w:firstColumn="1" w:lastColumn="0" w:noHBand="0" w:noVBand="1"/>
    </w:tblPr>
    <w:tblGrid>
      <w:gridCol w:w="2268"/>
      <w:gridCol w:w="7513"/>
      <w:gridCol w:w="992"/>
      <w:gridCol w:w="1701"/>
    </w:tblGrid>
    <w:tr w:rsidR="003E0782" w14:paraId="7177DA30" w14:textId="77777777" w:rsidTr="004E7620">
      <w:trPr>
        <w:trHeight w:val="624"/>
      </w:trPr>
      <w:tc>
        <w:tcPr>
          <w:tcW w:w="2268" w:type="dxa"/>
        </w:tcPr>
        <w:p w14:paraId="139FD4EE" w14:textId="77777777" w:rsidR="003E0782" w:rsidRDefault="003E0782" w:rsidP="006D44B3">
          <w:pPr>
            <w:pStyle w:val="Header"/>
            <w:ind w:left="0" w:right="-1"/>
          </w:pPr>
        </w:p>
      </w:tc>
      <w:tc>
        <w:tcPr>
          <w:tcW w:w="7513" w:type="dxa"/>
          <w:vAlign w:val="bottom"/>
        </w:tcPr>
        <w:p w14:paraId="75B857F8" w14:textId="05DCC0AE" w:rsidR="003E0782" w:rsidRDefault="004550CB" w:rsidP="006D44B3">
          <w:pPr>
            <w:pStyle w:val="Header"/>
            <w:ind w:left="0" w:right="-1"/>
          </w:pPr>
          <w:r>
            <w:rPr>
              <w:noProof/>
            </w:rPr>
            <w:fldChar w:fldCharType="begin"/>
          </w:r>
          <w:r>
            <w:rPr>
              <w:noProof/>
            </w:rPr>
            <w:instrText xml:space="preserve"> STYLEREF  Title </w:instrText>
          </w:r>
          <w:r>
            <w:rPr>
              <w:noProof/>
            </w:rPr>
            <w:fldChar w:fldCharType="separate"/>
          </w:r>
          <w:r w:rsidR="00557D49">
            <w:rPr>
              <w:noProof/>
            </w:rPr>
            <w:t>Independent review of the Commercial Building Disclosure Program</w:t>
          </w:r>
          <w:r>
            <w:rPr>
              <w:noProof/>
            </w:rPr>
            <w:fldChar w:fldCharType="end"/>
          </w:r>
        </w:p>
      </w:tc>
      <w:tc>
        <w:tcPr>
          <w:tcW w:w="992" w:type="dxa"/>
          <w:vAlign w:val="bottom"/>
        </w:tcPr>
        <w:p w14:paraId="3C13B70F" w14:textId="77777777" w:rsidR="003E0782" w:rsidRDefault="003E0782" w:rsidP="006D44B3">
          <w:pPr>
            <w:pStyle w:val="Header"/>
            <w:ind w:left="0" w:right="-1"/>
            <w:jc w:val="right"/>
          </w:pPr>
          <w:r>
            <w:rPr>
              <w:rStyle w:val="PageNumber"/>
            </w:rPr>
            <w:fldChar w:fldCharType="begin"/>
          </w:r>
          <w:r>
            <w:rPr>
              <w:rStyle w:val="PageNumber"/>
            </w:rPr>
            <w:instrText xml:space="preserve"> PAGE </w:instrText>
          </w:r>
          <w:r>
            <w:rPr>
              <w:rStyle w:val="PageNumber"/>
            </w:rPr>
            <w:fldChar w:fldCharType="separate"/>
          </w:r>
          <w:r w:rsidR="00557D49">
            <w:rPr>
              <w:rStyle w:val="PageNumber"/>
              <w:noProof/>
            </w:rPr>
            <w:t>15</w:t>
          </w:r>
          <w:r>
            <w:rPr>
              <w:rStyle w:val="PageNumber"/>
            </w:rPr>
            <w:fldChar w:fldCharType="end"/>
          </w:r>
        </w:p>
      </w:tc>
      <w:tc>
        <w:tcPr>
          <w:tcW w:w="1701" w:type="dxa"/>
        </w:tcPr>
        <w:p w14:paraId="5B629EED" w14:textId="77777777" w:rsidR="003E0782" w:rsidRDefault="003E0782" w:rsidP="006D44B3">
          <w:pPr>
            <w:pStyle w:val="Header"/>
            <w:ind w:left="0" w:right="-1"/>
          </w:pPr>
        </w:p>
      </w:tc>
    </w:tr>
  </w:tbl>
  <w:p w14:paraId="1DFA5974" w14:textId="77777777" w:rsidR="003E0782" w:rsidRPr="009D4FBD" w:rsidRDefault="003E0782" w:rsidP="00677846">
    <w:pPr>
      <w:pStyle w:val="Header"/>
      <w:ind w:left="0" w:right="-1"/>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0313C" w14:textId="77777777" w:rsidR="003E0782" w:rsidRDefault="003E0782" w:rsidP="00ED0E85">
    <w:pPr>
      <w:pStyle w:val="Header"/>
      <w:ind w:left="0" w:right="0"/>
    </w:pPr>
    <w:r>
      <w:rPr>
        <w:noProof/>
      </w:rPr>
      <mc:AlternateContent>
        <mc:Choice Requires="wps">
          <w:drawing>
            <wp:anchor distT="0" distB="0" distL="114300" distR="114300" simplePos="0" relativeHeight="251664384" behindDoc="0" locked="1" layoutInCell="0" allowOverlap="1" wp14:anchorId="6C05DC5B" wp14:editId="37E37855">
              <wp:simplePos x="0" y="0"/>
              <wp:positionH relativeFrom="page">
                <wp:posOffset>396240</wp:posOffset>
              </wp:positionH>
              <wp:positionV relativeFrom="page">
                <wp:posOffset>1440180</wp:posOffset>
              </wp:positionV>
              <wp:extent cx="180000" cy="5040000"/>
              <wp:effectExtent l="0" t="0" r="0" b="8255"/>
              <wp:wrapNone/>
              <wp:docPr id="12" name="Rectangle 12"/>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C53D7B" w14:textId="77777777" w:rsidR="003E0782" w:rsidRPr="009C5A0E" w:rsidRDefault="003E0782" w:rsidP="00ED0E85">
                          <w:pPr>
                            <w:pStyle w:val="Footer"/>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C05DC5B" id="Rectangle 12" o:spid="_x0000_s1091" style="position:absolute;margin-left:31.2pt;margin-top:113.4pt;width:14.15pt;height:396.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" o:allowincell="f" filled="f" stroked="f" strokeweight="2pt">
              <v:textbox style="layout-flow:vertical" inset="0,0,0,0">
                <w:txbxContent>
                  <w:p w14:paraId="48C53D7B" w14:textId="77777777" w:rsidR="003E0782" w:rsidRPr="009C5A0E" w:rsidRDefault="003E0782" w:rsidP="00ED0E85">
                    <w:pPr>
                      <w:pStyle w:val="Footer"/>
                    </w:pPr>
                    <w:r>
                      <w:t>www.TheCIE.com.au</w:t>
                    </w:r>
                  </w:p>
                </w:txbxContent>
              </v:textbox>
              <w10:wrap anchorx="page" anchory="page"/>
              <w10:anchorlock/>
            </v:rect>
          </w:pict>
        </mc:Fallback>
      </mc:AlternateContent>
    </w:r>
    <w:r w:rsidRPr="00CD111E">
      <w:rPr>
        <w:noProof/>
      </w:rPr>
      <mc:AlternateContent>
        <mc:Choice Requires="wps">
          <w:drawing>
            <wp:anchor distT="0" distB="0" distL="114300" distR="114300" simplePos="0" relativeHeight="251663360" behindDoc="0" locked="1" layoutInCell="0" allowOverlap="1" wp14:anchorId="2C8C36A9" wp14:editId="1A19CCCF">
              <wp:simplePos x="0" y="0"/>
              <wp:positionH relativeFrom="page">
                <wp:posOffset>9771380</wp:posOffset>
              </wp:positionH>
              <wp:positionV relativeFrom="page">
                <wp:posOffset>0</wp:posOffset>
              </wp:positionV>
              <wp:extent cx="0" cy="7560000"/>
              <wp:effectExtent l="0" t="0" r="38100" b="22225"/>
              <wp:wrapNone/>
              <wp:docPr id="16" name="Straight Connector 16"/>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FB0251A" id="Straight Connector 16" o:spid="_x0000_s1026" style="position:absolute;z-index:251663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" o:allowincell="f" strokecolor="#f61d12 [3205]" strokeweight=".5pt">
              <w10:wrap anchorx="page" anchory="page"/>
              <w10:anchorlock/>
            </v:line>
          </w:pict>
        </mc:Fallback>
      </mc:AlternateContent>
    </w:r>
    <w:r w:rsidRPr="00CD111E">
      <w:rPr>
        <w:noProof/>
      </w:rPr>
      <mc:AlternateContent>
        <mc:Choice Requires="wps">
          <w:drawing>
            <wp:anchor distT="0" distB="0" distL="114300" distR="114300" simplePos="0" relativeHeight="251662336" behindDoc="0" locked="0" layoutInCell="0" allowOverlap="1" wp14:anchorId="6AD2EBC0" wp14:editId="38AB1AB0">
              <wp:simplePos x="0" y="0"/>
              <wp:positionH relativeFrom="page">
                <wp:posOffset>9757410</wp:posOffset>
              </wp:positionH>
              <wp:positionV relativeFrom="page">
                <wp:posOffset>0</wp:posOffset>
              </wp:positionV>
              <wp:extent cx="216000" cy="7560000"/>
              <wp:effectExtent l="0" t="0" r="0" b="3175"/>
              <wp:wrapNone/>
              <wp:docPr id="18" name="Rectangle 18"/>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10E7F8" w14:textId="13CD0D06" w:rsidR="003E0782" w:rsidRPr="009D4FBD" w:rsidRDefault="003E0782" w:rsidP="00ED0E85">
                          <w:pPr>
                            <w:pStyle w:val="Header"/>
                            <w:tabs>
                              <w:tab w:val="clear" w:pos="-567"/>
                              <w:tab w:val="clear" w:pos="0"/>
                              <w:tab w:val="clear" w:pos="7938"/>
                              <w:tab w:val="clear" w:pos="8505"/>
                              <w:tab w:val="left" w:pos="1701"/>
                              <w:tab w:val="left" w:pos="2268"/>
                              <w:tab w:val="right" w:pos="10206"/>
                              <w:tab w:val="right" w:pos="10773"/>
                            </w:tabs>
                            <w:ind w:right="-1701"/>
                          </w:pPr>
                          <w:r>
                            <w:tab/>
                          </w:r>
                          <w:r>
                            <w:rPr>
                              <w:rStyle w:val="PageNumber"/>
                            </w:rPr>
                            <w:fldChar w:fldCharType="begin"/>
                          </w:r>
                          <w:r>
                            <w:rPr>
                              <w:rStyle w:val="PageNumber"/>
                            </w:rPr>
                            <w:instrText xml:space="preserve"> PAGE </w:instrText>
                          </w:r>
                          <w:r>
                            <w:rPr>
                              <w:rStyle w:val="PageNumber"/>
                            </w:rPr>
                            <w:fldChar w:fldCharType="separate"/>
                          </w:r>
                          <w:r w:rsidR="00557D49">
                            <w:rPr>
                              <w:rStyle w:val="PageNumber"/>
                              <w:noProof/>
                            </w:rPr>
                            <w:t>16</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557D49">
                            <w:rPr>
                              <w:noProof/>
                              <w:color w:val="000000" w:themeColor="text1"/>
                            </w:rPr>
                            <w:t>Independent review of the Commercial Building Disclosure Program</w:t>
                          </w:r>
                          <w:r w:rsidRPr="00CD111E">
                            <w:rPr>
                              <w:noProof/>
                              <w:color w:val="000000" w:themeColor="text1"/>
                            </w:rPr>
                            <w:fldChar w:fldCharType="end"/>
                          </w:r>
                          <w:r w:rsidRPr="00CD111E">
                            <w:rPr>
                              <w:color w:val="000000" w:themeColor="text1"/>
                            </w:rPr>
                            <w:tab/>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2EBC0" id="Rectangle 18" o:spid="_x0000_s1092" style="position:absolute;margin-left:768.3pt;margin-top:0;width:17pt;height:595.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" o:allowincell="f" filled="f" stroked="f" strokeweight="2pt">
              <v:textbox style="layout-flow:vertical" inset="0,0,0,0">
                <w:txbxContent>
                  <w:p w14:paraId="5F10E7F8" w14:textId="13CD0D06" w:rsidR="003E0782" w:rsidRPr="009D4FBD" w:rsidRDefault="003E0782" w:rsidP="00ED0E85">
                    <w:pPr>
                      <w:pStyle w:val="Header"/>
                      <w:tabs>
                        <w:tab w:val="clear" w:pos="-567"/>
                        <w:tab w:val="clear" w:pos="0"/>
                        <w:tab w:val="clear" w:pos="7938"/>
                        <w:tab w:val="clear" w:pos="8505"/>
                        <w:tab w:val="left" w:pos="1701"/>
                        <w:tab w:val="left" w:pos="2268"/>
                        <w:tab w:val="right" w:pos="10206"/>
                        <w:tab w:val="right" w:pos="10773"/>
                      </w:tabs>
                      <w:ind w:right="-1701"/>
                    </w:pPr>
                    <w:r>
                      <w:tab/>
                    </w:r>
                    <w:r>
                      <w:rPr>
                        <w:rStyle w:val="PageNumber"/>
                      </w:rPr>
                      <w:fldChar w:fldCharType="begin"/>
                    </w:r>
                    <w:r>
                      <w:rPr>
                        <w:rStyle w:val="PageNumber"/>
                      </w:rPr>
                      <w:instrText xml:space="preserve"> PAGE </w:instrText>
                    </w:r>
                    <w:r>
                      <w:rPr>
                        <w:rStyle w:val="PageNumber"/>
                      </w:rPr>
                      <w:fldChar w:fldCharType="separate"/>
                    </w:r>
                    <w:r w:rsidR="00557D49">
                      <w:rPr>
                        <w:rStyle w:val="PageNumber"/>
                        <w:noProof/>
                      </w:rPr>
                      <w:t>16</w:t>
                    </w:r>
                    <w:r>
                      <w:rPr>
                        <w:rStyle w:val="PageNumber"/>
                      </w:rPr>
                      <w:fldChar w:fldCharType="end"/>
                    </w:r>
                    <w:r>
                      <w:tab/>
                    </w:r>
                    <w:r w:rsidRPr="00CD111E">
                      <w:rPr>
                        <w:color w:val="000000" w:themeColor="text1"/>
                      </w:rPr>
                      <w:fldChar w:fldCharType="begin"/>
                    </w:r>
                    <w:r w:rsidRPr="00CD111E">
                      <w:rPr>
                        <w:color w:val="000000" w:themeColor="text1"/>
                      </w:rPr>
                      <w:instrText xml:space="preserve"> STYLEREF  Title </w:instrText>
                    </w:r>
                    <w:r w:rsidRPr="00CD111E">
                      <w:rPr>
                        <w:color w:val="000000" w:themeColor="text1"/>
                      </w:rPr>
                      <w:fldChar w:fldCharType="separate"/>
                    </w:r>
                    <w:r w:rsidR="00557D49">
                      <w:rPr>
                        <w:noProof/>
                        <w:color w:val="000000" w:themeColor="text1"/>
                      </w:rPr>
                      <w:t>Independent review of the Commercial Building Disclosure Program</w:t>
                    </w:r>
                    <w:r w:rsidRPr="00CD111E">
                      <w:rPr>
                        <w:noProof/>
                        <w:color w:val="000000" w:themeColor="text1"/>
                      </w:rPr>
                      <w:fldChar w:fldCharType="end"/>
                    </w:r>
                    <w:r w:rsidRPr="00CD111E">
                      <w:rPr>
                        <w:color w:val="000000" w:themeColor="text1"/>
                      </w:rPr>
                      <w:tab/>
                    </w:r>
                  </w:p>
                </w:txbxContent>
              </v:textbox>
              <w10:wrap anchorx="page" anchory="page"/>
            </v:rect>
          </w:pict>
        </mc:Fallback>
      </mc:AlternateContent>
    </w:r>
    <w: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8B0BE" w14:textId="77777777" w:rsidR="003E0782" w:rsidRPr="003D6FA5" w:rsidRDefault="003E0782" w:rsidP="00ED0E85">
    <w:pPr>
      <w:pStyle w:val="Header"/>
      <w:ind w:left="0" w:right="0"/>
    </w:pPr>
    <w:r>
      <w:rPr>
        <w:noProof/>
      </w:rPr>
      <mc:AlternateContent>
        <mc:Choice Requires="wps">
          <w:drawing>
            <wp:anchor distT="0" distB="0" distL="114300" distR="114300" simplePos="0" relativeHeight="251661312" behindDoc="0" locked="1" layoutInCell="0" allowOverlap="1" wp14:anchorId="172BA82F" wp14:editId="00DFC92D">
              <wp:simplePos x="0" y="0"/>
              <wp:positionH relativeFrom="page">
                <wp:posOffset>9771380</wp:posOffset>
              </wp:positionH>
              <wp:positionV relativeFrom="page">
                <wp:posOffset>0</wp:posOffset>
              </wp:positionV>
              <wp:extent cx="0" cy="7560000"/>
              <wp:effectExtent l="0" t="0" r="38100" b="22225"/>
              <wp:wrapNone/>
              <wp:docPr id="21" name="Straight Connector 21"/>
              <wp:cNvGraphicFramePr/>
              <a:graphic xmlns:a="http://schemas.openxmlformats.org/drawingml/2006/main">
                <a:graphicData uri="http://schemas.microsoft.com/office/word/2010/wordprocessingShape">
                  <wps:wsp>
                    <wps:cNvCnPr/>
                    <wps:spPr>
                      <a:xfrm>
                        <a:off x="0" y="0"/>
                        <a:ext cx="0" cy="756000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8DFF7D1" id="Straight Connector 21" o:spid="_x0000_s1026" style="position:absolute;z-index:2516613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769.4pt,0" to="769.4pt,5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" o:allowincell="f" strokecolor="#f61d12 [3205]" strokeweight=".5pt">
              <w10:wrap anchorx="page" anchory="page"/>
              <w10:anchorlock/>
            </v:line>
          </w:pict>
        </mc:Fallback>
      </mc:AlternateContent>
    </w:r>
    <w:r>
      <w:rPr>
        <w:noProof/>
      </w:rPr>
      <mc:AlternateContent>
        <mc:Choice Requires="wps">
          <w:drawing>
            <wp:anchor distT="0" distB="0" distL="114300" distR="114300" simplePos="0" relativeHeight="251659264" behindDoc="0" locked="0" layoutInCell="0" allowOverlap="1" wp14:anchorId="24357C5F" wp14:editId="32F104C2">
              <wp:simplePos x="0" y="0"/>
              <wp:positionH relativeFrom="page">
                <wp:posOffset>9757410</wp:posOffset>
              </wp:positionH>
              <wp:positionV relativeFrom="page">
                <wp:posOffset>0</wp:posOffset>
              </wp:positionV>
              <wp:extent cx="216000" cy="7560000"/>
              <wp:effectExtent l="0" t="0" r="0" b="3175"/>
              <wp:wrapNone/>
              <wp:docPr id="23" name="Rectangle 23"/>
              <wp:cNvGraphicFramePr/>
              <a:graphic xmlns:a="http://schemas.openxmlformats.org/drawingml/2006/main">
                <a:graphicData uri="http://schemas.microsoft.com/office/word/2010/wordprocessingShape">
                  <wps:wsp>
                    <wps:cNvSpPr/>
                    <wps:spPr>
                      <a:xfrm>
                        <a:off x="0" y="0"/>
                        <a:ext cx="216000" cy="756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B1B50F" w14:textId="6AD33DE5" w:rsidR="003E0782" w:rsidRPr="009D4FBD" w:rsidRDefault="003E0782" w:rsidP="00ED0E85">
                          <w:pPr>
                            <w:pStyle w:val="Header"/>
                            <w:tabs>
                              <w:tab w:val="clear" w:pos="-567"/>
                              <w:tab w:val="clear" w:pos="0"/>
                              <w:tab w:val="clear" w:pos="7938"/>
                              <w:tab w:val="clear" w:pos="8505"/>
                              <w:tab w:val="left" w:pos="1701"/>
                              <w:tab w:val="left" w:pos="2268"/>
                              <w:tab w:val="right" w:pos="10206"/>
                              <w:tab w:val="right" w:pos="10773"/>
                            </w:tabs>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AD3561">
                            <w:rPr>
                              <w:noProof/>
                              <w:color w:val="000000" w:themeColor="text1"/>
                            </w:rPr>
                            <w:t>Independent review of the Commercial Building Disclosure Program</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4357C5F" id="Rectangle 23" o:spid="_x0000_s1093" style="position:absolute;margin-left:768.3pt;margin-top:0;width:17pt;height:595.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" o:allowincell="f" filled="f" stroked="f" strokeweight="2pt">
              <v:textbox style="layout-flow:vertical" inset="0,0,0,0">
                <w:txbxContent>
                  <w:p w14:paraId="63B1B50F" w14:textId="6AD33DE5" w:rsidR="003E0782" w:rsidRPr="009D4FBD" w:rsidRDefault="003E0782" w:rsidP="00ED0E85">
                    <w:pPr>
                      <w:pStyle w:val="Header"/>
                      <w:tabs>
                        <w:tab w:val="clear" w:pos="-567"/>
                        <w:tab w:val="clear" w:pos="0"/>
                        <w:tab w:val="clear" w:pos="7938"/>
                        <w:tab w:val="clear" w:pos="8505"/>
                        <w:tab w:val="left" w:pos="1701"/>
                        <w:tab w:val="left" w:pos="2268"/>
                        <w:tab w:val="right" w:pos="10206"/>
                        <w:tab w:val="right" w:pos="10773"/>
                      </w:tabs>
                      <w:ind w:right="-1701"/>
                    </w:pPr>
                    <w:r>
                      <w:tab/>
                    </w:r>
                    <w:r>
                      <w:tab/>
                    </w:r>
                    <w:r>
                      <w:tab/>
                    </w:r>
                    <w:r w:rsidRPr="00F748C7">
                      <w:rPr>
                        <w:color w:val="000000" w:themeColor="text1"/>
                      </w:rPr>
                      <w:fldChar w:fldCharType="begin"/>
                    </w:r>
                    <w:r w:rsidRPr="00F748C7">
                      <w:rPr>
                        <w:color w:val="000000" w:themeColor="text1"/>
                      </w:rPr>
                      <w:instrText xml:space="preserve"> STYLEREF  Title </w:instrText>
                    </w:r>
                    <w:r w:rsidRPr="00F748C7">
                      <w:rPr>
                        <w:color w:val="000000" w:themeColor="text1"/>
                      </w:rPr>
                      <w:fldChar w:fldCharType="separate"/>
                    </w:r>
                    <w:r w:rsidR="00AD3561">
                      <w:rPr>
                        <w:noProof/>
                        <w:color w:val="000000" w:themeColor="text1"/>
                      </w:rPr>
                      <w:t>Independent review of the Commercial Building Disclosure Program</w:t>
                    </w:r>
                    <w:r w:rsidRPr="00F748C7">
                      <w:rPr>
                        <w:noProof/>
                        <w:color w:val="000000" w:themeColor="text1"/>
                      </w:rPr>
                      <w:fldChar w:fldCharType="end"/>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txbxContent>
              </v:textbox>
              <w10:wrap anchorx="page" anchory="page"/>
            </v:rect>
          </w:pict>
        </mc:Fallback>
      </mc:AlternateContent>
    </w:r>
    <w:r>
      <w:rPr>
        <w:noProof/>
      </w:rPr>
      <mc:AlternateContent>
        <mc:Choice Requires="wps">
          <w:drawing>
            <wp:anchor distT="0" distB="0" distL="114300" distR="114300" simplePos="0" relativeHeight="251660288" behindDoc="0" locked="1" layoutInCell="0" allowOverlap="1" wp14:anchorId="635046F3" wp14:editId="19BED0E1">
              <wp:simplePos x="0" y="0"/>
              <wp:positionH relativeFrom="page">
                <wp:posOffset>396240</wp:posOffset>
              </wp:positionH>
              <wp:positionV relativeFrom="page">
                <wp:posOffset>1440180</wp:posOffset>
              </wp:positionV>
              <wp:extent cx="180000" cy="5040000"/>
              <wp:effectExtent l="0" t="0" r="0" b="8255"/>
              <wp:wrapNone/>
              <wp:docPr id="232" name="Rectangle 232"/>
              <wp:cNvGraphicFramePr/>
              <a:graphic xmlns:a="http://schemas.openxmlformats.org/drawingml/2006/main">
                <a:graphicData uri="http://schemas.microsoft.com/office/word/2010/wordprocessingShape">
                  <wps:wsp>
                    <wps:cNvSpPr/>
                    <wps:spPr>
                      <a:xfrm>
                        <a:off x="0" y="0"/>
                        <a:ext cx="180000" cy="504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A275D4" w14:textId="77777777" w:rsidR="003E0782" w:rsidRPr="009C5A0E" w:rsidRDefault="003E0782" w:rsidP="00ED0E85">
                          <w:pPr>
                            <w:pStyle w:val="Footer"/>
                            <w:jc w:val="right"/>
                          </w:pPr>
                          <w:r>
                            <w:t>www.TheCIE.com.au</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35046F3" id="Rectangle 232" o:spid="_x0000_s1094" style="position:absolute;margin-left:31.2pt;margin-top:113.4pt;width:14.15pt;height:396.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" o:allowincell="f" filled="f" stroked="f" strokeweight="2pt">
              <v:textbox style="layout-flow:vertical" inset="0,0,0,0">
                <w:txbxContent>
                  <w:p w14:paraId="34A275D4" w14:textId="77777777" w:rsidR="003E0782" w:rsidRPr="009C5A0E" w:rsidRDefault="003E0782" w:rsidP="00ED0E85">
                    <w:pPr>
                      <w:pStyle w:val="Footer"/>
                      <w:jc w:val="right"/>
                    </w:pPr>
                    <w:r>
                      <w:t>www.TheCIE.com.au</w:t>
                    </w:r>
                  </w:p>
                </w:txbxContent>
              </v:textbox>
              <w10:wrap anchorx="page" anchory="page"/>
              <w10:anchorlock/>
            </v:rect>
          </w:pict>
        </mc:Fallback>
      </mc:AlternateConten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254EB"/>
    <w:multiLevelType w:val="multilevel"/>
    <w:tmpl w:val="A8A0795C"/>
    <w:numStyleLink w:val="RecommendationNumbers"/>
  </w:abstractNum>
  <w:abstractNum w:abstractNumId="1" w15:restartNumberingAfterBreak="0">
    <w:nsid w:val="051F302B"/>
    <w:multiLevelType w:val="multilevel"/>
    <w:tmpl w:val="CB3EC8D0"/>
    <w:lvl w:ilvl="0">
      <w:start w:val="1"/>
      <w:numFmt w:val="bullet"/>
      <w:lvlText w:val="■"/>
      <w:lvlJc w:val="left"/>
      <w:pPr>
        <w:tabs>
          <w:tab w:val="num" w:pos="284"/>
        </w:tabs>
        <w:ind w:left="284" w:hanging="284"/>
      </w:pPr>
      <w:rPr>
        <w:rFonts w:ascii="Franklin Gothic Demi" w:hAnsi="Franklin Gothic Demi" w:hint="default"/>
        <w:color w:val="9B917E" w:themeColor="accent4"/>
        <w:position w:val="3"/>
        <w:sz w:val="16"/>
      </w:rPr>
    </w:lvl>
    <w:lvl w:ilvl="1">
      <w:start w:val="1"/>
      <w:numFmt w:val="bullet"/>
      <w:lvlText w:val="–"/>
      <w:lvlJc w:val="left"/>
      <w:pPr>
        <w:tabs>
          <w:tab w:val="num" w:pos="567"/>
        </w:tabs>
        <w:ind w:left="567" w:hanging="283"/>
      </w:pPr>
      <w:rPr>
        <w:rFonts w:hint="default"/>
      </w:rPr>
    </w:lvl>
    <w:lvl w:ilvl="2">
      <w:start w:val="1"/>
      <w:numFmt w:val="bullet"/>
      <w:lvlText w:val="…"/>
      <w:lvlJc w:val="left"/>
      <w:pPr>
        <w:tabs>
          <w:tab w:val="num" w:pos="907"/>
        </w:tabs>
        <w:ind w:left="907" w:hanging="340"/>
      </w:pPr>
      <w:rPr>
        <w:rFonts w:ascii="Calisto MT" w:hAnsi="Calisto MT" w:hint="default"/>
        <w:color w:val="9B917E" w:themeColor="accent4"/>
        <w:position w:val="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DF0714B"/>
    <w:multiLevelType w:val="multilevel"/>
    <w:tmpl w:val="0C09001F"/>
    <w:name w:val="NoteNumbers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E1F659F"/>
    <w:multiLevelType w:val="multilevel"/>
    <w:tmpl w:val="60E6D4CC"/>
    <w:styleLink w:val="ListNumbers"/>
    <w:lvl w:ilvl="0">
      <w:start w:val="1"/>
      <w:numFmt w:val="decimal"/>
      <w:pStyle w:val="ListNumber"/>
      <w:lvlText w:val="%1"/>
      <w:lvlJc w:val="left"/>
      <w:pPr>
        <w:tabs>
          <w:tab w:val="num" w:pos="284"/>
        </w:tabs>
        <w:ind w:left="284" w:hanging="284"/>
      </w:pPr>
      <w:rPr>
        <w:rFonts w:ascii="Calisto MT" w:hAnsi="Calisto MT" w:hint="default"/>
      </w:rPr>
    </w:lvl>
    <w:lvl w:ilvl="1">
      <w:start w:val="1"/>
      <w:numFmt w:val="lowerLetter"/>
      <w:pStyle w:val="ListNumber2"/>
      <w:lvlText w:val="%2)"/>
      <w:lvlJc w:val="left"/>
      <w:pPr>
        <w:tabs>
          <w:tab w:val="num" w:pos="567"/>
        </w:tabs>
        <w:ind w:left="567" w:hanging="283"/>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158D63BB"/>
    <w:multiLevelType w:val="multilevel"/>
    <w:tmpl w:val="5BCE45E4"/>
    <w:styleLink w:val="NoteListNumber"/>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5" w15:restartNumberingAfterBreak="0">
    <w:nsid w:val="19B85820"/>
    <w:multiLevelType w:val="multilevel"/>
    <w:tmpl w:val="F94A5772"/>
    <w:styleLink w:val="ChartListBullets"/>
    <w:lvl w:ilvl="0">
      <w:start w:val="1"/>
      <w:numFmt w:val="bullet"/>
      <w:pStyle w:val="ChartListBullet"/>
      <w:lvlText w:val="■"/>
      <w:lvlJc w:val="left"/>
      <w:pPr>
        <w:tabs>
          <w:tab w:val="num" w:pos="170"/>
        </w:tabs>
        <w:ind w:left="170" w:hanging="170"/>
      </w:pPr>
      <w:rPr>
        <w:rFonts w:ascii="Franklin Gothic Book" w:hAnsi="Franklin Gothic Book" w:hint="default"/>
        <w:color w:val="9B917E" w:themeColor="accent4"/>
        <w:position w:val="2"/>
        <w:sz w:val="12"/>
      </w:rPr>
    </w:lvl>
    <w:lvl w:ilvl="1">
      <w:start w:val="1"/>
      <w:numFmt w:val="bullet"/>
      <w:pStyle w:val="ChartListBullet2"/>
      <w:lvlText w:val="–"/>
      <w:lvlJc w:val="left"/>
      <w:pPr>
        <w:tabs>
          <w:tab w:val="num" w:pos="340"/>
        </w:tabs>
        <w:ind w:left="340" w:hanging="170"/>
      </w:pPr>
      <w:rPr>
        <w:rFonts w:ascii="Franklin Gothic Book" w:hAnsi="Franklin Gothic Book"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7006C08"/>
    <w:multiLevelType w:val="multilevel"/>
    <w:tmpl w:val="149034BA"/>
    <w:styleLink w:val="KeyPointBullets"/>
    <w:lvl w:ilvl="0">
      <w:start w:val="1"/>
      <w:numFmt w:val="bullet"/>
      <w:pStyle w:val="KeyPoint"/>
      <w:lvlText w:val="■"/>
      <w:lvlJc w:val="left"/>
      <w:pPr>
        <w:tabs>
          <w:tab w:val="num" w:pos="284"/>
        </w:tabs>
        <w:ind w:left="284" w:hanging="284"/>
      </w:pPr>
      <w:rPr>
        <w:rFonts w:ascii="Franklin Gothic Demi" w:hAnsi="Franklin Gothic Demi" w:hint="default"/>
        <w:color w:val="F61D12" w:themeColor="accent2"/>
      </w:rPr>
    </w:lvl>
    <w:lvl w:ilvl="1">
      <w:start w:val="1"/>
      <w:numFmt w:val="bullet"/>
      <w:pStyle w:val="KeyPoint2"/>
      <w:lvlText w:val="–"/>
      <w:lvlJc w:val="left"/>
      <w:pPr>
        <w:tabs>
          <w:tab w:val="num" w:pos="567"/>
        </w:tabs>
        <w:ind w:left="567" w:hanging="283"/>
      </w:pPr>
      <w:rPr>
        <w:rFonts w:ascii="Franklin Gothic Demi" w:hAnsi="Franklin Gothic Demi" w:hint="default"/>
        <w:color w:val="F61D12" w:themeColor="accent2"/>
        <w:position w:val="2"/>
      </w:rPr>
    </w:lvl>
    <w:lvl w:ilvl="2">
      <w:start w:val="1"/>
      <w:numFmt w:val="bullet"/>
      <w:pStyle w:val="KeyPoint3"/>
      <w:lvlText w:val="…"/>
      <w:lvlJc w:val="left"/>
      <w:pPr>
        <w:tabs>
          <w:tab w:val="num" w:pos="992"/>
        </w:tabs>
        <w:ind w:left="992" w:hanging="425"/>
      </w:pPr>
      <w:rPr>
        <w:rFonts w:ascii="Franklin Gothic Demi" w:hAnsi="Franklin Gothic Demi" w:hint="default"/>
        <w:color w:val="F61D12" w:themeColor="accen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7E231F0"/>
    <w:multiLevelType w:val="multilevel"/>
    <w:tmpl w:val="A8A0795C"/>
    <w:styleLink w:val="RecommendationNumbers"/>
    <w:lvl w:ilvl="0">
      <w:start w:val="1"/>
      <w:numFmt w:val="decimal"/>
      <w:pStyle w:val="RecommendationNumber"/>
      <w:lvlText w:val="%1"/>
      <w:lvlJc w:val="left"/>
      <w:pPr>
        <w:tabs>
          <w:tab w:val="num" w:pos="284"/>
        </w:tabs>
        <w:ind w:left="284" w:hanging="284"/>
      </w:pPr>
      <w:rPr>
        <w:rFonts w:hint="default"/>
      </w:rPr>
    </w:lvl>
    <w:lvl w:ilvl="1">
      <w:start w:val="1"/>
      <w:numFmt w:val="lowerLetter"/>
      <w:pStyle w:val="RecommendationNumber2"/>
      <w:lvlText w:val="%2)"/>
      <w:lvlJc w:val="left"/>
      <w:pPr>
        <w:tabs>
          <w:tab w:val="num" w:pos="567"/>
        </w:tabs>
        <w:ind w:left="567" w:hanging="28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1535386"/>
    <w:multiLevelType w:val="multilevel"/>
    <w:tmpl w:val="8C8656A2"/>
    <w:styleLink w:val="TableListNumbers"/>
    <w:lvl w:ilvl="0">
      <w:start w:val="1"/>
      <w:numFmt w:val="decimal"/>
      <w:pStyle w:val="TableListNumber"/>
      <w:lvlText w:val="%1"/>
      <w:lvlJc w:val="left"/>
      <w:pPr>
        <w:tabs>
          <w:tab w:val="num" w:pos="170"/>
        </w:tabs>
        <w:ind w:left="170" w:hanging="170"/>
      </w:pPr>
      <w:rPr>
        <w:rFonts w:ascii="Franklin Gothic Book" w:hAnsi="Franklin Gothic Book" w:hint="default"/>
      </w:rPr>
    </w:lvl>
    <w:lvl w:ilvl="1">
      <w:start w:val="1"/>
      <w:numFmt w:val="lowerLetter"/>
      <w:pStyle w:val="TableListNumber2"/>
      <w:lvlText w:val="%2)"/>
      <w:lvlJc w:val="left"/>
      <w:pPr>
        <w:tabs>
          <w:tab w:val="num" w:pos="340"/>
        </w:tabs>
        <w:ind w:left="340" w:hanging="17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4E3E75E8"/>
    <w:multiLevelType w:val="multilevel"/>
    <w:tmpl w:val="49B2C914"/>
    <w:styleLink w:val="HeadingNumbers"/>
    <w:lvl w:ilvl="0">
      <w:start w:val="1"/>
      <w:numFmt w:val="decimal"/>
      <w:pStyle w:val="Heading1"/>
      <w:lvlText w:val="%1"/>
      <w:lvlJc w:val="left"/>
      <w:pPr>
        <w:tabs>
          <w:tab w:val="num" w:pos="567"/>
        </w:tabs>
        <w:ind w:left="567" w:hanging="567"/>
      </w:pPr>
      <w:rPr>
        <w:rFonts w:hint="default"/>
        <w:b w:val="0"/>
        <w:i/>
        <w:color w:val="auto"/>
        <w:sz w:val="36"/>
      </w:rPr>
    </w:lvl>
    <w:lvl w:ilvl="1">
      <w:start w:val="1"/>
      <w:numFmt w:val="none"/>
      <w:lvlRestart w:val="0"/>
      <w:pStyle w:val="Heading2"/>
      <w:suff w:val="nothing"/>
      <w:lvlText w:val=""/>
      <w:lvlJc w:val="left"/>
      <w:pPr>
        <w:ind w:left="0" w:firstLine="0"/>
      </w:pPr>
      <w:rPr>
        <w:rFonts w:hint="default"/>
      </w:rPr>
    </w:lvl>
    <w:lvl w:ilvl="2">
      <w:start w:val="1"/>
      <w:numFmt w:val="none"/>
      <w:lvlRestart w:val="0"/>
      <w:pStyle w:val="Heading3"/>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567"/>
        </w:tabs>
        <w:ind w:left="567" w:hanging="567"/>
      </w:pPr>
      <w:rPr>
        <w:rFonts w:hint="default"/>
        <w:b w:val="0"/>
        <w:i/>
        <w:caps w:val="0"/>
        <w:sz w:val="36"/>
        <w:szCs w:val="28"/>
      </w:rPr>
    </w:lvl>
    <w:lvl w:ilvl="6">
      <w:start w:val="1"/>
      <w:numFmt w:val="none"/>
      <w:lvlRestart w:val="0"/>
      <w:pStyle w:val="Heading7"/>
      <w:suff w:val="nothing"/>
      <w:lvlText w:val=""/>
      <w:lvlJc w:val="left"/>
      <w:pPr>
        <w:ind w:left="0" w:firstLine="0"/>
      </w:pPr>
      <w:rPr>
        <w:rFonts w:hint="default"/>
        <w:caps/>
        <w:sz w:val="22"/>
        <w:szCs w:val="22"/>
      </w:rPr>
    </w:lvl>
    <w:lvl w:ilvl="7">
      <w:start w:val="1"/>
      <w:numFmt w:val="none"/>
      <w:lvlRestart w:val="0"/>
      <w:pStyle w:val="Heading8"/>
      <w:suff w:val="nothing"/>
      <w:lvlText w:val=""/>
      <w:lvlJc w:val="left"/>
      <w:pPr>
        <w:ind w:left="0" w:firstLine="0"/>
      </w:pPr>
      <w:rPr>
        <w:rFonts w:asciiTheme="majorHAnsi" w:hAnsiTheme="majorHAnsi" w:hint="default"/>
      </w:rPr>
    </w:lvl>
    <w:lvl w:ilvl="8">
      <w:start w:val="1"/>
      <w:numFmt w:val="none"/>
      <w:lvlRestart w:val="0"/>
      <w:pStyle w:val="Heading9"/>
      <w:suff w:val="nothing"/>
      <w:lvlText w:val=""/>
      <w:lvlJc w:val="left"/>
      <w:pPr>
        <w:ind w:left="0" w:firstLine="0"/>
      </w:pPr>
      <w:rPr>
        <w:rFonts w:asciiTheme="majorHAnsi" w:hAnsiTheme="majorHAnsi" w:hint="default"/>
      </w:rPr>
    </w:lvl>
  </w:abstractNum>
  <w:abstractNum w:abstractNumId="10" w15:restartNumberingAfterBreak="0">
    <w:nsid w:val="542E221A"/>
    <w:multiLevelType w:val="multilevel"/>
    <w:tmpl w:val="567ADE74"/>
    <w:styleLink w:val="TableListBullets"/>
    <w:lvl w:ilvl="0">
      <w:start w:val="1"/>
      <w:numFmt w:val="bullet"/>
      <w:pStyle w:val="TableListBullet"/>
      <w:lvlText w:val="■"/>
      <w:lvlJc w:val="left"/>
      <w:pPr>
        <w:tabs>
          <w:tab w:val="num" w:pos="170"/>
        </w:tabs>
        <w:ind w:left="170" w:hanging="170"/>
      </w:pPr>
      <w:rPr>
        <w:rFonts w:ascii="Franklin Gothic Book" w:hAnsi="Franklin Gothic Book"/>
        <w:color w:val="9B917E" w:themeColor="accent4"/>
        <w:spacing w:val="0"/>
        <w:w w:val="100"/>
        <w:position w:val="3"/>
        <w:sz w:val="12"/>
      </w:rPr>
    </w:lvl>
    <w:lvl w:ilvl="1">
      <w:start w:val="1"/>
      <w:numFmt w:val="bullet"/>
      <w:pStyle w:val="TableListBullet2"/>
      <w:lvlText w:val="–"/>
      <w:lvlJc w:val="left"/>
      <w:pPr>
        <w:tabs>
          <w:tab w:val="num" w:pos="340"/>
        </w:tabs>
        <w:ind w:left="340" w:hanging="170"/>
      </w:pPr>
      <w:rPr>
        <w:rFonts w:ascii="Arial" w:hAnsi="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6787896"/>
    <w:multiLevelType w:val="multilevel"/>
    <w:tmpl w:val="567ADE74"/>
    <w:numStyleLink w:val="TableListBullets"/>
  </w:abstractNum>
  <w:abstractNum w:abstractNumId="12" w15:restartNumberingAfterBreak="0">
    <w:nsid w:val="578C6F2B"/>
    <w:multiLevelType w:val="hybridMultilevel"/>
    <w:tmpl w:val="8D7080B4"/>
    <w:lvl w:ilvl="0" w:tplc="9ABC83D2">
      <w:start w:val="43"/>
      <w:numFmt w:val="bullet"/>
      <w:lvlText w:val="-"/>
      <w:lvlJc w:val="left"/>
      <w:pPr>
        <w:ind w:left="644" w:hanging="360"/>
      </w:pPr>
      <w:rPr>
        <w:rFonts w:ascii="Calisto MT" w:eastAsia="Times New Roman" w:hAnsi="Calisto MT" w:cs="Times New Roman"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3" w15:restartNumberingAfterBreak="0">
    <w:nsid w:val="58B8648D"/>
    <w:multiLevelType w:val="multilevel"/>
    <w:tmpl w:val="5BCE45E4"/>
    <w:lvl w:ilvl="0">
      <w:start w:val="1"/>
      <w:numFmt w:val="none"/>
      <w:lvlRestart w:val="0"/>
      <w:suff w:val="nothing"/>
      <w:lvlText w:val="%1"/>
      <w:lvlJc w:val="left"/>
      <w:pPr>
        <w:ind w:left="0" w:firstLine="0"/>
      </w:pPr>
      <w:rPr>
        <w:rFonts w:ascii="Calibri" w:hAnsi="Calibri" w:cs="Calibri" w:hint="default"/>
        <w:b/>
        <w:i w:val="0"/>
        <w:color w:val="C6BFAB" w:themeColor="accent3"/>
        <w:position w:val="4"/>
      </w:rPr>
    </w:lvl>
    <w:lvl w:ilvl="1">
      <w:start w:val="1"/>
      <w:numFmt w:val="lowerLetter"/>
      <w:pStyle w:val="NoteNumber"/>
      <w:lvlText w:val="%1%2"/>
      <w:lvlJc w:val="left"/>
      <w:pPr>
        <w:tabs>
          <w:tab w:val="num" w:pos="170"/>
        </w:tabs>
        <w:ind w:left="170" w:hanging="170"/>
      </w:pPr>
      <w:rPr>
        <w:rFonts w:hint="default"/>
        <w:b/>
        <w:i w:val="0"/>
        <w:color w:val="C6BFAB" w:themeColor="accent3"/>
        <w:position w:val="4"/>
      </w:rPr>
    </w:lvl>
    <w:lvl w:ilvl="2">
      <w:start w:val="1"/>
      <w:numFmt w:val="none"/>
      <w:lvlRestart w:val="0"/>
      <w:suff w:val="nothing"/>
      <w:lvlText w:val="%1"/>
      <w:lvlJc w:val="left"/>
      <w:pPr>
        <w:ind w:left="1224" w:hanging="504"/>
      </w:pPr>
      <w:rPr>
        <w:rFonts w:hint="default"/>
      </w:rPr>
    </w:lvl>
    <w:lvl w:ilvl="3">
      <w:start w:val="1"/>
      <w:numFmt w:val="none"/>
      <w:lvlRestart w:val="0"/>
      <w:suff w:val="nothing"/>
      <w:lvlText w:val="%1"/>
      <w:lvlJc w:val="left"/>
      <w:pPr>
        <w:ind w:left="1728" w:hanging="648"/>
      </w:pPr>
      <w:rPr>
        <w:rFonts w:hint="default"/>
      </w:rPr>
    </w:lvl>
    <w:lvl w:ilvl="4">
      <w:start w:val="1"/>
      <w:numFmt w:val="none"/>
      <w:lvlRestart w:val="0"/>
      <w:suff w:val="nothing"/>
      <w:lvlText w:val="%1"/>
      <w:lvlJc w:val="left"/>
      <w:pPr>
        <w:ind w:left="2232" w:hanging="792"/>
      </w:pPr>
      <w:rPr>
        <w:rFonts w:hint="default"/>
      </w:rPr>
    </w:lvl>
    <w:lvl w:ilvl="5">
      <w:start w:val="1"/>
      <w:numFmt w:val="none"/>
      <w:lvlRestart w:val="0"/>
      <w:suff w:val="nothing"/>
      <w:lvlText w:val="%1"/>
      <w:lvlJc w:val="left"/>
      <w:pPr>
        <w:ind w:left="2736" w:hanging="936"/>
      </w:pPr>
      <w:rPr>
        <w:rFonts w:hint="default"/>
      </w:rPr>
    </w:lvl>
    <w:lvl w:ilvl="6">
      <w:start w:val="1"/>
      <w:numFmt w:val="none"/>
      <w:lvlRestart w:val="0"/>
      <w:suff w:val="nothing"/>
      <w:lvlText w:val="%1"/>
      <w:lvlJc w:val="left"/>
      <w:pPr>
        <w:ind w:left="3240" w:hanging="1080"/>
      </w:pPr>
      <w:rPr>
        <w:rFonts w:hint="default"/>
      </w:rPr>
    </w:lvl>
    <w:lvl w:ilvl="7">
      <w:start w:val="1"/>
      <w:numFmt w:val="none"/>
      <w:lvlRestart w:val="0"/>
      <w:suff w:val="nothing"/>
      <w:lvlText w:val="%1"/>
      <w:lvlJc w:val="left"/>
      <w:pPr>
        <w:ind w:left="3744" w:hanging="1224"/>
      </w:pPr>
      <w:rPr>
        <w:rFonts w:hint="default"/>
      </w:rPr>
    </w:lvl>
    <w:lvl w:ilvl="8">
      <w:start w:val="1"/>
      <w:numFmt w:val="none"/>
      <w:lvlRestart w:val="0"/>
      <w:suff w:val="nothing"/>
      <w:lvlText w:val="%1"/>
      <w:lvlJc w:val="left"/>
      <w:pPr>
        <w:ind w:left="4320" w:hanging="1440"/>
      </w:pPr>
      <w:rPr>
        <w:rFonts w:hint="default"/>
      </w:rPr>
    </w:lvl>
  </w:abstractNum>
  <w:abstractNum w:abstractNumId="14" w15:restartNumberingAfterBreak="0">
    <w:nsid w:val="6C420028"/>
    <w:multiLevelType w:val="multilevel"/>
    <w:tmpl w:val="AD122346"/>
    <w:styleLink w:val="ChartListNumber"/>
    <w:lvl w:ilvl="0">
      <w:start w:val="1"/>
      <w:numFmt w:val="decimal"/>
      <w:pStyle w:val="ChartListNumber0"/>
      <w:lvlText w:val="%1"/>
      <w:lvlJc w:val="left"/>
      <w:pPr>
        <w:tabs>
          <w:tab w:val="num" w:pos="170"/>
        </w:tabs>
        <w:ind w:left="170" w:hanging="17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718120EA"/>
    <w:multiLevelType w:val="multilevel"/>
    <w:tmpl w:val="CB3EC8D0"/>
    <w:styleLink w:val="ListBullets"/>
    <w:lvl w:ilvl="0">
      <w:start w:val="1"/>
      <w:numFmt w:val="bullet"/>
      <w:pStyle w:val="ListBullet"/>
      <w:lvlText w:val="■"/>
      <w:lvlJc w:val="left"/>
      <w:pPr>
        <w:tabs>
          <w:tab w:val="num" w:pos="284"/>
        </w:tabs>
        <w:ind w:left="284" w:hanging="284"/>
      </w:pPr>
      <w:rPr>
        <w:rFonts w:ascii="Franklin Gothic Demi" w:hAnsi="Franklin Gothic Demi" w:hint="default"/>
        <w:color w:val="9B917E" w:themeColor="accent4"/>
        <w:position w:val="3"/>
        <w:sz w:val="16"/>
      </w:rPr>
    </w:lvl>
    <w:lvl w:ilvl="1">
      <w:start w:val="1"/>
      <w:numFmt w:val="bullet"/>
      <w:pStyle w:val="ListBullet2"/>
      <w:lvlText w:val="–"/>
      <w:lvlJc w:val="left"/>
      <w:pPr>
        <w:tabs>
          <w:tab w:val="num" w:pos="567"/>
        </w:tabs>
        <w:ind w:left="567" w:hanging="283"/>
      </w:pPr>
      <w:rPr>
        <w:rFonts w:hint="default"/>
      </w:rPr>
    </w:lvl>
    <w:lvl w:ilvl="2">
      <w:start w:val="1"/>
      <w:numFmt w:val="bullet"/>
      <w:pStyle w:val="ListBullet3"/>
      <w:lvlText w:val="…"/>
      <w:lvlJc w:val="left"/>
      <w:pPr>
        <w:tabs>
          <w:tab w:val="num" w:pos="907"/>
        </w:tabs>
        <w:ind w:left="907" w:hanging="340"/>
      </w:pPr>
      <w:rPr>
        <w:rFonts w:ascii="Calisto MT" w:hAnsi="Calisto MT" w:hint="default"/>
        <w:color w:val="9B917E" w:themeColor="accent4"/>
        <w:position w:val="3"/>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20F67A8"/>
    <w:multiLevelType w:val="multilevel"/>
    <w:tmpl w:val="0C090029"/>
    <w:name w:val="NoteNumbers"/>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8"/>
  </w:num>
  <w:num w:numId="2">
    <w:abstractNumId w:val="10"/>
  </w:num>
  <w:num w:numId="3">
    <w:abstractNumId w:val="5"/>
  </w:num>
  <w:num w:numId="4">
    <w:abstractNumId w:val="14"/>
  </w:num>
  <w:num w:numId="5">
    <w:abstractNumId w:val="9"/>
  </w:num>
  <w:num w:numId="6">
    <w:abstractNumId w:val="7"/>
  </w:num>
  <w:num w:numId="7">
    <w:abstractNumId w:val="11"/>
  </w:num>
  <w:num w:numId="8">
    <w:abstractNumId w:val="0"/>
  </w:num>
  <w:num w:numId="9">
    <w:abstractNumId w:val="15"/>
  </w:num>
  <w:num w:numId="10">
    <w:abstractNumId w:val="3"/>
  </w:num>
  <w:num w:numId="11">
    <w:abstractNumId w:val="6"/>
  </w:num>
  <w:num w:numId="12">
    <w:abstractNumId w:val="4"/>
  </w:num>
  <w:num w:numId="13">
    <w:abstractNumId w:val="13"/>
  </w:num>
  <w:num w:numId="14">
    <w:abstractNumId w:val="9"/>
  </w:num>
  <w:num w:numId="15">
    <w:abstractNumId w:val="3"/>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1">
      <w:lvl w:ilvl="1">
        <w:start w:val="1"/>
        <w:numFmt w:val="bullet"/>
        <w:pStyle w:val="ChartListBullet2"/>
        <w:lvlText w:val="–"/>
        <w:lvlJc w:val="left"/>
        <w:pPr>
          <w:tabs>
            <w:tab w:val="num" w:pos="340"/>
          </w:tabs>
          <w:ind w:left="340" w:hanging="170"/>
        </w:pPr>
        <w:rPr>
          <w:rFonts w:ascii="Franklin Gothic Book" w:hAnsi="Franklin Gothic Book" w:hint="default"/>
          <w:color w:val="9B917E" w:themeColor="accent4"/>
        </w:rPr>
      </w:lvl>
    </w:lvlOverride>
  </w:num>
  <w:num w:numId="20">
    <w:abstractNumId w:val="5"/>
    <w:lvlOverride w:ilvl="0">
      <w:lvl w:ilvl="0">
        <w:start w:val="1"/>
        <w:numFmt w:val="bullet"/>
        <w:pStyle w:val="ChartListBullet"/>
        <w:lvlText w:val="■"/>
        <w:lvlJc w:val="left"/>
        <w:pPr>
          <w:tabs>
            <w:tab w:val="num" w:pos="170"/>
          </w:tabs>
          <w:ind w:left="170" w:hanging="170"/>
        </w:pPr>
        <w:rPr>
          <w:rFonts w:ascii="Franklin Gothic Book" w:hAnsi="Franklin Gothic Book" w:hint="default"/>
          <w:color w:val="FFFFFF" w:themeColor="background1"/>
          <w:position w:val="2"/>
          <w:sz w:val="12"/>
        </w:rPr>
      </w:lvl>
    </w:lvlOverride>
  </w:num>
  <w:num w:numId="21">
    <w:abstractNumId w:val="12"/>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hideSpellingErrors/>
  <w:hideGrammaticalErrors/>
  <w:activeWritingStyle w:appName="MSWord" w:lang="en-AU" w:vendorID="64" w:dllVersion="6" w:nlCheck="1" w:checkStyle="0"/>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en-US" w:vendorID="64" w:dllVersion="131078" w:nlCheck="1" w:checkStyle="1"/>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revisionView w:inkAnnotations="0"/>
  <w:documentProtection w:edit="readOnly" w:enforcement="0"/>
  <w:defaultTabStop w:val="284"/>
  <w:clickAndTypeStyle w:val="BodyText"/>
  <w:evenAndOddHeaders/>
  <w:drawingGridHorizontalSpacing w:val="142"/>
  <w:drawingGridVerticalSpacing w:val="14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E85"/>
    <w:rsid w:val="00000726"/>
    <w:rsid w:val="00002721"/>
    <w:rsid w:val="0000404E"/>
    <w:rsid w:val="00004361"/>
    <w:rsid w:val="000053BF"/>
    <w:rsid w:val="00005768"/>
    <w:rsid w:val="00006740"/>
    <w:rsid w:val="00006D68"/>
    <w:rsid w:val="000078F0"/>
    <w:rsid w:val="00010588"/>
    <w:rsid w:val="00014030"/>
    <w:rsid w:val="000168BA"/>
    <w:rsid w:val="00017D5A"/>
    <w:rsid w:val="00022345"/>
    <w:rsid w:val="00024206"/>
    <w:rsid w:val="00024872"/>
    <w:rsid w:val="00027E7C"/>
    <w:rsid w:val="0003192F"/>
    <w:rsid w:val="000331D6"/>
    <w:rsid w:val="00036FD6"/>
    <w:rsid w:val="00037F9E"/>
    <w:rsid w:val="00040588"/>
    <w:rsid w:val="00042363"/>
    <w:rsid w:val="00043FE2"/>
    <w:rsid w:val="00045326"/>
    <w:rsid w:val="000461CB"/>
    <w:rsid w:val="000473DD"/>
    <w:rsid w:val="00051172"/>
    <w:rsid w:val="00052303"/>
    <w:rsid w:val="0005455A"/>
    <w:rsid w:val="00054AAC"/>
    <w:rsid w:val="00061CDB"/>
    <w:rsid w:val="00061F24"/>
    <w:rsid w:val="00063D61"/>
    <w:rsid w:val="000642B7"/>
    <w:rsid w:val="000652FC"/>
    <w:rsid w:val="00065889"/>
    <w:rsid w:val="00070083"/>
    <w:rsid w:val="000701E7"/>
    <w:rsid w:val="00070654"/>
    <w:rsid w:val="000719EA"/>
    <w:rsid w:val="00072873"/>
    <w:rsid w:val="00073C36"/>
    <w:rsid w:val="0008370B"/>
    <w:rsid w:val="000866A5"/>
    <w:rsid w:val="000872FB"/>
    <w:rsid w:val="000873CC"/>
    <w:rsid w:val="00087E40"/>
    <w:rsid w:val="00090B41"/>
    <w:rsid w:val="000923A8"/>
    <w:rsid w:val="00092BC9"/>
    <w:rsid w:val="00092C85"/>
    <w:rsid w:val="00094293"/>
    <w:rsid w:val="00095461"/>
    <w:rsid w:val="00095D2C"/>
    <w:rsid w:val="0009623A"/>
    <w:rsid w:val="000978D6"/>
    <w:rsid w:val="000A04F6"/>
    <w:rsid w:val="000A3975"/>
    <w:rsid w:val="000A744E"/>
    <w:rsid w:val="000B2602"/>
    <w:rsid w:val="000B397D"/>
    <w:rsid w:val="000B6546"/>
    <w:rsid w:val="000B6DF3"/>
    <w:rsid w:val="000C35CB"/>
    <w:rsid w:val="000C438B"/>
    <w:rsid w:val="000C55C5"/>
    <w:rsid w:val="000D052F"/>
    <w:rsid w:val="000D4C79"/>
    <w:rsid w:val="000D53CB"/>
    <w:rsid w:val="000D738C"/>
    <w:rsid w:val="000E06BD"/>
    <w:rsid w:val="000E3271"/>
    <w:rsid w:val="000E5329"/>
    <w:rsid w:val="000E5731"/>
    <w:rsid w:val="000E7163"/>
    <w:rsid w:val="000F1CEF"/>
    <w:rsid w:val="000F76FA"/>
    <w:rsid w:val="000F7DCD"/>
    <w:rsid w:val="0010339F"/>
    <w:rsid w:val="00106B92"/>
    <w:rsid w:val="00110AC0"/>
    <w:rsid w:val="001113DF"/>
    <w:rsid w:val="00112299"/>
    <w:rsid w:val="001132FF"/>
    <w:rsid w:val="00114298"/>
    <w:rsid w:val="00122CBF"/>
    <w:rsid w:val="00123574"/>
    <w:rsid w:val="00125045"/>
    <w:rsid w:val="001267A4"/>
    <w:rsid w:val="00131EC3"/>
    <w:rsid w:val="00132A04"/>
    <w:rsid w:val="00134A2B"/>
    <w:rsid w:val="0013655A"/>
    <w:rsid w:val="001370F6"/>
    <w:rsid w:val="00137548"/>
    <w:rsid w:val="001377F8"/>
    <w:rsid w:val="00140070"/>
    <w:rsid w:val="00141E1F"/>
    <w:rsid w:val="00141FED"/>
    <w:rsid w:val="00143F02"/>
    <w:rsid w:val="00144AC4"/>
    <w:rsid w:val="00144B99"/>
    <w:rsid w:val="00145444"/>
    <w:rsid w:val="00147133"/>
    <w:rsid w:val="00151D8E"/>
    <w:rsid w:val="0015309D"/>
    <w:rsid w:val="001540E1"/>
    <w:rsid w:val="00154EE1"/>
    <w:rsid w:val="00155EBB"/>
    <w:rsid w:val="00156FB3"/>
    <w:rsid w:val="00157456"/>
    <w:rsid w:val="001605E1"/>
    <w:rsid w:val="00160701"/>
    <w:rsid w:val="001609BC"/>
    <w:rsid w:val="00160C29"/>
    <w:rsid w:val="00160FB8"/>
    <w:rsid w:val="00161E5C"/>
    <w:rsid w:val="00161FB8"/>
    <w:rsid w:val="001624ED"/>
    <w:rsid w:val="001647E4"/>
    <w:rsid w:val="00164A52"/>
    <w:rsid w:val="00164E8C"/>
    <w:rsid w:val="00167266"/>
    <w:rsid w:val="00172A23"/>
    <w:rsid w:val="00172EE8"/>
    <w:rsid w:val="0017310D"/>
    <w:rsid w:val="00173B54"/>
    <w:rsid w:val="001750CC"/>
    <w:rsid w:val="001754CB"/>
    <w:rsid w:val="00176390"/>
    <w:rsid w:val="001767F9"/>
    <w:rsid w:val="0018077F"/>
    <w:rsid w:val="00182068"/>
    <w:rsid w:val="00183D95"/>
    <w:rsid w:val="001850B1"/>
    <w:rsid w:val="001852E4"/>
    <w:rsid w:val="00190726"/>
    <w:rsid w:val="0019242D"/>
    <w:rsid w:val="0019261A"/>
    <w:rsid w:val="00192D12"/>
    <w:rsid w:val="00193954"/>
    <w:rsid w:val="001951A7"/>
    <w:rsid w:val="00195939"/>
    <w:rsid w:val="0019703F"/>
    <w:rsid w:val="001970C9"/>
    <w:rsid w:val="001A0013"/>
    <w:rsid w:val="001A066A"/>
    <w:rsid w:val="001A08AD"/>
    <w:rsid w:val="001A0B79"/>
    <w:rsid w:val="001A1065"/>
    <w:rsid w:val="001A2A99"/>
    <w:rsid w:val="001A2D20"/>
    <w:rsid w:val="001A3C7C"/>
    <w:rsid w:val="001A4BDB"/>
    <w:rsid w:val="001A59B2"/>
    <w:rsid w:val="001A6EA7"/>
    <w:rsid w:val="001A6EAB"/>
    <w:rsid w:val="001A7147"/>
    <w:rsid w:val="001B0B61"/>
    <w:rsid w:val="001B1B01"/>
    <w:rsid w:val="001B25D3"/>
    <w:rsid w:val="001B2F94"/>
    <w:rsid w:val="001B3438"/>
    <w:rsid w:val="001B3876"/>
    <w:rsid w:val="001B4EBC"/>
    <w:rsid w:val="001B747F"/>
    <w:rsid w:val="001B7C37"/>
    <w:rsid w:val="001C0972"/>
    <w:rsid w:val="001C0E54"/>
    <w:rsid w:val="001C24C9"/>
    <w:rsid w:val="001C3CC5"/>
    <w:rsid w:val="001C3E07"/>
    <w:rsid w:val="001C41C7"/>
    <w:rsid w:val="001C6315"/>
    <w:rsid w:val="001D200A"/>
    <w:rsid w:val="001D2D60"/>
    <w:rsid w:val="001D3E1A"/>
    <w:rsid w:val="001D6065"/>
    <w:rsid w:val="001D72A4"/>
    <w:rsid w:val="001E04F5"/>
    <w:rsid w:val="001E2A83"/>
    <w:rsid w:val="001E2D52"/>
    <w:rsid w:val="001E31FC"/>
    <w:rsid w:val="001E34F6"/>
    <w:rsid w:val="001E3D69"/>
    <w:rsid w:val="001E3E8A"/>
    <w:rsid w:val="001E4E51"/>
    <w:rsid w:val="001E6A14"/>
    <w:rsid w:val="001F182E"/>
    <w:rsid w:val="001F2906"/>
    <w:rsid w:val="001F3E78"/>
    <w:rsid w:val="001F438A"/>
    <w:rsid w:val="001F45EB"/>
    <w:rsid w:val="001F5383"/>
    <w:rsid w:val="001F5579"/>
    <w:rsid w:val="001F5611"/>
    <w:rsid w:val="001F62C5"/>
    <w:rsid w:val="001F650C"/>
    <w:rsid w:val="001F7379"/>
    <w:rsid w:val="001F79C6"/>
    <w:rsid w:val="002006F2"/>
    <w:rsid w:val="00200DE7"/>
    <w:rsid w:val="00202BB1"/>
    <w:rsid w:val="002043F1"/>
    <w:rsid w:val="002054AC"/>
    <w:rsid w:val="00206E57"/>
    <w:rsid w:val="002078CE"/>
    <w:rsid w:val="00212CA5"/>
    <w:rsid w:val="002149C9"/>
    <w:rsid w:val="002159B4"/>
    <w:rsid w:val="002164D6"/>
    <w:rsid w:val="00216C8F"/>
    <w:rsid w:val="00217000"/>
    <w:rsid w:val="0021708E"/>
    <w:rsid w:val="002175B7"/>
    <w:rsid w:val="0021770B"/>
    <w:rsid w:val="0022165D"/>
    <w:rsid w:val="00221BE0"/>
    <w:rsid w:val="00222007"/>
    <w:rsid w:val="00222BF5"/>
    <w:rsid w:val="0022386A"/>
    <w:rsid w:val="002249BD"/>
    <w:rsid w:val="00225068"/>
    <w:rsid w:val="00225D69"/>
    <w:rsid w:val="00226230"/>
    <w:rsid w:val="002262E1"/>
    <w:rsid w:val="00230635"/>
    <w:rsid w:val="00231E5E"/>
    <w:rsid w:val="002321B8"/>
    <w:rsid w:val="00232F15"/>
    <w:rsid w:val="00234760"/>
    <w:rsid w:val="00234EAC"/>
    <w:rsid w:val="002355AE"/>
    <w:rsid w:val="00235787"/>
    <w:rsid w:val="0023701E"/>
    <w:rsid w:val="00237D6C"/>
    <w:rsid w:val="002411F9"/>
    <w:rsid w:val="0024172A"/>
    <w:rsid w:val="0025014B"/>
    <w:rsid w:val="002501B3"/>
    <w:rsid w:val="00252A3F"/>
    <w:rsid w:val="00252BEA"/>
    <w:rsid w:val="0025306F"/>
    <w:rsid w:val="0025379D"/>
    <w:rsid w:val="00253D9A"/>
    <w:rsid w:val="00254D0F"/>
    <w:rsid w:val="00255187"/>
    <w:rsid w:val="00255341"/>
    <w:rsid w:val="002568C5"/>
    <w:rsid w:val="00257809"/>
    <w:rsid w:val="00257F35"/>
    <w:rsid w:val="002613B7"/>
    <w:rsid w:val="00261A76"/>
    <w:rsid w:val="00262F13"/>
    <w:rsid w:val="002646BA"/>
    <w:rsid w:val="002658EB"/>
    <w:rsid w:val="0027008A"/>
    <w:rsid w:val="00274BEB"/>
    <w:rsid w:val="002761F9"/>
    <w:rsid w:val="00280D84"/>
    <w:rsid w:val="00280FB4"/>
    <w:rsid w:val="002812E4"/>
    <w:rsid w:val="002829D9"/>
    <w:rsid w:val="00287996"/>
    <w:rsid w:val="00290273"/>
    <w:rsid w:val="00290880"/>
    <w:rsid w:val="0029248B"/>
    <w:rsid w:val="00292E93"/>
    <w:rsid w:val="00293F2D"/>
    <w:rsid w:val="00295012"/>
    <w:rsid w:val="00295145"/>
    <w:rsid w:val="002A09E0"/>
    <w:rsid w:val="002A5062"/>
    <w:rsid w:val="002A63B7"/>
    <w:rsid w:val="002A7161"/>
    <w:rsid w:val="002A7183"/>
    <w:rsid w:val="002A7FBB"/>
    <w:rsid w:val="002B1B67"/>
    <w:rsid w:val="002B418C"/>
    <w:rsid w:val="002B68C2"/>
    <w:rsid w:val="002B76B3"/>
    <w:rsid w:val="002C0234"/>
    <w:rsid w:val="002C0B69"/>
    <w:rsid w:val="002C1088"/>
    <w:rsid w:val="002C4DAF"/>
    <w:rsid w:val="002C5E17"/>
    <w:rsid w:val="002D0F84"/>
    <w:rsid w:val="002D12E6"/>
    <w:rsid w:val="002D16DF"/>
    <w:rsid w:val="002D1EA5"/>
    <w:rsid w:val="002D219D"/>
    <w:rsid w:val="002D245D"/>
    <w:rsid w:val="002D30F9"/>
    <w:rsid w:val="002D4888"/>
    <w:rsid w:val="002D4C2F"/>
    <w:rsid w:val="002D5DA9"/>
    <w:rsid w:val="002D7073"/>
    <w:rsid w:val="002E0543"/>
    <w:rsid w:val="002E3000"/>
    <w:rsid w:val="002E42E5"/>
    <w:rsid w:val="002E4B26"/>
    <w:rsid w:val="002E5345"/>
    <w:rsid w:val="002E641C"/>
    <w:rsid w:val="002E7FE4"/>
    <w:rsid w:val="002F0378"/>
    <w:rsid w:val="002F0710"/>
    <w:rsid w:val="002F2AD2"/>
    <w:rsid w:val="002F2DAD"/>
    <w:rsid w:val="002F3BED"/>
    <w:rsid w:val="002F54D7"/>
    <w:rsid w:val="00300FE4"/>
    <w:rsid w:val="003034B4"/>
    <w:rsid w:val="003037CA"/>
    <w:rsid w:val="00303E96"/>
    <w:rsid w:val="00304C10"/>
    <w:rsid w:val="00305777"/>
    <w:rsid w:val="003126F2"/>
    <w:rsid w:val="00314C70"/>
    <w:rsid w:val="00316FB2"/>
    <w:rsid w:val="003202CB"/>
    <w:rsid w:val="00320797"/>
    <w:rsid w:val="00320B11"/>
    <w:rsid w:val="00323985"/>
    <w:rsid w:val="003247B1"/>
    <w:rsid w:val="00324AC0"/>
    <w:rsid w:val="00326D2F"/>
    <w:rsid w:val="003331E1"/>
    <w:rsid w:val="00333489"/>
    <w:rsid w:val="003336FB"/>
    <w:rsid w:val="00337419"/>
    <w:rsid w:val="00337449"/>
    <w:rsid w:val="00340000"/>
    <w:rsid w:val="00342223"/>
    <w:rsid w:val="00343707"/>
    <w:rsid w:val="00344521"/>
    <w:rsid w:val="00345A25"/>
    <w:rsid w:val="00347146"/>
    <w:rsid w:val="0034759A"/>
    <w:rsid w:val="00347926"/>
    <w:rsid w:val="00347B60"/>
    <w:rsid w:val="003506C7"/>
    <w:rsid w:val="00350F84"/>
    <w:rsid w:val="0035105D"/>
    <w:rsid w:val="00352EC0"/>
    <w:rsid w:val="00354223"/>
    <w:rsid w:val="003561F3"/>
    <w:rsid w:val="0035659D"/>
    <w:rsid w:val="00357024"/>
    <w:rsid w:val="00357067"/>
    <w:rsid w:val="003573D1"/>
    <w:rsid w:val="00357593"/>
    <w:rsid w:val="00357B8F"/>
    <w:rsid w:val="00360168"/>
    <w:rsid w:val="00363A6B"/>
    <w:rsid w:val="00363C20"/>
    <w:rsid w:val="00364961"/>
    <w:rsid w:val="00364BF0"/>
    <w:rsid w:val="00370C88"/>
    <w:rsid w:val="0037127D"/>
    <w:rsid w:val="0037167C"/>
    <w:rsid w:val="003726AE"/>
    <w:rsid w:val="0037281D"/>
    <w:rsid w:val="00372E7F"/>
    <w:rsid w:val="00373553"/>
    <w:rsid w:val="0037389E"/>
    <w:rsid w:val="00375A3B"/>
    <w:rsid w:val="00375BA6"/>
    <w:rsid w:val="00375F1A"/>
    <w:rsid w:val="003818BB"/>
    <w:rsid w:val="003822C2"/>
    <w:rsid w:val="003830ED"/>
    <w:rsid w:val="00383FDA"/>
    <w:rsid w:val="00384703"/>
    <w:rsid w:val="0038664C"/>
    <w:rsid w:val="00387CB5"/>
    <w:rsid w:val="00390399"/>
    <w:rsid w:val="00392952"/>
    <w:rsid w:val="00394D91"/>
    <w:rsid w:val="00395D18"/>
    <w:rsid w:val="003966C8"/>
    <w:rsid w:val="00396ABD"/>
    <w:rsid w:val="00396F36"/>
    <w:rsid w:val="00397DC8"/>
    <w:rsid w:val="00397EF7"/>
    <w:rsid w:val="003A1DFF"/>
    <w:rsid w:val="003A20B3"/>
    <w:rsid w:val="003A22CD"/>
    <w:rsid w:val="003A24B5"/>
    <w:rsid w:val="003A28F7"/>
    <w:rsid w:val="003A4189"/>
    <w:rsid w:val="003B0F2C"/>
    <w:rsid w:val="003B131D"/>
    <w:rsid w:val="003B187C"/>
    <w:rsid w:val="003B2B11"/>
    <w:rsid w:val="003B3BE9"/>
    <w:rsid w:val="003B3D27"/>
    <w:rsid w:val="003B4AAA"/>
    <w:rsid w:val="003B5EBE"/>
    <w:rsid w:val="003B7167"/>
    <w:rsid w:val="003C166E"/>
    <w:rsid w:val="003C392D"/>
    <w:rsid w:val="003C3A35"/>
    <w:rsid w:val="003C420B"/>
    <w:rsid w:val="003C4883"/>
    <w:rsid w:val="003C50D4"/>
    <w:rsid w:val="003C53D9"/>
    <w:rsid w:val="003C62AC"/>
    <w:rsid w:val="003D007E"/>
    <w:rsid w:val="003D0A62"/>
    <w:rsid w:val="003D139A"/>
    <w:rsid w:val="003D2A2B"/>
    <w:rsid w:val="003D41EA"/>
    <w:rsid w:val="003D5CF0"/>
    <w:rsid w:val="003D6FA5"/>
    <w:rsid w:val="003D7406"/>
    <w:rsid w:val="003D764D"/>
    <w:rsid w:val="003E0782"/>
    <w:rsid w:val="003E1F01"/>
    <w:rsid w:val="003E428F"/>
    <w:rsid w:val="003E547F"/>
    <w:rsid w:val="003E5943"/>
    <w:rsid w:val="003E7141"/>
    <w:rsid w:val="003F3859"/>
    <w:rsid w:val="003F3BD6"/>
    <w:rsid w:val="003F3E18"/>
    <w:rsid w:val="003F4D9B"/>
    <w:rsid w:val="003F6ACF"/>
    <w:rsid w:val="00402DAF"/>
    <w:rsid w:val="00407097"/>
    <w:rsid w:val="00407359"/>
    <w:rsid w:val="004073EA"/>
    <w:rsid w:val="00407B9C"/>
    <w:rsid w:val="00411FDB"/>
    <w:rsid w:val="00415E68"/>
    <w:rsid w:val="0041733A"/>
    <w:rsid w:val="004201BE"/>
    <w:rsid w:val="00420C8B"/>
    <w:rsid w:val="00422897"/>
    <w:rsid w:val="00422A07"/>
    <w:rsid w:val="00423461"/>
    <w:rsid w:val="00425BAF"/>
    <w:rsid w:val="0042634F"/>
    <w:rsid w:val="004263AE"/>
    <w:rsid w:val="00430E53"/>
    <w:rsid w:val="00431443"/>
    <w:rsid w:val="00431B6D"/>
    <w:rsid w:val="00435EE9"/>
    <w:rsid w:val="00436EC7"/>
    <w:rsid w:val="00437D32"/>
    <w:rsid w:val="00440E6F"/>
    <w:rsid w:val="004411DB"/>
    <w:rsid w:val="00441DA4"/>
    <w:rsid w:val="00443E7D"/>
    <w:rsid w:val="00444736"/>
    <w:rsid w:val="004452F5"/>
    <w:rsid w:val="00445D6D"/>
    <w:rsid w:val="0044762A"/>
    <w:rsid w:val="004511A8"/>
    <w:rsid w:val="00451CC6"/>
    <w:rsid w:val="00451F31"/>
    <w:rsid w:val="0045456F"/>
    <w:rsid w:val="004550CB"/>
    <w:rsid w:val="0045559C"/>
    <w:rsid w:val="004559DC"/>
    <w:rsid w:val="004562C8"/>
    <w:rsid w:val="004563C5"/>
    <w:rsid w:val="00457271"/>
    <w:rsid w:val="00457CDE"/>
    <w:rsid w:val="00457E0A"/>
    <w:rsid w:val="00461B22"/>
    <w:rsid w:val="00463768"/>
    <w:rsid w:val="0046437D"/>
    <w:rsid w:val="004649C6"/>
    <w:rsid w:val="00465609"/>
    <w:rsid w:val="004660B0"/>
    <w:rsid w:val="0046709B"/>
    <w:rsid w:val="00467D80"/>
    <w:rsid w:val="00467FBA"/>
    <w:rsid w:val="00470EA9"/>
    <w:rsid w:val="0047158C"/>
    <w:rsid w:val="0047188E"/>
    <w:rsid w:val="00471A32"/>
    <w:rsid w:val="00471FDA"/>
    <w:rsid w:val="0047263E"/>
    <w:rsid w:val="004742B8"/>
    <w:rsid w:val="00475A61"/>
    <w:rsid w:val="00475BA5"/>
    <w:rsid w:val="0047640F"/>
    <w:rsid w:val="00481E74"/>
    <w:rsid w:val="004851C6"/>
    <w:rsid w:val="0049011A"/>
    <w:rsid w:val="00491C57"/>
    <w:rsid w:val="0049244A"/>
    <w:rsid w:val="00492E43"/>
    <w:rsid w:val="00495E87"/>
    <w:rsid w:val="00497862"/>
    <w:rsid w:val="004A02A0"/>
    <w:rsid w:val="004A1B3F"/>
    <w:rsid w:val="004A1B8D"/>
    <w:rsid w:val="004A217A"/>
    <w:rsid w:val="004A26AE"/>
    <w:rsid w:val="004A272C"/>
    <w:rsid w:val="004A2B30"/>
    <w:rsid w:val="004A375F"/>
    <w:rsid w:val="004A3FA1"/>
    <w:rsid w:val="004A570B"/>
    <w:rsid w:val="004A6747"/>
    <w:rsid w:val="004A7F86"/>
    <w:rsid w:val="004B0C23"/>
    <w:rsid w:val="004B15D9"/>
    <w:rsid w:val="004B1755"/>
    <w:rsid w:val="004B1CE6"/>
    <w:rsid w:val="004B22A1"/>
    <w:rsid w:val="004B4881"/>
    <w:rsid w:val="004B781D"/>
    <w:rsid w:val="004B7EA5"/>
    <w:rsid w:val="004C1481"/>
    <w:rsid w:val="004C1C7D"/>
    <w:rsid w:val="004C31EE"/>
    <w:rsid w:val="004C50F9"/>
    <w:rsid w:val="004C5201"/>
    <w:rsid w:val="004C54C7"/>
    <w:rsid w:val="004C5593"/>
    <w:rsid w:val="004C57F5"/>
    <w:rsid w:val="004C6101"/>
    <w:rsid w:val="004D2679"/>
    <w:rsid w:val="004D3F73"/>
    <w:rsid w:val="004D3FB4"/>
    <w:rsid w:val="004D515B"/>
    <w:rsid w:val="004D55B1"/>
    <w:rsid w:val="004D5649"/>
    <w:rsid w:val="004D6AA5"/>
    <w:rsid w:val="004D76D8"/>
    <w:rsid w:val="004E0CD6"/>
    <w:rsid w:val="004E0FE7"/>
    <w:rsid w:val="004E1233"/>
    <w:rsid w:val="004E13DA"/>
    <w:rsid w:val="004E3854"/>
    <w:rsid w:val="004E4A71"/>
    <w:rsid w:val="004E5295"/>
    <w:rsid w:val="004E7620"/>
    <w:rsid w:val="004F1824"/>
    <w:rsid w:val="004F57BA"/>
    <w:rsid w:val="004F6255"/>
    <w:rsid w:val="004F7137"/>
    <w:rsid w:val="004F76C9"/>
    <w:rsid w:val="004F785D"/>
    <w:rsid w:val="004F7DFE"/>
    <w:rsid w:val="00500292"/>
    <w:rsid w:val="00500DAC"/>
    <w:rsid w:val="00500DE6"/>
    <w:rsid w:val="00501A93"/>
    <w:rsid w:val="00502303"/>
    <w:rsid w:val="005030D2"/>
    <w:rsid w:val="0050505D"/>
    <w:rsid w:val="00505430"/>
    <w:rsid w:val="00505BE4"/>
    <w:rsid w:val="005060A4"/>
    <w:rsid w:val="00507193"/>
    <w:rsid w:val="0051089E"/>
    <w:rsid w:val="005109E1"/>
    <w:rsid w:val="00511610"/>
    <w:rsid w:val="00511766"/>
    <w:rsid w:val="00512EC0"/>
    <w:rsid w:val="00515CB5"/>
    <w:rsid w:val="00516EAF"/>
    <w:rsid w:val="005170CE"/>
    <w:rsid w:val="00523924"/>
    <w:rsid w:val="00524339"/>
    <w:rsid w:val="00525404"/>
    <w:rsid w:val="00525FEC"/>
    <w:rsid w:val="0052602A"/>
    <w:rsid w:val="00527E7D"/>
    <w:rsid w:val="0053103E"/>
    <w:rsid w:val="0053282E"/>
    <w:rsid w:val="00534F47"/>
    <w:rsid w:val="00535F8B"/>
    <w:rsid w:val="005362A1"/>
    <w:rsid w:val="0053699A"/>
    <w:rsid w:val="00536D4D"/>
    <w:rsid w:val="005409B7"/>
    <w:rsid w:val="00541050"/>
    <w:rsid w:val="00543728"/>
    <w:rsid w:val="005441EE"/>
    <w:rsid w:val="00547AE8"/>
    <w:rsid w:val="00550FDA"/>
    <w:rsid w:val="005514A0"/>
    <w:rsid w:val="00551A1C"/>
    <w:rsid w:val="00552321"/>
    <w:rsid w:val="00552D9A"/>
    <w:rsid w:val="00556412"/>
    <w:rsid w:val="00557D49"/>
    <w:rsid w:val="0056021E"/>
    <w:rsid w:val="00566BC3"/>
    <w:rsid w:val="0056775D"/>
    <w:rsid w:val="005709FE"/>
    <w:rsid w:val="00570FDC"/>
    <w:rsid w:val="005718F0"/>
    <w:rsid w:val="00571E16"/>
    <w:rsid w:val="0057294A"/>
    <w:rsid w:val="005738E7"/>
    <w:rsid w:val="00573B72"/>
    <w:rsid w:val="00573FA9"/>
    <w:rsid w:val="00575AC1"/>
    <w:rsid w:val="005767CE"/>
    <w:rsid w:val="00576C2E"/>
    <w:rsid w:val="00580E06"/>
    <w:rsid w:val="00582149"/>
    <w:rsid w:val="0058597E"/>
    <w:rsid w:val="00587291"/>
    <w:rsid w:val="0058744D"/>
    <w:rsid w:val="00590988"/>
    <w:rsid w:val="005912F9"/>
    <w:rsid w:val="00591C8C"/>
    <w:rsid w:val="00591E5D"/>
    <w:rsid w:val="00591EDC"/>
    <w:rsid w:val="00591F69"/>
    <w:rsid w:val="00592EA1"/>
    <w:rsid w:val="00594CAA"/>
    <w:rsid w:val="005961AB"/>
    <w:rsid w:val="00596EBF"/>
    <w:rsid w:val="00597C4B"/>
    <w:rsid w:val="005A1AFB"/>
    <w:rsid w:val="005A224A"/>
    <w:rsid w:val="005A2F9F"/>
    <w:rsid w:val="005A4194"/>
    <w:rsid w:val="005A6134"/>
    <w:rsid w:val="005B1FD7"/>
    <w:rsid w:val="005B2377"/>
    <w:rsid w:val="005B30E1"/>
    <w:rsid w:val="005B3A90"/>
    <w:rsid w:val="005B435E"/>
    <w:rsid w:val="005B4670"/>
    <w:rsid w:val="005C01FA"/>
    <w:rsid w:val="005C046D"/>
    <w:rsid w:val="005C1EFC"/>
    <w:rsid w:val="005C2384"/>
    <w:rsid w:val="005C386A"/>
    <w:rsid w:val="005C42B4"/>
    <w:rsid w:val="005C5257"/>
    <w:rsid w:val="005C5337"/>
    <w:rsid w:val="005C5FB3"/>
    <w:rsid w:val="005C76A4"/>
    <w:rsid w:val="005C7918"/>
    <w:rsid w:val="005D0C5F"/>
    <w:rsid w:val="005D1813"/>
    <w:rsid w:val="005D3C6B"/>
    <w:rsid w:val="005D5B85"/>
    <w:rsid w:val="005D693A"/>
    <w:rsid w:val="005D6F19"/>
    <w:rsid w:val="005D7C32"/>
    <w:rsid w:val="005E1D27"/>
    <w:rsid w:val="005E2466"/>
    <w:rsid w:val="005E43A8"/>
    <w:rsid w:val="005E4B08"/>
    <w:rsid w:val="005E6B5F"/>
    <w:rsid w:val="005E710A"/>
    <w:rsid w:val="005F2E4B"/>
    <w:rsid w:val="005F3A7A"/>
    <w:rsid w:val="005F42E6"/>
    <w:rsid w:val="005F5898"/>
    <w:rsid w:val="005F636C"/>
    <w:rsid w:val="005F689F"/>
    <w:rsid w:val="005F6E78"/>
    <w:rsid w:val="0060478E"/>
    <w:rsid w:val="0060506D"/>
    <w:rsid w:val="00605AC1"/>
    <w:rsid w:val="00605D38"/>
    <w:rsid w:val="00606B6D"/>
    <w:rsid w:val="006104AF"/>
    <w:rsid w:val="00610CC1"/>
    <w:rsid w:val="006132D8"/>
    <w:rsid w:val="00613616"/>
    <w:rsid w:val="0061412E"/>
    <w:rsid w:val="00615336"/>
    <w:rsid w:val="00616E6E"/>
    <w:rsid w:val="00620E39"/>
    <w:rsid w:val="00621B0C"/>
    <w:rsid w:val="006220D4"/>
    <w:rsid w:val="00622549"/>
    <w:rsid w:val="00624E85"/>
    <w:rsid w:val="00624F08"/>
    <w:rsid w:val="00627DF4"/>
    <w:rsid w:val="00631A1E"/>
    <w:rsid w:val="00632AF6"/>
    <w:rsid w:val="00636B5B"/>
    <w:rsid w:val="00637168"/>
    <w:rsid w:val="00640507"/>
    <w:rsid w:val="00640A54"/>
    <w:rsid w:val="00640BE2"/>
    <w:rsid w:val="006417B1"/>
    <w:rsid w:val="006448EE"/>
    <w:rsid w:val="0064735E"/>
    <w:rsid w:val="0065080C"/>
    <w:rsid w:val="00650F3E"/>
    <w:rsid w:val="0065255D"/>
    <w:rsid w:val="00652CE1"/>
    <w:rsid w:val="00654141"/>
    <w:rsid w:val="006544F3"/>
    <w:rsid w:val="00655656"/>
    <w:rsid w:val="00656D2E"/>
    <w:rsid w:val="00660B2D"/>
    <w:rsid w:val="00661D2C"/>
    <w:rsid w:val="00661FA5"/>
    <w:rsid w:val="00663324"/>
    <w:rsid w:val="00664723"/>
    <w:rsid w:val="00665E4E"/>
    <w:rsid w:val="00667378"/>
    <w:rsid w:val="006677C1"/>
    <w:rsid w:val="0067052D"/>
    <w:rsid w:val="00670536"/>
    <w:rsid w:val="006712CD"/>
    <w:rsid w:val="00672603"/>
    <w:rsid w:val="006730DA"/>
    <w:rsid w:val="00673C24"/>
    <w:rsid w:val="00674239"/>
    <w:rsid w:val="006774D5"/>
    <w:rsid w:val="00677846"/>
    <w:rsid w:val="00677ED3"/>
    <w:rsid w:val="0068075B"/>
    <w:rsid w:val="00682820"/>
    <w:rsid w:val="00683E41"/>
    <w:rsid w:val="00686561"/>
    <w:rsid w:val="00686E72"/>
    <w:rsid w:val="0069153C"/>
    <w:rsid w:val="006919D2"/>
    <w:rsid w:val="0069258E"/>
    <w:rsid w:val="00692803"/>
    <w:rsid w:val="00693CD2"/>
    <w:rsid w:val="00693EAE"/>
    <w:rsid w:val="00695C93"/>
    <w:rsid w:val="006A614B"/>
    <w:rsid w:val="006A62FB"/>
    <w:rsid w:val="006A78D4"/>
    <w:rsid w:val="006B21B6"/>
    <w:rsid w:val="006B2949"/>
    <w:rsid w:val="006B3382"/>
    <w:rsid w:val="006B34C3"/>
    <w:rsid w:val="006B352F"/>
    <w:rsid w:val="006B3FE2"/>
    <w:rsid w:val="006B6291"/>
    <w:rsid w:val="006B62AE"/>
    <w:rsid w:val="006B7980"/>
    <w:rsid w:val="006C27C9"/>
    <w:rsid w:val="006C3639"/>
    <w:rsid w:val="006C4922"/>
    <w:rsid w:val="006C4A9A"/>
    <w:rsid w:val="006C4FF3"/>
    <w:rsid w:val="006C5856"/>
    <w:rsid w:val="006D0F27"/>
    <w:rsid w:val="006D10AA"/>
    <w:rsid w:val="006D4107"/>
    <w:rsid w:val="006D44B3"/>
    <w:rsid w:val="006D4C53"/>
    <w:rsid w:val="006D4DC7"/>
    <w:rsid w:val="006D5994"/>
    <w:rsid w:val="006D6517"/>
    <w:rsid w:val="006D7BDA"/>
    <w:rsid w:val="006E0165"/>
    <w:rsid w:val="006E02EF"/>
    <w:rsid w:val="006E03FF"/>
    <w:rsid w:val="006E2350"/>
    <w:rsid w:val="006E2EE9"/>
    <w:rsid w:val="006E31DA"/>
    <w:rsid w:val="006E4CA3"/>
    <w:rsid w:val="006E5440"/>
    <w:rsid w:val="006E5DA7"/>
    <w:rsid w:val="006F043F"/>
    <w:rsid w:val="006F1603"/>
    <w:rsid w:val="006F16A2"/>
    <w:rsid w:val="006F1BD6"/>
    <w:rsid w:val="006F3F36"/>
    <w:rsid w:val="006F5DA3"/>
    <w:rsid w:val="006F644B"/>
    <w:rsid w:val="00702F7B"/>
    <w:rsid w:val="00704A2B"/>
    <w:rsid w:val="00706285"/>
    <w:rsid w:val="00706740"/>
    <w:rsid w:val="00706EE6"/>
    <w:rsid w:val="0071092E"/>
    <w:rsid w:val="00712004"/>
    <w:rsid w:val="00712E5B"/>
    <w:rsid w:val="0071480D"/>
    <w:rsid w:val="0071617D"/>
    <w:rsid w:val="00721CE9"/>
    <w:rsid w:val="00723662"/>
    <w:rsid w:val="00723738"/>
    <w:rsid w:val="00723BE6"/>
    <w:rsid w:val="007248CB"/>
    <w:rsid w:val="0072548C"/>
    <w:rsid w:val="00726AA9"/>
    <w:rsid w:val="00727552"/>
    <w:rsid w:val="0073118C"/>
    <w:rsid w:val="00731FC7"/>
    <w:rsid w:val="00732BC9"/>
    <w:rsid w:val="007348DE"/>
    <w:rsid w:val="00736E88"/>
    <w:rsid w:val="00740354"/>
    <w:rsid w:val="007415B7"/>
    <w:rsid w:val="00742A5F"/>
    <w:rsid w:val="007438FF"/>
    <w:rsid w:val="00745458"/>
    <w:rsid w:val="00745B58"/>
    <w:rsid w:val="0074727D"/>
    <w:rsid w:val="007505E8"/>
    <w:rsid w:val="007531FF"/>
    <w:rsid w:val="00753209"/>
    <w:rsid w:val="0075413C"/>
    <w:rsid w:val="007563C2"/>
    <w:rsid w:val="00756880"/>
    <w:rsid w:val="007604B6"/>
    <w:rsid w:val="00761543"/>
    <w:rsid w:val="00761663"/>
    <w:rsid w:val="00761937"/>
    <w:rsid w:val="00761F60"/>
    <w:rsid w:val="00762D3B"/>
    <w:rsid w:val="00765577"/>
    <w:rsid w:val="00767378"/>
    <w:rsid w:val="0076787A"/>
    <w:rsid w:val="00767B48"/>
    <w:rsid w:val="007701E2"/>
    <w:rsid w:val="00771BA4"/>
    <w:rsid w:val="007730F1"/>
    <w:rsid w:val="00775130"/>
    <w:rsid w:val="00776B5B"/>
    <w:rsid w:val="007772AA"/>
    <w:rsid w:val="00780249"/>
    <w:rsid w:val="007804DC"/>
    <w:rsid w:val="00784F08"/>
    <w:rsid w:val="00785447"/>
    <w:rsid w:val="00786E51"/>
    <w:rsid w:val="00787992"/>
    <w:rsid w:val="00787ED2"/>
    <w:rsid w:val="0079124B"/>
    <w:rsid w:val="0079268F"/>
    <w:rsid w:val="00793112"/>
    <w:rsid w:val="0079671B"/>
    <w:rsid w:val="007969BE"/>
    <w:rsid w:val="007A0201"/>
    <w:rsid w:val="007A1A0A"/>
    <w:rsid w:val="007A2A3B"/>
    <w:rsid w:val="007A2EFE"/>
    <w:rsid w:val="007A4A55"/>
    <w:rsid w:val="007A5039"/>
    <w:rsid w:val="007A5368"/>
    <w:rsid w:val="007A5B73"/>
    <w:rsid w:val="007A61BD"/>
    <w:rsid w:val="007A7117"/>
    <w:rsid w:val="007B0420"/>
    <w:rsid w:val="007B15E9"/>
    <w:rsid w:val="007B3F04"/>
    <w:rsid w:val="007B5C92"/>
    <w:rsid w:val="007B70E6"/>
    <w:rsid w:val="007B7CBE"/>
    <w:rsid w:val="007C0583"/>
    <w:rsid w:val="007C2655"/>
    <w:rsid w:val="007C3085"/>
    <w:rsid w:val="007C4C46"/>
    <w:rsid w:val="007C6A96"/>
    <w:rsid w:val="007C7036"/>
    <w:rsid w:val="007D07A2"/>
    <w:rsid w:val="007D13E1"/>
    <w:rsid w:val="007D1B4F"/>
    <w:rsid w:val="007D4B7A"/>
    <w:rsid w:val="007D4FCC"/>
    <w:rsid w:val="007D58E9"/>
    <w:rsid w:val="007E0671"/>
    <w:rsid w:val="007E0CC5"/>
    <w:rsid w:val="007E2AB4"/>
    <w:rsid w:val="007E2F6B"/>
    <w:rsid w:val="007E44F6"/>
    <w:rsid w:val="007E602B"/>
    <w:rsid w:val="007E7120"/>
    <w:rsid w:val="007F008C"/>
    <w:rsid w:val="007F104C"/>
    <w:rsid w:val="007F153B"/>
    <w:rsid w:val="007F1C74"/>
    <w:rsid w:val="007F23CC"/>
    <w:rsid w:val="007F33BF"/>
    <w:rsid w:val="007F56B3"/>
    <w:rsid w:val="007F7A98"/>
    <w:rsid w:val="00800EC1"/>
    <w:rsid w:val="0080129B"/>
    <w:rsid w:val="00801784"/>
    <w:rsid w:val="00801EC2"/>
    <w:rsid w:val="00802B83"/>
    <w:rsid w:val="0081013A"/>
    <w:rsid w:val="00811EC1"/>
    <w:rsid w:val="00813488"/>
    <w:rsid w:val="008137E2"/>
    <w:rsid w:val="00813860"/>
    <w:rsid w:val="00814A0C"/>
    <w:rsid w:val="00814B8B"/>
    <w:rsid w:val="008209BC"/>
    <w:rsid w:val="008229C0"/>
    <w:rsid w:val="00823491"/>
    <w:rsid w:val="00825668"/>
    <w:rsid w:val="008258EF"/>
    <w:rsid w:val="00826061"/>
    <w:rsid w:val="00827105"/>
    <w:rsid w:val="008274D9"/>
    <w:rsid w:val="00830E27"/>
    <w:rsid w:val="00830E79"/>
    <w:rsid w:val="00831B9F"/>
    <w:rsid w:val="008363EF"/>
    <w:rsid w:val="00842B43"/>
    <w:rsid w:val="00842DE9"/>
    <w:rsid w:val="00846689"/>
    <w:rsid w:val="00847AB2"/>
    <w:rsid w:val="00847F97"/>
    <w:rsid w:val="00850B88"/>
    <w:rsid w:val="008519F1"/>
    <w:rsid w:val="0085245D"/>
    <w:rsid w:val="008544EC"/>
    <w:rsid w:val="008548E0"/>
    <w:rsid w:val="008566BE"/>
    <w:rsid w:val="008579F6"/>
    <w:rsid w:val="00860A7E"/>
    <w:rsid w:val="00861243"/>
    <w:rsid w:val="00861E71"/>
    <w:rsid w:val="00862E4E"/>
    <w:rsid w:val="00862E5B"/>
    <w:rsid w:val="0086389A"/>
    <w:rsid w:val="00863E3F"/>
    <w:rsid w:val="00865BAD"/>
    <w:rsid w:val="00866943"/>
    <w:rsid w:val="00866F41"/>
    <w:rsid w:val="00867422"/>
    <w:rsid w:val="00867843"/>
    <w:rsid w:val="0087097F"/>
    <w:rsid w:val="00873D6F"/>
    <w:rsid w:val="008771EC"/>
    <w:rsid w:val="00877619"/>
    <w:rsid w:val="00880026"/>
    <w:rsid w:val="00880622"/>
    <w:rsid w:val="00881089"/>
    <w:rsid w:val="008823DC"/>
    <w:rsid w:val="00883B7A"/>
    <w:rsid w:val="00883FCA"/>
    <w:rsid w:val="008845DD"/>
    <w:rsid w:val="00884722"/>
    <w:rsid w:val="00885BED"/>
    <w:rsid w:val="00886ACB"/>
    <w:rsid w:val="00887545"/>
    <w:rsid w:val="00887BDA"/>
    <w:rsid w:val="0089278E"/>
    <w:rsid w:val="00893306"/>
    <w:rsid w:val="0089698C"/>
    <w:rsid w:val="008A036A"/>
    <w:rsid w:val="008A08D3"/>
    <w:rsid w:val="008A09B4"/>
    <w:rsid w:val="008A0E66"/>
    <w:rsid w:val="008A2494"/>
    <w:rsid w:val="008A31C7"/>
    <w:rsid w:val="008A4341"/>
    <w:rsid w:val="008A5DE8"/>
    <w:rsid w:val="008A6012"/>
    <w:rsid w:val="008B002D"/>
    <w:rsid w:val="008B67FA"/>
    <w:rsid w:val="008B7A7E"/>
    <w:rsid w:val="008C4D10"/>
    <w:rsid w:val="008C52A8"/>
    <w:rsid w:val="008C5B32"/>
    <w:rsid w:val="008C5B49"/>
    <w:rsid w:val="008D029C"/>
    <w:rsid w:val="008D2E56"/>
    <w:rsid w:val="008D3341"/>
    <w:rsid w:val="008D5863"/>
    <w:rsid w:val="008D5EE7"/>
    <w:rsid w:val="008D63BD"/>
    <w:rsid w:val="008E1E19"/>
    <w:rsid w:val="008E2EA1"/>
    <w:rsid w:val="008E5FCF"/>
    <w:rsid w:val="008F01A4"/>
    <w:rsid w:val="008F1A78"/>
    <w:rsid w:val="008F1D32"/>
    <w:rsid w:val="008F2E64"/>
    <w:rsid w:val="008F30B6"/>
    <w:rsid w:val="008F31DD"/>
    <w:rsid w:val="008F38BF"/>
    <w:rsid w:val="008F6EF9"/>
    <w:rsid w:val="008F71F4"/>
    <w:rsid w:val="008F7260"/>
    <w:rsid w:val="00901BFC"/>
    <w:rsid w:val="0090342C"/>
    <w:rsid w:val="00904634"/>
    <w:rsid w:val="00904CDC"/>
    <w:rsid w:val="00906371"/>
    <w:rsid w:val="009134EF"/>
    <w:rsid w:val="00913DAE"/>
    <w:rsid w:val="009215F5"/>
    <w:rsid w:val="00921CBC"/>
    <w:rsid w:val="00922132"/>
    <w:rsid w:val="00925756"/>
    <w:rsid w:val="00925CD5"/>
    <w:rsid w:val="00927109"/>
    <w:rsid w:val="00930189"/>
    <w:rsid w:val="009314BA"/>
    <w:rsid w:val="00933446"/>
    <w:rsid w:val="00934464"/>
    <w:rsid w:val="00935703"/>
    <w:rsid w:val="009360A4"/>
    <w:rsid w:val="00937775"/>
    <w:rsid w:val="00940742"/>
    <w:rsid w:val="009424E9"/>
    <w:rsid w:val="00942CAF"/>
    <w:rsid w:val="009467F1"/>
    <w:rsid w:val="009505F5"/>
    <w:rsid w:val="0095067E"/>
    <w:rsid w:val="00953051"/>
    <w:rsid w:val="00956C30"/>
    <w:rsid w:val="00957F31"/>
    <w:rsid w:val="00963A38"/>
    <w:rsid w:val="009649CE"/>
    <w:rsid w:val="00965C87"/>
    <w:rsid w:val="00974BDC"/>
    <w:rsid w:val="00975509"/>
    <w:rsid w:val="00975DC1"/>
    <w:rsid w:val="0097604B"/>
    <w:rsid w:val="00980C3D"/>
    <w:rsid w:val="00984A9D"/>
    <w:rsid w:val="00984D56"/>
    <w:rsid w:val="009861C7"/>
    <w:rsid w:val="009875FF"/>
    <w:rsid w:val="009931BB"/>
    <w:rsid w:val="009943BF"/>
    <w:rsid w:val="00994D80"/>
    <w:rsid w:val="00994EBA"/>
    <w:rsid w:val="00995299"/>
    <w:rsid w:val="00995C93"/>
    <w:rsid w:val="0099602A"/>
    <w:rsid w:val="00996425"/>
    <w:rsid w:val="00996DC5"/>
    <w:rsid w:val="00997AA5"/>
    <w:rsid w:val="009A2056"/>
    <w:rsid w:val="009A3356"/>
    <w:rsid w:val="009A339F"/>
    <w:rsid w:val="009A4238"/>
    <w:rsid w:val="009A451D"/>
    <w:rsid w:val="009A4680"/>
    <w:rsid w:val="009A56D9"/>
    <w:rsid w:val="009A6E90"/>
    <w:rsid w:val="009A72BC"/>
    <w:rsid w:val="009A7FA6"/>
    <w:rsid w:val="009B1852"/>
    <w:rsid w:val="009B6923"/>
    <w:rsid w:val="009C0B20"/>
    <w:rsid w:val="009C3029"/>
    <w:rsid w:val="009C49CE"/>
    <w:rsid w:val="009C52C6"/>
    <w:rsid w:val="009C5A0E"/>
    <w:rsid w:val="009C608D"/>
    <w:rsid w:val="009C6774"/>
    <w:rsid w:val="009D1764"/>
    <w:rsid w:val="009D2CE8"/>
    <w:rsid w:val="009D3939"/>
    <w:rsid w:val="009D4955"/>
    <w:rsid w:val="009D4FA8"/>
    <w:rsid w:val="009D667E"/>
    <w:rsid w:val="009E0370"/>
    <w:rsid w:val="009E03FA"/>
    <w:rsid w:val="009E1140"/>
    <w:rsid w:val="009E1490"/>
    <w:rsid w:val="009E1F16"/>
    <w:rsid w:val="009E5EB9"/>
    <w:rsid w:val="009E79BC"/>
    <w:rsid w:val="009E7DDD"/>
    <w:rsid w:val="009F06F1"/>
    <w:rsid w:val="009F0BF9"/>
    <w:rsid w:val="009F1AFC"/>
    <w:rsid w:val="009F3D4A"/>
    <w:rsid w:val="009F5151"/>
    <w:rsid w:val="009F5E2D"/>
    <w:rsid w:val="00A005C4"/>
    <w:rsid w:val="00A01B85"/>
    <w:rsid w:val="00A027E2"/>
    <w:rsid w:val="00A03FA5"/>
    <w:rsid w:val="00A05355"/>
    <w:rsid w:val="00A0602B"/>
    <w:rsid w:val="00A06836"/>
    <w:rsid w:val="00A06AE6"/>
    <w:rsid w:val="00A104AB"/>
    <w:rsid w:val="00A12A3A"/>
    <w:rsid w:val="00A12B50"/>
    <w:rsid w:val="00A12CD8"/>
    <w:rsid w:val="00A1477A"/>
    <w:rsid w:val="00A154B5"/>
    <w:rsid w:val="00A15741"/>
    <w:rsid w:val="00A177A6"/>
    <w:rsid w:val="00A17E81"/>
    <w:rsid w:val="00A20DAB"/>
    <w:rsid w:val="00A2169A"/>
    <w:rsid w:val="00A23674"/>
    <w:rsid w:val="00A25344"/>
    <w:rsid w:val="00A25EA9"/>
    <w:rsid w:val="00A265E1"/>
    <w:rsid w:val="00A26AA9"/>
    <w:rsid w:val="00A30229"/>
    <w:rsid w:val="00A309FB"/>
    <w:rsid w:val="00A416DC"/>
    <w:rsid w:val="00A416FA"/>
    <w:rsid w:val="00A41A3D"/>
    <w:rsid w:val="00A42D20"/>
    <w:rsid w:val="00A43492"/>
    <w:rsid w:val="00A43AF7"/>
    <w:rsid w:val="00A468CF"/>
    <w:rsid w:val="00A46B33"/>
    <w:rsid w:val="00A473FA"/>
    <w:rsid w:val="00A4797F"/>
    <w:rsid w:val="00A510ED"/>
    <w:rsid w:val="00A51B29"/>
    <w:rsid w:val="00A5318A"/>
    <w:rsid w:val="00A54479"/>
    <w:rsid w:val="00A55E31"/>
    <w:rsid w:val="00A57506"/>
    <w:rsid w:val="00A600AB"/>
    <w:rsid w:val="00A6014F"/>
    <w:rsid w:val="00A6210B"/>
    <w:rsid w:val="00A65253"/>
    <w:rsid w:val="00A67576"/>
    <w:rsid w:val="00A67DE0"/>
    <w:rsid w:val="00A725AE"/>
    <w:rsid w:val="00A731D9"/>
    <w:rsid w:val="00A734CA"/>
    <w:rsid w:val="00A7369E"/>
    <w:rsid w:val="00A73873"/>
    <w:rsid w:val="00A73D6E"/>
    <w:rsid w:val="00A74988"/>
    <w:rsid w:val="00A76264"/>
    <w:rsid w:val="00A77690"/>
    <w:rsid w:val="00A8019C"/>
    <w:rsid w:val="00A816D5"/>
    <w:rsid w:val="00A8253D"/>
    <w:rsid w:val="00A827B1"/>
    <w:rsid w:val="00A82E5E"/>
    <w:rsid w:val="00A833BB"/>
    <w:rsid w:val="00A838D1"/>
    <w:rsid w:val="00A84925"/>
    <w:rsid w:val="00A84D61"/>
    <w:rsid w:val="00A85AB5"/>
    <w:rsid w:val="00A85C99"/>
    <w:rsid w:val="00A861CA"/>
    <w:rsid w:val="00A864B7"/>
    <w:rsid w:val="00A86A2E"/>
    <w:rsid w:val="00A90502"/>
    <w:rsid w:val="00A90BF2"/>
    <w:rsid w:val="00A921E3"/>
    <w:rsid w:val="00A92DE0"/>
    <w:rsid w:val="00A944A1"/>
    <w:rsid w:val="00A95537"/>
    <w:rsid w:val="00A97BEC"/>
    <w:rsid w:val="00AA2506"/>
    <w:rsid w:val="00AA4661"/>
    <w:rsid w:val="00AA7958"/>
    <w:rsid w:val="00AB00C7"/>
    <w:rsid w:val="00AB1D6A"/>
    <w:rsid w:val="00AB381F"/>
    <w:rsid w:val="00AB3CFE"/>
    <w:rsid w:val="00AB6245"/>
    <w:rsid w:val="00AB68C4"/>
    <w:rsid w:val="00AB7613"/>
    <w:rsid w:val="00AB7899"/>
    <w:rsid w:val="00AC06A7"/>
    <w:rsid w:val="00AC0E9D"/>
    <w:rsid w:val="00AC3156"/>
    <w:rsid w:val="00AC365E"/>
    <w:rsid w:val="00AC4A9C"/>
    <w:rsid w:val="00AC58CF"/>
    <w:rsid w:val="00AC5B42"/>
    <w:rsid w:val="00AC5DED"/>
    <w:rsid w:val="00AD0509"/>
    <w:rsid w:val="00AD1397"/>
    <w:rsid w:val="00AD14EC"/>
    <w:rsid w:val="00AD249A"/>
    <w:rsid w:val="00AD3561"/>
    <w:rsid w:val="00AD4296"/>
    <w:rsid w:val="00AD70CB"/>
    <w:rsid w:val="00AE06F0"/>
    <w:rsid w:val="00AE1AEB"/>
    <w:rsid w:val="00AE2134"/>
    <w:rsid w:val="00AE2669"/>
    <w:rsid w:val="00AE2FCE"/>
    <w:rsid w:val="00AE3C67"/>
    <w:rsid w:val="00AE4341"/>
    <w:rsid w:val="00AE4681"/>
    <w:rsid w:val="00AE593F"/>
    <w:rsid w:val="00AE5980"/>
    <w:rsid w:val="00AE706E"/>
    <w:rsid w:val="00AF005F"/>
    <w:rsid w:val="00AF08A7"/>
    <w:rsid w:val="00AF0B26"/>
    <w:rsid w:val="00AF23F5"/>
    <w:rsid w:val="00AF2E03"/>
    <w:rsid w:val="00AF3722"/>
    <w:rsid w:val="00AF46C0"/>
    <w:rsid w:val="00AF4E66"/>
    <w:rsid w:val="00AF5770"/>
    <w:rsid w:val="00B0163B"/>
    <w:rsid w:val="00B04C9A"/>
    <w:rsid w:val="00B04F8C"/>
    <w:rsid w:val="00B05254"/>
    <w:rsid w:val="00B0676F"/>
    <w:rsid w:val="00B06982"/>
    <w:rsid w:val="00B071CF"/>
    <w:rsid w:val="00B15A6E"/>
    <w:rsid w:val="00B16526"/>
    <w:rsid w:val="00B201A7"/>
    <w:rsid w:val="00B205D8"/>
    <w:rsid w:val="00B213E7"/>
    <w:rsid w:val="00B21A9B"/>
    <w:rsid w:val="00B23151"/>
    <w:rsid w:val="00B23461"/>
    <w:rsid w:val="00B23D49"/>
    <w:rsid w:val="00B26FF0"/>
    <w:rsid w:val="00B27387"/>
    <w:rsid w:val="00B27E6E"/>
    <w:rsid w:val="00B30AFA"/>
    <w:rsid w:val="00B318C9"/>
    <w:rsid w:val="00B34F5F"/>
    <w:rsid w:val="00B3590D"/>
    <w:rsid w:val="00B35B49"/>
    <w:rsid w:val="00B402A3"/>
    <w:rsid w:val="00B43D17"/>
    <w:rsid w:val="00B443F0"/>
    <w:rsid w:val="00B46024"/>
    <w:rsid w:val="00B46F4F"/>
    <w:rsid w:val="00B52205"/>
    <w:rsid w:val="00B522DD"/>
    <w:rsid w:val="00B5322D"/>
    <w:rsid w:val="00B53C8E"/>
    <w:rsid w:val="00B56615"/>
    <w:rsid w:val="00B56E40"/>
    <w:rsid w:val="00B60289"/>
    <w:rsid w:val="00B61A1C"/>
    <w:rsid w:val="00B64886"/>
    <w:rsid w:val="00B677FB"/>
    <w:rsid w:val="00B70105"/>
    <w:rsid w:val="00B703C0"/>
    <w:rsid w:val="00B70713"/>
    <w:rsid w:val="00B732A0"/>
    <w:rsid w:val="00B73911"/>
    <w:rsid w:val="00B75719"/>
    <w:rsid w:val="00B75852"/>
    <w:rsid w:val="00B75A66"/>
    <w:rsid w:val="00B760F0"/>
    <w:rsid w:val="00B80B3A"/>
    <w:rsid w:val="00B833D1"/>
    <w:rsid w:val="00B876A1"/>
    <w:rsid w:val="00B90074"/>
    <w:rsid w:val="00B90397"/>
    <w:rsid w:val="00B942EA"/>
    <w:rsid w:val="00B965F1"/>
    <w:rsid w:val="00B966C6"/>
    <w:rsid w:val="00B96A0D"/>
    <w:rsid w:val="00B974A4"/>
    <w:rsid w:val="00BA1241"/>
    <w:rsid w:val="00BA1860"/>
    <w:rsid w:val="00BA277B"/>
    <w:rsid w:val="00BA2A24"/>
    <w:rsid w:val="00BA3439"/>
    <w:rsid w:val="00BA3BE7"/>
    <w:rsid w:val="00BA3E31"/>
    <w:rsid w:val="00BA51A0"/>
    <w:rsid w:val="00BA5A04"/>
    <w:rsid w:val="00BA7AC6"/>
    <w:rsid w:val="00BB1148"/>
    <w:rsid w:val="00BB1299"/>
    <w:rsid w:val="00BB73F1"/>
    <w:rsid w:val="00BC0E70"/>
    <w:rsid w:val="00BC1E61"/>
    <w:rsid w:val="00BC4823"/>
    <w:rsid w:val="00BC580A"/>
    <w:rsid w:val="00BD079E"/>
    <w:rsid w:val="00BD1512"/>
    <w:rsid w:val="00BD2BF1"/>
    <w:rsid w:val="00BD3007"/>
    <w:rsid w:val="00BD43AF"/>
    <w:rsid w:val="00BD5376"/>
    <w:rsid w:val="00BD6A2F"/>
    <w:rsid w:val="00BD6D0E"/>
    <w:rsid w:val="00BE3A3B"/>
    <w:rsid w:val="00BE3E30"/>
    <w:rsid w:val="00BE52B8"/>
    <w:rsid w:val="00BE67D2"/>
    <w:rsid w:val="00BE729A"/>
    <w:rsid w:val="00BE79AC"/>
    <w:rsid w:val="00BF2F67"/>
    <w:rsid w:val="00BF5F50"/>
    <w:rsid w:val="00C00763"/>
    <w:rsid w:val="00C008FB"/>
    <w:rsid w:val="00C00FB4"/>
    <w:rsid w:val="00C030AC"/>
    <w:rsid w:val="00C046B0"/>
    <w:rsid w:val="00C0507E"/>
    <w:rsid w:val="00C05708"/>
    <w:rsid w:val="00C06228"/>
    <w:rsid w:val="00C0628F"/>
    <w:rsid w:val="00C10938"/>
    <w:rsid w:val="00C10EA6"/>
    <w:rsid w:val="00C154E7"/>
    <w:rsid w:val="00C211E2"/>
    <w:rsid w:val="00C222CA"/>
    <w:rsid w:val="00C22373"/>
    <w:rsid w:val="00C25A9B"/>
    <w:rsid w:val="00C27D17"/>
    <w:rsid w:val="00C33581"/>
    <w:rsid w:val="00C353B5"/>
    <w:rsid w:val="00C35D84"/>
    <w:rsid w:val="00C36B74"/>
    <w:rsid w:val="00C3710F"/>
    <w:rsid w:val="00C40056"/>
    <w:rsid w:val="00C40294"/>
    <w:rsid w:val="00C405D2"/>
    <w:rsid w:val="00C40EBB"/>
    <w:rsid w:val="00C41119"/>
    <w:rsid w:val="00C415B8"/>
    <w:rsid w:val="00C41B38"/>
    <w:rsid w:val="00C446DA"/>
    <w:rsid w:val="00C45676"/>
    <w:rsid w:val="00C456D1"/>
    <w:rsid w:val="00C46BA1"/>
    <w:rsid w:val="00C52144"/>
    <w:rsid w:val="00C53E4F"/>
    <w:rsid w:val="00C55E7A"/>
    <w:rsid w:val="00C56748"/>
    <w:rsid w:val="00C62C70"/>
    <w:rsid w:val="00C644AD"/>
    <w:rsid w:val="00C658DD"/>
    <w:rsid w:val="00C65BB9"/>
    <w:rsid w:val="00C73487"/>
    <w:rsid w:val="00C77323"/>
    <w:rsid w:val="00C778E9"/>
    <w:rsid w:val="00C809AB"/>
    <w:rsid w:val="00C8201D"/>
    <w:rsid w:val="00C85AAE"/>
    <w:rsid w:val="00C85E7E"/>
    <w:rsid w:val="00C8685E"/>
    <w:rsid w:val="00C86B8A"/>
    <w:rsid w:val="00C877D5"/>
    <w:rsid w:val="00C87ED3"/>
    <w:rsid w:val="00C9093E"/>
    <w:rsid w:val="00C9344B"/>
    <w:rsid w:val="00C934E1"/>
    <w:rsid w:val="00C93691"/>
    <w:rsid w:val="00C93B97"/>
    <w:rsid w:val="00C94A7C"/>
    <w:rsid w:val="00C97D74"/>
    <w:rsid w:val="00CA13DD"/>
    <w:rsid w:val="00CA33E3"/>
    <w:rsid w:val="00CA364E"/>
    <w:rsid w:val="00CA6E86"/>
    <w:rsid w:val="00CB0838"/>
    <w:rsid w:val="00CB1263"/>
    <w:rsid w:val="00CB1AE7"/>
    <w:rsid w:val="00CB2BDF"/>
    <w:rsid w:val="00CB367B"/>
    <w:rsid w:val="00CB4186"/>
    <w:rsid w:val="00CB4D85"/>
    <w:rsid w:val="00CB5F45"/>
    <w:rsid w:val="00CC054E"/>
    <w:rsid w:val="00CC1B1E"/>
    <w:rsid w:val="00CC446E"/>
    <w:rsid w:val="00CC4851"/>
    <w:rsid w:val="00CC5B39"/>
    <w:rsid w:val="00CC7166"/>
    <w:rsid w:val="00CD0184"/>
    <w:rsid w:val="00CD06B5"/>
    <w:rsid w:val="00CD111E"/>
    <w:rsid w:val="00CD19AD"/>
    <w:rsid w:val="00CD1D04"/>
    <w:rsid w:val="00CD28EF"/>
    <w:rsid w:val="00CD4203"/>
    <w:rsid w:val="00CE14AC"/>
    <w:rsid w:val="00CE3386"/>
    <w:rsid w:val="00CE64AD"/>
    <w:rsid w:val="00CE6C2B"/>
    <w:rsid w:val="00CE75D6"/>
    <w:rsid w:val="00CF09C0"/>
    <w:rsid w:val="00CF1B4C"/>
    <w:rsid w:val="00CF1D90"/>
    <w:rsid w:val="00CF4633"/>
    <w:rsid w:val="00CF4CE1"/>
    <w:rsid w:val="00CF57D6"/>
    <w:rsid w:val="00CF60FD"/>
    <w:rsid w:val="00CF6739"/>
    <w:rsid w:val="00D00413"/>
    <w:rsid w:val="00D009C8"/>
    <w:rsid w:val="00D01160"/>
    <w:rsid w:val="00D039F4"/>
    <w:rsid w:val="00D03F54"/>
    <w:rsid w:val="00D042D0"/>
    <w:rsid w:val="00D0609C"/>
    <w:rsid w:val="00D078E8"/>
    <w:rsid w:val="00D07BAE"/>
    <w:rsid w:val="00D10883"/>
    <w:rsid w:val="00D11C02"/>
    <w:rsid w:val="00D12689"/>
    <w:rsid w:val="00D1344A"/>
    <w:rsid w:val="00D15314"/>
    <w:rsid w:val="00D158FA"/>
    <w:rsid w:val="00D16137"/>
    <w:rsid w:val="00D206E4"/>
    <w:rsid w:val="00D20A7B"/>
    <w:rsid w:val="00D21BA9"/>
    <w:rsid w:val="00D21EBC"/>
    <w:rsid w:val="00D22E66"/>
    <w:rsid w:val="00D24560"/>
    <w:rsid w:val="00D2510A"/>
    <w:rsid w:val="00D25DBE"/>
    <w:rsid w:val="00D273D5"/>
    <w:rsid w:val="00D30FD7"/>
    <w:rsid w:val="00D31549"/>
    <w:rsid w:val="00D319DE"/>
    <w:rsid w:val="00D335B5"/>
    <w:rsid w:val="00D33D0C"/>
    <w:rsid w:val="00D3435F"/>
    <w:rsid w:val="00D37B45"/>
    <w:rsid w:val="00D37D30"/>
    <w:rsid w:val="00D42CCC"/>
    <w:rsid w:val="00D4364D"/>
    <w:rsid w:val="00D439DA"/>
    <w:rsid w:val="00D43B65"/>
    <w:rsid w:val="00D44D70"/>
    <w:rsid w:val="00D452ED"/>
    <w:rsid w:val="00D4564F"/>
    <w:rsid w:val="00D45893"/>
    <w:rsid w:val="00D474A3"/>
    <w:rsid w:val="00D5127D"/>
    <w:rsid w:val="00D518A6"/>
    <w:rsid w:val="00D52089"/>
    <w:rsid w:val="00D53139"/>
    <w:rsid w:val="00D53179"/>
    <w:rsid w:val="00D54257"/>
    <w:rsid w:val="00D54D32"/>
    <w:rsid w:val="00D57CC7"/>
    <w:rsid w:val="00D60819"/>
    <w:rsid w:val="00D609A8"/>
    <w:rsid w:val="00D61710"/>
    <w:rsid w:val="00D61E9E"/>
    <w:rsid w:val="00D66346"/>
    <w:rsid w:val="00D668D7"/>
    <w:rsid w:val="00D66CB4"/>
    <w:rsid w:val="00D7066F"/>
    <w:rsid w:val="00D70884"/>
    <w:rsid w:val="00D70A2B"/>
    <w:rsid w:val="00D71EAD"/>
    <w:rsid w:val="00D72291"/>
    <w:rsid w:val="00D76DC6"/>
    <w:rsid w:val="00D76E19"/>
    <w:rsid w:val="00D8070D"/>
    <w:rsid w:val="00D82A92"/>
    <w:rsid w:val="00D82C80"/>
    <w:rsid w:val="00D835FC"/>
    <w:rsid w:val="00D83A2B"/>
    <w:rsid w:val="00D842BB"/>
    <w:rsid w:val="00D84525"/>
    <w:rsid w:val="00D84794"/>
    <w:rsid w:val="00D85783"/>
    <w:rsid w:val="00D86F26"/>
    <w:rsid w:val="00D908FD"/>
    <w:rsid w:val="00D90F20"/>
    <w:rsid w:val="00D91A6C"/>
    <w:rsid w:val="00D91B52"/>
    <w:rsid w:val="00D950CE"/>
    <w:rsid w:val="00D95A75"/>
    <w:rsid w:val="00D96BFC"/>
    <w:rsid w:val="00D9764E"/>
    <w:rsid w:val="00DA2AB5"/>
    <w:rsid w:val="00DA40B0"/>
    <w:rsid w:val="00DA6084"/>
    <w:rsid w:val="00DB008B"/>
    <w:rsid w:val="00DB06BC"/>
    <w:rsid w:val="00DB6659"/>
    <w:rsid w:val="00DB7240"/>
    <w:rsid w:val="00DB72EA"/>
    <w:rsid w:val="00DC096C"/>
    <w:rsid w:val="00DC188B"/>
    <w:rsid w:val="00DC39ED"/>
    <w:rsid w:val="00DC4A71"/>
    <w:rsid w:val="00DC5176"/>
    <w:rsid w:val="00DC53CD"/>
    <w:rsid w:val="00DC574E"/>
    <w:rsid w:val="00DC683A"/>
    <w:rsid w:val="00DC6D13"/>
    <w:rsid w:val="00DC78C0"/>
    <w:rsid w:val="00DD0CD4"/>
    <w:rsid w:val="00DD24BA"/>
    <w:rsid w:val="00DD426F"/>
    <w:rsid w:val="00DD7B16"/>
    <w:rsid w:val="00DE2446"/>
    <w:rsid w:val="00DE48E3"/>
    <w:rsid w:val="00DE6165"/>
    <w:rsid w:val="00DE7CE0"/>
    <w:rsid w:val="00DF1724"/>
    <w:rsid w:val="00DF1836"/>
    <w:rsid w:val="00DF2EDB"/>
    <w:rsid w:val="00DF353B"/>
    <w:rsid w:val="00DF3EE6"/>
    <w:rsid w:val="00DF4D27"/>
    <w:rsid w:val="00DF5CC3"/>
    <w:rsid w:val="00DF7CF6"/>
    <w:rsid w:val="00E015C6"/>
    <w:rsid w:val="00E01F9D"/>
    <w:rsid w:val="00E05C8C"/>
    <w:rsid w:val="00E07D31"/>
    <w:rsid w:val="00E10BA8"/>
    <w:rsid w:val="00E1100C"/>
    <w:rsid w:val="00E12AF6"/>
    <w:rsid w:val="00E16DCE"/>
    <w:rsid w:val="00E176B1"/>
    <w:rsid w:val="00E2092B"/>
    <w:rsid w:val="00E21170"/>
    <w:rsid w:val="00E21D5B"/>
    <w:rsid w:val="00E2387A"/>
    <w:rsid w:val="00E2444F"/>
    <w:rsid w:val="00E2462A"/>
    <w:rsid w:val="00E2582A"/>
    <w:rsid w:val="00E2610D"/>
    <w:rsid w:val="00E302D8"/>
    <w:rsid w:val="00E309AA"/>
    <w:rsid w:val="00E30FDF"/>
    <w:rsid w:val="00E316AA"/>
    <w:rsid w:val="00E35784"/>
    <w:rsid w:val="00E35815"/>
    <w:rsid w:val="00E35986"/>
    <w:rsid w:val="00E35B83"/>
    <w:rsid w:val="00E402E3"/>
    <w:rsid w:val="00E4232C"/>
    <w:rsid w:val="00E4233F"/>
    <w:rsid w:val="00E43751"/>
    <w:rsid w:val="00E44FCD"/>
    <w:rsid w:val="00E465EC"/>
    <w:rsid w:val="00E502EE"/>
    <w:rsid w:val="00E51129"/>
    <w:rsid w:val="00E530B9"/>
    <w:rsid w:val="00E53E43"/>
    <w:rsid w:val="00E54729"/>
    <w:rsid w:val="00E60068"/>
    <w:rsid w:val="00E616BB"/>
    <w:rsid w:val="00E61F97"/>
    <w:rsid w:val="00E63A50"/>
    <w:rsid w:val="00E6555A"/>
    <w:rsid w:val="00E71B2D"/>
    <w:rsid w:val="00E72E9B"/>
    <w:rsid w:val="00E75B60"/>
    <w:rsid w:val="00E75D59"/>
    <w:rsid w:val="00E76D22"/>
    <w:rsid w:val="00E773A8"/>
    <w:rsid w:val="00E807DE"/>
    <w:rsid w:val="00E8612C"/>
    <w:rsid w:val="00E864C1"/>
    <w:rsid w:val="00E864FF"/>
    <w:rsid w:val="00E86DF0"/>
    <w:rsid w:val="00E87747"/>
    <w:rsid w:val="00E879B8"/>
    <w:rsid w:val="00E87BF7"/>
    <w:rsid w:val="00E94645"/>
    <w:rsid w:val="00E95793"/>
    <w:rsid w:val="00E95FA4"/>
    <w:rsid w:val="00EA00D3"/>
    <w:rsid w:val="00EA13FE"/>
    <w:rsid w:val="00EA2E86"/>
    <w:rsid w:val="00EA6A80"/>
    <w:rsid w:val="00EA7848"/>
    <w:rsid w:val="00EB0C3B"/>
    <w:rsid w:val="00EB11F2"/>
    <w:rsid w:val="00EB66C5"/>
    <w:rsid w:val="00EC48D7"/>
    <w:rsid w:val="00EC677F"/>
    <w:rsid w:val="00EC7878"/>
    <w:rsid w:val="00ED08AA"/>
    <w:rsid w:val="00ED0958"/>
    <w:rsid w:val="00ED0B38"/>
    <w:rsid w:val="00ED0E85"/>
    <w:rsid w:val="00ED1966"/>
    <w:rsid w:val="00ED220C"/>
    <w:rsid w:val="00ED5DD1"/>
    <w:rsid w:val="00ED7333"/>
    <w:rsid w:val="00EE1042"/>
    <w:rsid w:val="00EE1047"/>
    <w:rsid w:val="00EE1866"/>
    <w:rsid w:val="00EE34B5"/>
    <w:rsid w:val="00EE39E6"/>
    <w:rsid w:val="00EE46CA"/>
    <w:rsid w:val="00EE6B60"/>
    <w:rsid w:val="00EF10F0"/>
    <w:rsid w:val="00EF2CAC"/>
    <w:rsid w:val="00EF4798"/>
    <w:rsid w:val="00EF580D"/>
    <w:rsid w:val="00F00CAB"/>
    <w:rsid w:val="00F00D69"/>
    <w:rsid w:val="00F01EF4"/>
    <w:rsid w:val="00F03A7C"/>
    <w:rsid w:val="00F03D99"/>
    <w:rsid w:val="00F0434E"/>
    <w:rsid w:val="00F062BF"/>
    <w:rsid w:val="00F06AF4"/>
    <w:rsid w:val="00F06EB9"/>
    <w:rsid w:val="00F07133"/>
    <w:rsid w:val="00F117E4"/>
    <w:rsid w:val="00F11A2A"/>
    <w:rsid w:val="00F11D7F"/>
    <w:rsid w:val="00F133C0"/>
    <w:rsid w:val="00F14432"/>
    <w:rsid w:val="00F161BA"/>
    <w:rsid w:val="00F20844"/>
    <w:rsid w:val="00F215E1"/>
    <w:rsid w:val="00F21B7B"/>
    <w:rsid w:val="00F21CFB"/>
    <w:rsid w:val="00F2215E"/>
    <w:rsid w:val="00F22CF0"/>
    <w:rsid w:val="00F2444C"/>
    <w:rsid w:val="00F24903"/>
    <w:rsid w:val="00F2570A"/>
    <w:rsid w:val="00F308ED"/>
    <w:rsid w:val="00F31AEF"/>
    <w:rsid w:val="00F32D87"/>
    <w:rsid w:val="00F34EB7"/>
    <w:rsid w:val="00F36706"/>
    <w:rsid w:val="00F369C3"/>
    <w:rsid w:val="00F37E5C"/>
    <w:rsid w:val="00F4287C"/>
    <w:rsid w:val="00F44571"/>
    <w:rsid w:val="00F44DB9"/>
    <w:rsid w:val="00F453EC"/>
    <w:rsid w:val="00F456C9"/>
    <w:rsid w:val="00F46A01"/>
    <w:rsid w:val="00F474C1"/>
    <w:rsid w:val="00F47B3A"/>
    <w:rsid w:val="00F50083"/>
    <w:rsid w:val="00F518B7"/>
    <w:rsid w:val="00F53140"/>
    <w:rsid w:val="00F54BDF"/>
    <w:rsid w:val="00F54C8B"/>
    <w:rsid w:val="00F61550"/>
    <w:rsid w:val="00F63265"/>
    <w:rsid w:val="00F64EAD"/>
    <w:rsid w:val="00F702FD"/>
    <w:rsid w:val="00F748C7"/>
    <w:rsid w:val="00F74B4F"/>
    <w:rsid w:val="00F74C32"/>
    <w:rsid w:val="00F76934"/>
    <w:rsid w:val="00F773CB"/>
    <w:rsid w:val="00F77588"/>
    <w:rsid w:val="00F77748"/>
    <w:rsid w:val="00F77B0E"/>
    <w:rsid w:val="00F77B45"/>
    <w:rsid w:val="00F809A8"/>
    <w:rsid w:val="00F84252"/>
    <w:rsid w:val="00F84419"/>
    <w:rsid w:val="00F85874"/>
    <w:rsid w:val="00F85C9E"/>
    <w:rsid w:val="00F87657"/>
    <w:rsid w:val="00F87747"/>
    <w:rsid w:val="00F87926"/>
    <w:rsid w:val="00F9425D"/>
    <w:rsid w:val="00F95CED"/>
    <w:rsid w:val="00F961CC"/>
    <w:rsid w:val="00F96550"/>
    <w:rsid w:val="00F97741"/>
    <w:rsid w:val="00FA1874"/>
    <w:rsid w:val="00FA65BD"/>
    <w:rsid w:val="00FA6D9C"/>
    <w:rsid w:val="00FA70E7"/>
    <w:rsid w:val="00FB090D"/>
    <w:rsid w:val="00FB0FBE"/>
    <w:rsid w:val="00FB2C5B"/>
    <w:rsid w:val="00FB364D"/>
    <w:rsid w:val="00FB3678"/>
    <w:rsid w:val="00FB4E6D"/>
    <w:rsid w:val="00FB65F1"/>
    <w:rsid w:val="00FC141A"/>
    <w:rsid w:val="00FC1C95"/>
    <w:rsid w:val="00FC3BC6"/>
    <w:rsid w:val="00FC438C"/>
    <w:rsid w:val="00FC45BE"/>
    <w:rsid w:val="00FC4CD2"/>
    <w:rsid w:val="00FC697A"/>
    <w:rsid w:val="00FD0D00"/>
    <w:rsid w:val="00FD0E1A"/>
    <w:rsid w:val="00FD22A6"/>
    <w:rsid w:val="00FD2FC0"/>
    <w:rsid w:val="00FD349B"/>
    <w:rsid w:val="00FD374C"/>
    <w:rsid w:val="00FD5672"/>
    <w:rsid w:val="00FD7C5A"/>
    <w:rsid w:val="00FE0AD3"/>
    <w:rsid w:val="00FE11ED"/>
    <w:rsid w:val="00FE28E4"/>
    <w:rsid w:val="00FE534B"/>
    <w:rsid w:val="00FE6AD6"/>
    <w:rsid w:val="00FF171B"/>
    <w:rsid w:val="00FF227E"/>
    <w:rsid w:val="00FF425A"/>
    <w:rsid w:val="00FF4631"/>
    <w:rsid w:val="00FF4F74"/>
    <w:rsid w:val="00FF702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B785EFC"/>
  <w15:docId w15:val="{2F962A79-A1D9-45B3-9835-0D7015E75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sto MT" w:eastAsiaTheme="minorEastAsia" w:hAnsi="Calisto MT" w:cs="Times New Roman"/>
        <w:sz w:val="21"/>
        <w:szCs w:val="21"/>
        <w:lang w:val="en-AU" w:eastAsia="en-AU" w:bidi="ar-SA"/>
      </w:rPr>
    </w:rPrDefault>
    <w:pPrDefault>
      <w:pPr>
        <w:spacing w:before="140" w:line="280" w:lineRule="atLeast"/>
      </w:pPr>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25" w:unhideWhenUsed="1"/>
    <w:lsdException w:name="annotation text" w:uiPriority="49" w:unhideWhenUsed="1"/>
    <w:lsdException w:name="header" w:unhideWhenUsed="1"/>
    <w:lsdException w:name="footer"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25" w:unhideWhenUsed="1"/>
    <w:lsdException w:name="annotation reference" w:uiPriority="4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uiPriority="2" w:unhideWhenUsed="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2" w:unhideWhenUsed="1" w:qFormat="1"/>
    <w:lsdException w:name="List Bullet 3" w:uiPriority="2" w:unhideWhenUsed="1"/>
    <w:lsdException w:name="List Bullet 4" w:semiHidden="1" w:unhideWhenUsed="1"/>
    <w:lsdException w:name="List Bullet 5" w:semiHidden="1" w:unhideWhenUsed="1"/>
    <w:lsdException w:name="List Number 2" w:uiPriority="2"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0" w:qFormat="1"/>
    <w:lsdException w:name="Salutation" w:semiHidden="1" w:unhideWhenUsed="1"/>
    <w:lsdException w:name="Date" w:uiPriority="33"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unhideWhenUsed="1"/>
    <w:lsdException w:name="Intense Emphasis" w:uiPriority="21" w:unhideWhenUsed="1"/>
    <w:lsdException w:name="Subtle Reference" w:uiPriority="31" w:unhideWhenUsed="1"/>
    <w:lsdException w:name="Intense Reference" w:uiPriority="32"/>
    <w:lsdException w:name="Book Title" w:semiHidden="1" w:uiPriority="33" w:qFormat="1"/>
    <w:lsdException w:name="Bibliography" w:semiHidden="1" w:uiPriority="37"/>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6D44B3"/>
    <w:pPr>
      <w:spacing w:before="0"/>
    </w:pPr>
  </w:style>
  <w:style w:type="paragraph" w:styleId="Heading1">
    <w:name w:val="heading 1"/>
    <w:aliases w:val="h1,EOI - Heading 1 (Low),Heading 1 (low),Para1,h11,h12,ChapterHeadingNumber,Top 1,ParaLevel1,Level 1 Para,Level 1 Para1,Level 1 Para2,Level 1 Para3,Level 1 Para4,Level 1 Para11,Level 1 Para21,Level 1 Para31,Level 1 Para5,Level 1 Para12,L1,1,RF"/>
    <w:basedOn w:val="BodyText"/>
    <w:next w:val="BodyText"/>
    <w:link w:val="Heading1Char"/>
    <w:qFormat/>
    <w:rsid w:val="00160C29"/>
    <w:pPr>
      <w:keepNext/>
      <w:pageBreakBefore/>
      <w:numPr>
        <w:numId w:val="14"/>
      </w:numPr>
      <w:spacing w:before="0" w:after="1560" w:line="440" w:lineRule="atLeast"/>
      <w:outlineLvl w:val="0"/>
    </w:pPr>
    <w:rPr>
      <w:rFonts w:asciiTheme="majorHAnsi" w:hAnsiTheme="majorHAnsi"/>
      <w:i/>
      <w:kern w:val="28"/>
      <w:sz w:val="36"/>
      <w:szCs w:val="32"/>
    </w:rPr>
  </w:style>
  <w:style w:type="paragraph" w:styleId="Heading2">
    <w:name w:val="heading 2"/>
    <w:aliases w:val="Para2,h2,BT-Legal Numbering,Head hdbk,Top 2,H2,h2 main heading,B Sub/Bold,B Sub/Bold1,B Sub/Bold2,B Sub/Bold11,h2 main heading1,h2 main heading2,B Sub/Bold3,B Sub/Bold12,h2 main heading3,B Sub/Bold4,B Sub/Bold13,SubPara,Para 2,2,new heading tw"/>
    <w:basedOn w:val="Heading1"/>
    <w:next w:val="BodyText"/>
    <w:link w:val="Heading2Char"/>
    <w:qFormat/>
    <w:rsid w:val="00160C29"/>
    <w:pPr>
      <w:pageBreakBefore w:val="0"/>
      <w:numPr>
        <w:ilvl w:val="1"/>
      </w:numPr>
      <w:spacing w:before="560" w:after="0" w:line="340" w:lineRule="atLeast"/>
      <w:outlineLvl w:val="1"/>
    </w:pPr>
    <w:rPr>
      <w:b/>
      <w:color w:val="F61D12" w:themeColor="accent2"/>
      <w:sz w:val="30"/>
      <w:szCs w:val="26"/>
    </w:rPr>
  </w:style>
  <w:style w:type="paragraph" w:styleId="Heading3">
    <w:name w:val="heading 3"/>
    <w:aliases w:val="Normal + num,Level 1 - 2,h3,EOI - Heading 3,h3 sub heading,Para3,Paragraph (heading 3),BTL Numbered,L3,3,Level 1 - 1,Report Heading 3,d,Tempo Heading 3,H3,C Sub-Sub/Italic,Head 3,Head 31,Head 32,C Sub-Sub/Italic1,Sub2Para,BOD 1,BOD 0,h31,h32,H"/>
    <w:basedOn w:val="Heading2"/>
    <w:next w:val="BodyText"/>
    <w:link w:val="Heading3Char"/>
    <w:qFormat/>
    <w:rsid w:val="00160C29"/>
    <w:pPr>
      <w:numPr>
        <w:ilvl w:val="2"/>
      </w:numPr>
      <w:spacing w:before="440" w:line="280" w:lineRule="atLeast"/>
      <w:outlineLvl w:val="2"/>
    </w:pPr>
    <w:rPr>
      <w:rFonts w:ascii="Calisto MT" w:hAnsi="Calisto MT"/>
      <w:color w:val="auto"/>
      <w:sz w:val="25"/>
      <w:szCs w:val="22"/>
    </w:rPr>
  </w:style>
  <w:style w:type="paragraph" w:styleId="Heading4">
    <w:name w:val="heading 4"/>
    <w:aliases w:val="h4,L4,Level 2 - a,sd,Standard H3,h41,Titre 4,1.1.1.1,bullet,bl,bb,h4 sub sub heading,Level 2 - (a),4,Org Heading 2,Sub3Para,proj4,proj41,proj42,proj43,proj44,proj45,proj46,proj47,proj48,proj49,proj410,proj411,proj412,proj421,proj431,proj441,41"/>
    <w:basedOn w:val="Heading3"/>
    <w:next w:val="BodyText"/>
    <w:link w:val="Heading4Char"/>
    <w:qFormat/>
    <w:rsid w:val="00160C29"/>
    <w:pPr>
      <w:numPr>
        <w:ilvl w:val="3"/>
      </w:numPr>
      <w:spacing w:before="400" w:line="260" w:lineRule="atLeast"/>
      <w:outlineLvl w:val="3"/>
    </w:pPr>
    <w:rPr>
      <w:color w:val="6F6652" w:themeColor="text2"/>
      <w:sz w:val="21"/>
    </w:rPr>
  </w:style>
  <w:style w:type="paragraph" w:styleId="Heading5">
    <w:name w:val="heading 5"/>
    <w:aliases w:val="h5,L5,Level 3 - i,L51,Para5,i.,H1,subsubpara,1.1.1.1.1,H11,3rd sub-clause,h51,h52,5,H111,VS5,remove 5,-25.,DO NOT USE 5,Further Points,Further Points1,Further Points2,Further Points3,Further Points4,Further Points5,Further Points6,Appendix"/>
    <w:basedOn w:val="Heading4"/>
    <w:next w:val="BodyText"/>
    <w:link w:val="Heading5Char"/>
    <w:qFormat/>
    <w:rsid w:val="00742A5F"/>
    <w:pPr>
      <w:numPr>
        <w:ilvl w:val="4"/>
      </w:numPr>
      <w:outlineLvl w:val="4"/>
    </w:pPr>
    <w:rPr>
      <w:rFonts w:asciiTheme="minorHAnsi" w:hAnsiTheme="minorHAnsi"/>
      <w:b w:val="0"/>
    </w:rPr>
  </w:style>
  <w:style w:type="paragraph" w:styleId="Heading6">
    <w:name w:val="heading 6"/>
    <w:aliases w:val="Square Bullet list,Sub5Para,L1 PIP,a,b,H6,Heading 6(unused),Heading 6(unused)1,VS6,Main,DO NOT USE 6,Points in Text,Points in Text1,Points in Text2,Points in Text3,Points in Text4,Points in Text5,Points in Text6,Points in Text7,not Kinhill,I"/>
    <w:basedOn w:val="Heading1"/>
    <w:next w:val="BodyText"/>
    <w:link w:val="Heading6Char"/>
    <w:qFormat/>
    <w:rsid w:val="00160C29"/>
    <w:pPr>
      <w:numPr>
        <w:ilvl w:val="5"/>
      </w:numPr>
      <w:outlineLvl w:val="5"/>
    </w:pPr>
    <w:rPr>
      <w:bCs/>
    </w:rPr>
  </w:style>
  <w:style w:type="paragraph" w:styleId="Heading7">
    <w:name w:val="heading 7"/>
    <w:aliases w:val="Indented hyphen,L2 PIP,H7,Heading 7(unused),Heading 7(unused)1"/>
    <w:basedOn w:val="Heading2"/>
    <w:next w:val="BodyText"/>
    <w:link w:val="Heading7Char"/>
    <w:qFormat/>
    <w:rsid w:val="00182068"/>
    <w:pPr>
      <w:numPr>
        <w:ilvl w:val="6"/>
      </w:numPr>
      <w:outlineLvl w:val="6"/>
    </w:pPr>
    <w:rPr>
      <w:rFonts w:ascii="Calisto MT" w:hAnsi="Calisto MT"/>
    </w:rPr>
  </w:style>
  <w:style w:type="paragraph" w:styleId="Heading8">
    <w:name w:val="heading 8"/>
    <w:aliases w:val="L3 PIP,H8,Heading 8(unused),Heading 8(unused)1,DO NOT USE,DO NOT USE 8,Legal Level 1.1.1."/>
    <w:basedOn w:val="Heading3"/>
    <w:next w:val="BodyText"/>
    <w:link w:val="Heading8Char"/>
    <w:qFormat/>
    <w:rsid w:val="00160C29"/>
    <w:pPr>
      <w:numPr>
        <w:ilvl w:val="7"/>
      </w:numPr>
      <w:outlineLvl w:val="7"/>
    </w:pPr>
  </w:style>
  <w:style w:type="paragraph" w:styleId="Heading9">
    <w:name w:val="heading 9"/>
    <w:aliases w:val="Spare5,H9,Heading 9(unused),Heading 9(unused)1,DO NOT USE 9,Legal Level 1.1.1.1."/>
    <w:basedOn w:val="Heading4"/>
    <w:next w:val="BodyText"/>
    <w:link w:val="Heading9Char"/>
    <w:qFormat/>
    <w:rsid w:val="00160C29"/>
    <w:pPr>
      <w:numPr>
        <w:ilvl w:val="8"/>
        <w:numId w:val="5"/>
      </w:numPr>
      <w:outlineLvl w:val="8"/>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Bullets">
    <w:name w:val="ListBullets"/>
    <w:uiPriority w:val="99"/>
    <w:rsid w:val="00B974A4"/>
    <w:pPr>
      <w:numPr>
        <w:numId w:val="9"/>
      </w:numPr>
    </w:pPr>
  </w:style>
  <w:style w:type="paragraph" w:styleId="ListBullet3">
    <w:name w:val="List Bullet 3"/>
    <w:basedOn w:val="ListBullet2"/>
    <w:uiPriority w:val="2"/>
    <w:rsid w:val="00114298"/>
    <w:pPr>
      <w:numPr>
        <w:ilvl w:val="2"/>
      </w:numPr>
    </w:pPr>
  </w:style>
  <w:style w:type="paragraph" w:styleId="ListNumber">
    <w:name w:val="List Number"/>
    <w:basedOn w:val="BodyText"/>
    <w:uiPriority w:val="2"/>
    <w:qFormat/>
    <w:rsid w:val="00160C29"/>
    <w:pPr>
      <w:numPr>
        <w:numId w:val="15"/>
      </w:numPr>
      <w:spacing w:before="70"/>
    </w:pPr>
  </w:style>
  <w:style w:type="paragraph" w:styleId="ListBullet">
    <w:name w:val="List Bullet"/>
    <w:aliases w:val="Char, Char"/>
    <w:basedOn w:val="BodyText"/>
    <w:link w:val="ListBulletChar"/>
    <w:uiPriority w:val="2"/>
    <w:qFormat/>
    <w:rsid w:val="00160C29"/>
    <w:pPr>
      <w:numPr>
        <w:numId w:val="9"/>
      </w:numPr>
      <w:spacing w:before="70"/>
    </w:pPr>
  </w:style>
  <w:style w:type="paragraph" w:customStyle="1" w:styleId="Contents">
    <w:name w:val="Contents"/>
    <w:basedOn w:val="Heading1"/>
    <w:next w:val="TOC1"/>
    <w:uiPriority w:val="99"/>
    <w:rsid w:val="005C386A"/>
    <w:pPr>
      <w:pageBreakBefore w:val="0"/>
      <w:numPr>
        <w:numId w:val="0"/>
      </w:numPr>
    </w:pPr>
  </w:style>
  <w:style w:type="paragraph" w:customStyle="1" w:styleId="RecommendationNumber2">
    <w:name w:val="Recommendation Number 2"/>
    <w:basedOn w:val="RecommendationNumber"/>
    <w:uiPriority w:val="28"/>
    <w:rsid w:val="001E2A83"/>
    <w:pPr>
      <w:numPr>
        <w:ilvl w:val="1"/>
      </w:numPr>
    </w:pPr>
  </w:style>
  <w:style w:type="paragraph" w:customStyle="1" w:styleId="RecommendationHeading">
    <w:name w:val="Recommendation Heading"/>
    <w:basedOn w:val="BodyText"/>
    <w:next w:val="RecommendationNumber"/>
    <w:uiPriority w:val="28"/>
    <w:unhideWhenUsed/>
    <w:rsid w:val="00CA364E"/>
    <w:pPr>
      <w:spacing w:before="280"/>
    </w:pPr>
    <w:rPr>
      <w:rFonts w:ascii="Franklin Gothic Demi" w:hAnsi="Franklin Gothic Demi"/>
      <w:caps/>
      <w:color w:val="6F6652" w:themeColor="text2"/>
      <w:spacing w:val="10"/>
    </w:rPr>
  </w:style>
  <w:style w:type="paragraph" w:customStyle="1" w:styleId="Subtitlebox">
    <w:name w:val="Subtitle box"/>
    <w:aliases w:val="chart,table"/>
    <w:basedOn w:val="Caption"/>
    <w:uiPriority w:val="5"/>
    <w:rsid w:val="00425BAF"/>
    <w:pPr>
      <w:spacing w:before="0"/>
    </w:pPr>
    <w:rPr>
      <w:rFonts w:ascii="Franklin Gothic Book" w:hAnsi="Franklin Gothic Book"/>
      <w:sz w:val="17"/>
    </w:rPr>
  </w:style>
  <w:style w:type="paragraph" w:styleId="BodyText">
    <w:name w:val="Body Text"/>
    <w:aliases w:val="bt,Concepto,Body Text - Level 2,Body Text Char2 Char,Body Text Char Char1 Char,Body Text Char1 Char Char Char,Body Text Char Char Char Char Char,Body Text Char1 Char1 Char,Body Text Char Char Char1 Char,Body Text Char2 Char Char Char,body text"/>
    <w:basedOn w:val="Normal"/>
    <w:link w:val="BodyTextChar"/>
    <w:uiPriority w:val="2"/>
    <w:qFormat/>
    <w:rsid w:val="00160C29"/>
    <w:pPr>
      <w:spacing w:before="140"/>
    </w:pPr>
    <w:rPr>
      <w:rFonts w:asciiTheme="minorHAnsi" w:eastAsia="Times New Roman" w:hAnsiTheme="minorHAnsi"/>
    </w:rPr>
  </w:style>
  <w:style w:type="paragraph" w:styleId="ListNumber2">
    <w:name w:val="List Number 2"/>
    <w:basedOn w:val="BodyText"/>
    <w:uiPriority w:val="2"/>
    <w:rsid w:val="00497862"/>
    <w:pPr>
      <w:numPr>
        <w:ilvl w:val="1"/>
        <w:numId w:val="15"/>
      </w:numPr>
      <w:spacing w:before="40"/>
    </w:pPr>
  </w:style>
  <w:style w:type="character" w:customStyle="1" w:styleId="BodyTextChar">
    <w:name w:val="Body Text Char"/>
    <w:aliases w:val="bt Char,Concepto Char,Body Text - Level 2 Char,Body Text Char2 Char Char,Body Text Char Char1 Char Char,Body Text Char1 Char Char Char Char,Body Text Char Char Char Char Char Char,Body Text Char1 Char1 Char Char,body text Char"/>
    <w:link w:val="BodyText"/>
    <w:uiPriority w:val="2"/>
    <w:rsid w:val="00160C29"/>
    <w:rPr>
      <w:rFonts w:asciiTheme="minorHAnsi" w:eastAsia="Times New Roman" w:hAnsiTheme="minorHAnsi"/>
    </w:rPr>
  </w:style>
  <w:style w:type="paragraph" w:styleId="Caption">
    <w:name w:val="caption"/>
    <w:basedOn w:val="BodyText"/>
    <w:next w:val="Subtitlebox"/>
    <w:link w:val="CaptionChar"/>
    <w:uiPriority w:val="99"/>
    <w:unhideWhenUsed/>
    <w:qFormat/>
    <w:rsid w:val="00160C29"/>
    <w:pPr>
      <w:keepNext/>
      <w:spacing w:before="360" w:after="80" w:line="260" w:lineRule="atLeast"/>
    </w:pPr>
    <w:rPr>
      <w:rFonts w:ascii="Franklin Gothic Demi" w:hAnsi="Franklin Gothic Demi"/>
      <w:szCs w:val="20"/>
    </w:rPr>
  </w:style>
  <w:style w:type="paragraph" w:customStyle="1" w:styleId="BoxHeading1">
    <w:name w:val="Box Heading 1"/>
    <w:basedOn w:val="Heading4"/>
    <w:next w:val="BodyText"/>
    <w:uiPriority w:val="9"/>
    <w:rsid w:val="009D667E"/>
    <w:pPr>
      <w:spacing w:before="240"/>
    </w:pPr>
    <w:rPr>
      <w:rFonts w:ascii="Franklin Gothic Demi" w:hAnsi="Franklin Gothic Demi"/>
      <w:b w:val="0"/>
      <w:i w:val="0"/>
      <w:color w:val="F61D12" w:themeColor="accent2"/>
    </w:rPr>
  </w:style>
  <w:style w:type="paragraph" w:customStyle="1" w:styleId="BoxHeading2">
    <w:name w:val="Box Heading 2"/>
    <w:basedOn w:val="BoxHeading1"/>
    <w:next w:val="BodyText"/>
    <w:uiPriority w:val="9"/>
    <w:rsid w:val="00F21CFB"/>
    <w:pPr>
      <w:spacing w:before="200"/>
    </w:pPr>
    <w:rPr>
      <w:rFonts w:ascii="Franklin Gothic Medium" w:hAnsi="Franklin Gothic Medium"/>
      <w:szCs w:val="20"/>
    </w:rPr>
  </w:style>
  <w:style w:type="paragraph" w:customStyle="1" w:styleId="ChartText">
    <w:name w:val="Chart Text"/>
    <w:basedOn w:val="TableTextEntries"/>
    <w:link w:val="ChartTextChar"/>
    <w:uiPriority w:val="23"/>
    <w:rsid w:val="00D10883"/>
    <w:pPr>
      <w:spacing w:before="0" w:after="0"/>
    </w:pPr>
    <w:rPr>
      <w:rFonts w:ascii="Franklin Gothic Medium" w:hAnsi="Franklin Gothic Medium"/>
    </w:rPr>
  </w:style>
  <w:style w:type="character" w:customStyle="1" w:styleId="ChartTextChar">
    <w:name w:val="Chart Text Char"/>
    <w:link w:val="ChartText"/>
    <w:uiPriority w:val="23"/>
    <w:rsid w:val="00D10883"/>
    <w:rPr>
      <w:rFonts w:ascii="Franklin Gothic Medium" w:eastAsia="Times New Roman" w:hAnsi="Franklin Gothic Medium"/>
      <w:sz w:val="16"/>
      <w:szCs w:val="18"/>
      <w:lang w:eastAsia="en-US"/>
    </w:rPr>
  </w:style>
  <w:style w:type="paragraph" w:customStyle="1" w:styleId="ChartBoldText">
    <w:name w:val="Chart Bold Text"/>
    <w:basedOn w:val="ChartText"/>
    <w:next w:val="ChartText"/>
    <w:uiPriority w:val="23"/>
    <w:rsid w:val="00DA2AB5"/>
    <w:pPr>
      <w:jc w:val="center"/>
    </w:pPr>
    <w:rPr>
      <w:rFonts w:ascii="Franklin Gothic Demi" w:hAnsi="Franklin Gothic Demi"/>
      <w:szCs w:val="17"/>
    </w:rPr>
  </w:style>
  <w:style w:type="paragraph" w:customStyle="1" w:styleId="ChartHighlight">
    <w:name w:val="Chart Highlight"/>
    <w:basedOn w:val="ChartBoldText"/>
    <w:uiPriority w:val="22"/>
    <w:rsid w:val="00DA2AB5"/>
    <w:pPr>
      <w:spacing w:line="220" w:lineRule="atLeast"/>
    </w:pPr>
    <w:rPr>
      <w:caps/>
      <w:sz w:val="20"/>
    </w:rPr>
  </w:style>
  <w:style w:type="paragraph" w:customStyle="1" w:styleId="Client">
    <w:name w:val="Client"/>
    <w:basedOn w:val="BodyText"/>
    <w:uiPriority w:val="32"/>
    <w:rsid w:val="00DA40B0"/>
    <w:pPr>
      <w:spacing w:before="0"/>
    </w:pPr>
    <w:rPr>
      <w:i/>
      <w:sz w:val="25"/>
    </w:rPr>
  </w:style>
  <w:style w:type="character" w:styleId="CommentReference">
    <w:name w:val="annotation reference"/>
    <w:basedOn w:val="BodyTextChar"/>
    <w:uiPriority w:val="49"/>
    <w:semiHidden/>
    <w:rsid w:val="000B2602"/>
    <w:rPr>
      <w:rFonts w:ascii="Franklin Gothic Demi" w:eastAsia="Times New Roman" w:hAnsi="Franklin Gothic Demi" w:cs="Times New Roman"/>
      <w:b w:val="0"/>
      <w:vanish/>
      <w:color w:val="FF00FF"/>
      <w:sz w:val="18"/>
      <w:szCs w:val="16"/>
    </w:rPr>
  </w:style>
  <w:style w:type="paragraph" w:styleId="CommentText">
    <w:name w:val="annotation text"/>
    <w:basedOn w:val="BodyText"/>
    <w:link w:val="CommentTextChar"/>
    <w:uiPriority w:val="49"/>
    <w:semiHidden/>
    <w:rsid w:val="00D83A2B"/>
    <w:pPr>
      <w:spacing w:before="80" w:line="240" w:lineRule="atLeast"/>
    </w:pPr>
    <w:rPr>
      <w:sz w:val="20"/>
      <w:szCs w:val="20"/>
    </w:rPr>
  </w:style>
  <w:style w:type="character" w:customStyle="1" w:styleId="CommentTextChar">
    <w:name w:val="Comment Text Char"/>
    <w:basedOn w:val="DefaultParagraphFont"/>
    <w:link w:val="CommentText"/>
    <w:uiPriority w:val="49"/>
    <w:semiHidden/>
    <w:rsid w:val="00D24560"/>
    <w:rPr>
      <w:rFonts w:asciiTheme="minorHAnsi" w:eastAsia="Times New Roman" w:hAnsiTheme="minorHAnsi"/>
      <w:sz w:val="20"/>
      <w:szCs w:val="20"/>
    </w:rPr>
  </w:style>
  <w:style w:type="numbering" w:customStyle="1" w:styleId="ChartListBullets">
    <w:name w:val="ChartListBullets"/>
    <w:uiPriority w:val="99"/>
    <w:rsid w:val="00CC4851"/>
    <w:pPr>
      <w:numPr>
        <w:numId w:val="3"/>
      </w:numPr>
    </w:pPr>
  </w:style>
  <w:style w:type="paragraph" w:customStyle="1" w:styleId="TableTextEntries">
    <w:name w:val="Table Text Entries"/>
    <w:basedOn w:val="BodyText"/>
    <w:uiPriority w:val="13"/>
    <w:rsid w:val="00BA1241"/>
    <w:pPr>
      <w:keepLines/>
      <w:spacing w:before="80" w:after="80" w:line="200" w:lineRule="atLeast"/>
    </w:pPr>
    <w:rPr>
      <w:rFonts w:ascii="Franklin Gothic Book" w:hAnsi="Franklin Gothic Book"/>
      <w:sz w:val="16"/>
      <w:szCs w:val="18"/>
      <w:lang w:eastAsia="en-US"/>
    </w:rPr>
  </w:style>
  <w:style w:type="paragraph" w:customStyle="1" w:styleId="Note">
    <w:name w:val="Note"/>
    <w:basedOn w:val="TableTextEntries"/>
    <w:next w:val="Source"/>
    <w:link w:val="NoteCharChar"/>
    <w:uiPriority w:val="15"/>
    <w:rsid w:val="008D63BD"/>
    <w:pPr>
      <w:spacing w:before="40" w:after="0" w:line="180" w:lineRule="atLeast"/>
    </w:pPr>
    <w:rPr>
      <w:sz w:val="14"/>
      <w:szCs w:val="16"/>
    </w:rPr>
  </w:style>
  <w:style w:type="character" w:customStyle="1" w:styleId="NoteCharChar">
    <w:name w:val="Note Char Char"/>
    <w:link w:val="Note"/>
    <w:uiPriority w:val="15"/>
    <w:rsid w:val="008D63BD"/>
    <w:rPr>
      <w:rFonts w:ascii="Franklin Gothic Medium" w:eastAsia="Times New Roman" w:hAnsi="Franklin Gothic Medium" w:cs="Times New Roman"/>
      <w:sz w:val="14"/>
      <w:szCs w:val="16"/>
      <w:lang w:eastAsia="en-US"/>
    </w:rPr>
  </w:style>
  <w:style w:type="paragraph" w:customStyle="1" w:styleId="Source">
    <w:name w:val="Source"/>
    <w:basedOn w:val="Note"/>
    <w:next w:val="BodyText"/>
    <w:link w:val="SourceChar"/>
    <w:uiPriority w:val="16"/>
    <w:qFormat/>
    <w:rsid w:val="008D63BD"/>
    <w:pPr>
      <w:spacing w:after="60"/>
    </w:pPr>
  </w:style>
  <w:style w:type="paragraph" w:customStyle="1" w:styleId="Continued">
    <w:name w:val="Continued"/>
    <w:basedOn w:val="Source"/>
    <w:next w:val="BodyText"/>
    <w:link w:val="ContinuedChar"/>
    <w:uiPriority w:val="17"/>
    <w:rsid w:val="00BA1241"/>
    <w:pPr>
      <w:jc w:val="right"/>
    </w:pPr>
  </w:style>
  <w:style w:type="paragraph" w:styleId="Title">
    <w:name w:val="Title"/>
    <w:basedOn w:val="Normal"/>
    <w:next w:val="Subtitle"/>
    <w:link w:val="TitleChar"/>
    <w:uiPriority w:val="29"/>
    <w:qFormat/>
    <w:rsid w:val="00160C29"/>
    <w:pPr>
      <w:spacing w:line="500" w:lineRule="atLeast"/>
    </w:pPr>
    <w:rPr>
      <w:rFonts w:asciiTheme="majorHAnsi" w:eastAsia="Times New Roman" w:hAnsiTheme="majorHAnsi"/>
      <w:spacing w:val="-2"/>
      <w:kern w:val="28"/>
      <w:sz w:val="44"/>
      <w:szCs w:val="48"/>
    </w:rPr>
  </w:style>
  <w:style w:type="character" w:customStyle="1" w:styleId="TitleChar">
    <w:name w:val="Title Char"/>
    <w:basedOn w:val="DefaultParagraphFont"/>
    <w:link w:val="Title"/>
    <w:uiPriority w:val="29"/>
    <w:rsid w:val="00160C29"/>
    <w:rPr>
      <w:rFonts w:asciiTheme="majorHAnsi" w:eastAsia="Times New Roman" w:hAnsiTheme="majorHAnsi"/>
      <w:spacing w:val="-2"/>
      <w:kern w:val="28"/>
      <w:sz w:val="44"/>
      <w:szCs w:val="48"/>
    </w:rPr>
  </w:style>
  <w:style w:type="paragraph" w:styleId="Subtitle">
    <w:name w:val="Subtitle"/>
    <w:basedOn w:val="Title"/>
    <w:link w:val="SubtitleChar"/>
    <w:uiPriority w:val="30"/>
    <w:qFormat/>
    <w:rsid w:val="00160C29"/>
    <w:pPr>
      <w:spacing w:before="280" w:line="320" w:lineRule="atLeast"/>
    </w:pPr>
    <w:rPr>
      <w:sz w:val="25"/>
      <w:szCs w:val="28"/>
    </w:rPr>
  </w:style>
  <w:style w:type="character" w:customStyle="1" w:styleId="SubtitleChar">
    <w:name w:val="Subtitle Char"/>
    <w:basedOn w:val="DefaultParagraphFont"/>
    <w:link w:val="Subtitle"/>
    <w:uiPriority w:val="30"/>
    <w:rsid w:val="00160C29"/>
    <w:rPr>
      <w:rFonts w:asciiTheme="majorHAnsi" w:eastAsia="Times New Roman" w:hAnsiTheme="majorHAnsi"/>
      <w:spacing w:val="-2"/>
      <w:kern w:val="28"/>
      <w:sz w:val="25"/>
      <w:szCs w:val="28"/>
    </w:rPr>
  </w:style>
  <w:style w:type="paragraph" w:styleId="Date">
    <w:name w:val="Date"/>
    <w:basedOn w:val="Subtitle"/>
    <w:link w:val="DateChar"/>
    <w:uiPriority w:val="33"/>
    <w:rsid w:val="00DA40B0"/>
    <w:pPr>
      <w:spacing w:before="140" w:line="280" w:lineRule="atLeast"/>
    </w:pPr>
    <w:rPr>
      <w:i/>
      <w:color w:val="6F6652" w:themeColor="text2"/>
      <w:spacing w:val="0"/>
    </w:rPr>
  </w:style>
  <w:style w:type="character" w:customStyle="1" w:styleId="DateChar">
    <w:name w:val="Date Char"/>
    <w:basedOn w:val="DefaultParagraphFont"/>
    <w:link w:val="Date"/>
    <w:uiPriority w:val="33"/>
    <w:rsid w:val="001624ED"/>
    <w:rPr>
      <w:rFonts w:asciiTheme="majorHAnsi" w:eastAsia="Times New Roman" w:hAnsiTheme="majorHAnsi"/>
      <w:i/>
      <w:color w:val="6F6652" w:themeColor="text2"/>
      <w:kern w:val="28"/>
      <w:sz w:val="25"/>
      <w:szCs w:val="28"/>
    </w:rPr>
  </w:style>
  <w:style w:type="character" w:customStyle="1" w:styleId="DraftingNote">
    <w:name w:val="Drafting Note"/>
    <w:uiPriority w:val="2"/>
    <w:rsid w:val="00F31AEF"/>
    <w:rPr>
      <w:rFonts w:asciiTheme="minorHAnsi" w:hAnsiTheme="minorHAnsi"/>
      <w:b/>
      <w:color w:val="0070C0"/>
      <w:u w:val="dotted"/>
    </w:rPr>
  </w:style>
  <w:style w:type="paragraph" w:styleId="Footer">
    <w:name w:val="footer"/>
    <w:basedOn w:val="BodyText"/>
    <w:link w:val="FooterChar"/>
    <w:uiPriority w:val="99"/>
    <w:rsid w:val="00B52205"/>
    <w:pPr>
      <w:spacing w:before="0" w:line="200" w:lineRule="atLeast"/>
    </w:pPr>
    <w:rPr>
      <w:i/>
      <w:color w:val="6F6652" w:themeColor="text2"/>
      <w:sz w:val="16"/>
      <w:szCs w:val="14"/>
    </w:rPr>
  </w:style>
  <w:style w:type="character" w:customStyle="1" w:styleId="FooterChar">
    <w:name w:val="Footer Char"/>
    <w:basedOn w:val="DefaultParagraphFont"/>
    <w:link w:val="Footer"/>
    <w:uiPriority w:val="99"/>
    <w:rsid w:val="001624ED"/>
    <w:rPr>
      <w:rFonts w:asciiTheme="minorHAnsi" w:eastAsia="Times New Roman" w:hAnsiTheme="minorHAnsi"/>
      <w:i/>
      <w:color w:val="6F6652" w:themeColor="text2"/>
      <w:sz w:val="16"/>
      <w:szCs w:val="14"/>
    </w:rPr>
  </w:style>
  <w:style w:type="character" w:styleId="FootnoteReference">
    <w:name w:val="footnote reference"/>
    <w:aliases w:val="(NECG) Footnote Reference,(NECG) Footnote Reference1,(NECG) Footnote Reference2,o,fr,Style 3,Style 12,Appel note de bas de p,Style 124,Appel n,Footnote Reference 1,Appel note de bas de p + 11 pt,Italic,Footnote,Appel note de bas de p1"/>
    <w:uiPriority w:val="25"/>
    <w:unhideWhenUsed/>
    <w:rsid w:val="008A036A"/>
    <w:rPr>
      <w:rFonts w:ascii="Calisto MT" w:hAnsi="Calisto MT"/>
      <w:b w:val="0"/>
      <w:i w:val="0"/>
      <w:color w:val="auto"/>
      <w:w w:val="100"/>
      <w:position w:val="4"/>
      <w:sz w:val="18"/>
      <w:szCs w:val="21"/>
      <w:vertAlign w:val="baseline"/>
    </w:rPr>
  </w:style>
  <w:style w:type="paragraph" w:styleId="FootnoteText">
    <w:name w:val="footnote text"/>
    <w:aliases w:val="ALTS FOOTNOTE,(NECG) Footnote Text,Footnote text,AR Footnote Text,Footnote Text Char2,Footnote Text Char Char1,Footnote Text Char1 Char Char,Footnote Text Char Char Char Char,Footnote Text Char1 Char Char Char Char,Footnote Text Char Char"/>
    <w:basedOn w:val="BodyText"/>
    <w:link w:val="FootnoteTextChar"/>
    <w:uiPriority w:val="25"/>
    <w:unhideWhenUsed/>
    <w:rsid w:val="008A036A"/>
    <w:pPr>
      <w:spacing w:before="80" w:line="240" w:lineRule="atLeast"/>
      <w:ind w:left="284" w:hanging="284"/>
    </w:pPr>
    <w:rPr>
      <w:sz w:val="19"/>
      <w:szCs w:val="18"/>
    </w:rPr>
  </w:style>
  <w:style w:type="character" w:customStyle="1" w:styleId="FootnoteTextChar">
    <w:name w:val="Footnote Text Char"/>
    <w:aliases w:val="ALTS FOOTNOTE Char,(NECG) Footnote Text Char,Footnote text Char,AR Footnote Text Char,Footnote Text Char2 Char,Footnote Text Char Char1 Char,Footnote Text Char1 Char Char Char,Footnote Text Char Char Char Char Char"/>
    <w:basedOn w:val="DefaultParagraphFont"/>
    <w:link w:val="FootnoteText"/>
    <w:uiPriority w:val="25"/>
    <w:rsid w:val="002812E4"/>
    <w:rPr>
      <w:rFonts w:asciiTheme="minorHAnsi" w:eastAsia="Times New Roman" w:hAnsiTheme="minorHAnsi"/>
      <w:sz w:val="19"/>
      <w:szCs w:val="18"/>
    </w:rPr>
  </w:style>
  <w:style w:type="paragraph" w:styleId="Header">
    <w:name w:val="header"/>
    <w:basedOn w:val="BodyText"/>
    <w:link w:val="HeaderChar"/>
    <w:uiPriority w:val="99"/>
    <w:rsid w:val="006D44B3"/>
    <w:pPr>
      <w:tabs>
        <w:tab w:val="left" w:pos="-567"/>
        <w:tab w:val="left" w:pos="0"/>
        <w:tab w:val="right" w:pos="7938"/>
        <w:tab w:val="right" w:pos="8505"/>
      </w:tabs>
      <w:spacing w:before="0" w:line="240" w:lineRule="auto"/>
      <w:ind w:left="-2268" w:right="-2268"/>
    </w:pPr>
    <w:rPr>
      <w:rFonts w:ascii="Franklin Gothic Medium" w:hAnsi="Franklin Gothic Medium"/>
      <w:sz w:val="14"/>
      <w:szCs w:val="14"/>
    </w:rPr>
  </w:style>
  <w:style w:type="character" w:customStyle="1" w:styleId="HeaderChar">
    <w:name w:val="Header Char"/>
    <w:basedOn w:val="DefaultParagraphFont"/>
    <w:link w:val="Header"/>
    <w:uiPriority w:val="99"/>
    <w:rsid w:val="006D44B3"/>
    <w:rPr>
      <w:rFonts w:ascii="Franklin Gothic Medium" w:eastAsia="Times New Roman" w:hAnsi="Franklin Gothic Medium"/>
      <w:sz w:val="14"/>
      <w:szCs w:val="14"/>
    </w:rPr>
  </w:style>
  <w:style w:type="character" w:customStyle="1" w:styleId="Heading1Char">
    <w:name w:val="Heading 1 Char"/>
    <w:aliases w:val="h1 Char,EOI - Heading 1 (Low) Char,Heading 1 (low) Char,Para1 Char,h11 Char,h12 Char,ChapterHeadingNumber Char,Top 1 Char,ParaLevel1 Char,Level 1 Para Char,Level 1 Para1 Char,Level 1 Para2 Char,Level 1 Para3 Char,Level 1 Para4 Char,1 Char"/>
    <w:basedOn w:val="DefaultParagraphFont"/>
    <w:link w:val="Heading1"/>
    <w:rsid w:val="00160C29"/>
    <w:rPr>
      <w:rFonts w:asciiTheme="majorHAnsi" w:eastAsia="Times New Roman" w:hAnsiTheme="majorHAnsi"/>
      <w:i/>
      <w:kern w:val="28"/>
      <w:sz w:val="36"/>
      <w:szCs w:val="32"/>
    </w:rPr>
  </w:style>
  <w:style w:type="character" w:customStyle="1" w:styleId="Heading2Char">
    <w:name w:val="Heading 2 Char"/>
    <w:aliases w:val="Para2 Char,h2 Char,BT-Legal Numbering Char,Head hdbk Char,Top 2 Char,H2 Char,h2 main heading Char,B Sub/Bold Char,B Sub/Bold1 Char,B Sub/Bold2 Char,B Sub/Bold11 Char,h2 main heading1 Char,h2 main heading2 Char,B Sub/Bold3 Char,Para 2 Char"/>
    <w:basedOn w:val="DefaultParagraphFont"/>
    <w:link w:val="Heading2"/>
    <w:rsid w:val="00160C29"/>
    <w:rPr>
      <w:rFonts w:asciiTheme="majorHAnsi" w:eastAsia="Times New Roman" w:hAnsiTheme="majorHAnsi"/>
      <w:b/>
      <w:i/>
      <w:color w:val="F61D12" w:themeColor="accent2"/>
      <w:kern w:val="28"/>
      <w:sz w:val="30"/>
      <w:szCs w:val="26"/>
    </w:rPr>
  </w:style>
  <w:style w:type="paragraph" w:styleId="ListBullet2">
    <w:name w:val="List Bullet 2"/>
    <w:basedOn w:val="ListBullet"/>
    <w:link w:val="ListBullet2Char"/>
    <w:uiPriority w:val="2"/>
    <w:qFormat/>
    <w:rsid w:val="004C31EE"/>
    <w:pPr>
      <w:numPr>
        <w:ilvl w:val="1"/>
      </w:numPr>
      <w:spacing w:before="40"/>
      <w:ind w:left="568" w:hanging="284"/>
    </w:pPr>
  </w:style>
  <w:style w:type="character" w:customStyle="1" w:styleId="Heading3Char">
    <w:name w:val="Heading 3 Char"/>
    <w:aliases w:val="Normal + num Char,Level 1 - 2 Char,h3 Char,EOI - Heading 3 Char,h3 sub heading Char,Para3 Char,Paragraph (heading 3) Char,BTL Numbered Char,L3 Char,3 Char,Level 1 - 1 Char,Report Heading 3 Char,d Char,Tempo Heading 3 Char,H3 Char,h31 Char"/>
    <w:basedOn w:val="DefaultParagraphFont"/>
    <w:link w:val="Heading3"/>
    <w:rsid w:val="00160C29"/>
    <w:rPr>
      <w:rFonts w:eastAsia="Times New Roman"/>
      <w:b/>
      <w:i/>
      <w:kern w:val="28"/>
      <w:sz w:val="25"/>
      <w:szCs w:val="22"/>
    </w:rPr>
  </w:style>
  <w:style w:type="character" w:customStyle="1" w:styleId="Heading4Char">
    <w:name w:val="Heading 4 Char"/>
    <w:aliases w:val="h4 Char,L4 Char,Level 2 - a Char,sd Char,Standard H3 Char,h41 Char,Titre 4 Char,1.1.1.1 Char,bullet Char,bl Char,bb Char,h4 sub sub heading Char,Level 2 - (a) Char,4 Char,Org Heading 2 Char,Sub3Para Char,proj4 Char,proj41 Char,proj42 Char"/>
    <w:basedOn w:val="DefaultParagraphFont"/>
    <w:link w:val="Heading4"/>
    <w:rsid w:val="00160C29"/>
    <w:rPr>
      <w:rFonts w:eastAsia="Times New Roman"/>
      <w:b/>
      <w:i/>
      <w:color w:val="6F6652" w:themeColor="text2"/>
      <w:kern w:val="28"/>
      <w:szCs w:val="22"/>
    </w:rPr>
  </w:style>
  <w:style w:type="character" w:customStyle="1" w:styleId="Heading5Char">
    <w:name w:val="Heading 5 Char"/>
    <w:aliases w:val="h5 Char,L5 Char,Level 3 - i Char,L51 Char,Para5 Char,i. Char,H1 Char,subsubpara Char,1.1.1.1.1 Char,H11 Char,3rd sub-clause Char,h51 Char,h52 Char,5 Char,H111 Char,VS5 Char,remove 5 Char,-25. Char,DO NOT USE 5 Char,Further Points Char"/>
    <w:basedOn w:val="DefaultParagraphFont"/>
    <w:link w:val="Heading5"/>
    <w:rsid w:val="00742A5F"/>
    <w:rPr>
      <w:rFonts w:asciiTheme="minorHAnsi" w:eastAsia="Times New Roman" w:hAnsiTheme="minorHAnsi"/>
      <w:i/>
      <w:color w:val="6F6652" w:themeColor="text2"/>
      <w:kern w:val="28"/>
      <w:szCs w:val="22"/>
    </w:rPr>
  </w:style>
  <w:style w:type="character" w:customStyle="1" w:styleId="Heading6Char">
    <w:name w:val="Heading 6 Char"/>
    <w:aliases w:val="Square Bullet list Char,Sub5Para Char,L1 PIP Char,a Char,b Char,H6 Char,Heading 6(unused) Char,Heading 6(unused)1 Char,VS6 Char,Main Char,DO NOT USE 6 Char,Points in Text Char,Points in Text1 Char,Points in Text2 Char,Points in Text3 Char"/>
    <w:basedOn w:val="DefaultParagraphFont"/>
    <w:link w:val="Heading6"/>
    <w:rsid w:val="00160C29"/>
    <w:rPr>
      <w:rFonts w:asciiTheme="majorHAnsi" w:eastAsia="Times New Roman" w:hAnsiTheme="majorHAnsi"/>
      <w:bCs/>
      <w:i/>
      <w:kern w:val="28"/>
      <w:sz w:val="36"/>
      <w:szCs w:val="32"/>
    </w:rPr>
  </w:style>
  <w:style w:type="character" w:customStyle="1" w:styleId="Heading7Char">
    <w:name w:val="Heading 7 Char"/>
    <w:aliases w:val="Indented hyphen Char,L2 PIP Char,H7 Char,Heading 7(unused) Char,Heading 7(unused)1 Char"/>
    <w:basedOn w:val="DefaultParagraphFont"/>
    <w:link w:val="Heading7"/>
    <w:rsid w:val="00182068"/>
    <w:rPr>
      <w:rFonts w:eastAsia="Times New Roman"/>
      <w:b/>
      <w:i/>
      <w:color w:val="F61D12" w:themeColor="accent2"/>
      <w:kern w:val="28"/>
      <w:sz w:val="30"/>
      <w:szCs w:val="26"/>
    </w:rPr>
  </w:style>
  <w:style w:type="character" w:customStyle="1" w:styleId="Heading8Char">
    <w:name w:val="Heading 8 Char"/>
    <w:aliases w:val="L3 PIP Char,H8 Char,Heading 8(unused) Char,Heading 8(unused)1 Char,DO NOT USE Char,DO NOT USE 8 Char,Legal Level 1.1.1. Char"/>
    <w:basedOn w:val="DefaultParagraphFont"/>
    <w:link w:val="Heading8"/>
    <w:rsid w:val="00160C29"/>
    <w:rPr>
      <w:rFonts w:eastAsia="Times New Roman"/>
      <w:b/>
      <w:i/>
      <w:kern w:val="28"/>
      <w:sz w:val="25"/>
      <w:szCs w:val="22"/>
    </w:rPr>
  </w:style>
  <w:style w:type="character" w:customStyle="1" w:styleId="Heading9Char">
    <w:name w:val="Heading 9 Char"/>
    <w:aliases w:val="Spare5 Char,H9 Char,Heading 9(unused) Char,Heading 9(unused)1 Char,DO NOT USE 9 Char,Legal Level 1.1.1.1. Char"/>
    <w:basedOn w:val="DefaultParagraphFont"/>
    <w:link w:val="Heading9"/>
    <w:rsid w:val="00160C29"/>
    <w:rPr>
      <w:rFonts w:eastAsia="Times New Roman"/>
      <w:b/>
      <w:i/>
      <w:kern w:val="28"/>
      <w:szCs w:val="22"/>
    </w:rPr>
  </w:style>
  <w:style w:type="character" w:styleId="Hyperlink">
    <w:name w:val="Hyperlink"/>
    <w:uiPriority w:val="99"/>
    <w:qFormat/>
    <w:rsid w:val="00FE6AD6"/>
    <w:rPr>
      <w:b w:val="0"/>
      <w:i w:val="0"/>
      <w:color w:val="6F6652" w:themeColor="text2"/>
      <w:u w:val="none"/>
    </w:rPr>
  </w:style>
  <w:style w:type="paragraph" w:customStyle="1" w:styleId="Invisiblepara">
    <w:name w:val="Invisible para"/>
    <w:basedOn w:val="Normal"/>
    <w:uiPriority w:val="99"/>
    <w:rsid w:val="00664723"/>
    <w:pPr>
      <w:keepNext/>
      <w:spacing w:before="320" w:line="80" w:lineRule="exact"/>
    </w:pPr>
    <w:rPr>
      <w:rFonts w:eastAsia="Times New Roman"/>
      <w:szCs w:val="20"/>
    </w:rPr>
  </w:style>
  <w:style w:type="character" w:customStyle="1" w:styleId="NoteLabel">
    <w:name w:val="Note Label"/>
    <w:uiPriority w:val="15"/>
    <w:rsid w:val="008D63BD"/>
    <w:rPr>
      <w:rFonts w:ascii="Franklin Gothic Demi" w:hAnsi="Franklin Gothic Demi"/>
      <w:b w:val="0"/>
      <w:i w:val="0"/>
      <w:color w:val="9B917E" w:themeColor="accent4"/>
      <w:position w:val="4"/>
      <w:sz w:val="14"/>
      <w:szCs w:val="16"/>
    </w:rPr>
  </w:style>
  <w:style w:type="character" w:styleId="PageNumber">
    <w:name w:val="page number"/>
    <w:uiPriority w:val="99"/>
    <w:rsid w:val="00AB00C7"/>
    <w:rPr>
      <w:rFonts w:ascii="Franklin Gothic Demi" w:hAnsi="Franklin Gothic Demi"/>
      <w:b w:val="0"/>
      <w:color w:val="006B7A" w:themeColor="accent1"/>
      <w:sz w:val="20"/>
      <w:szCs w:val="20"/>
    </w:rPr>
  </w:style>
  <w:style w:type="paragraph" w:styleId="Quote">
    <w:name w:val="Quote"/>
    <w:basedOn w:val="BodyText"/>
    <w:next w:val="BodyText"/>
    <w:link w:val="QuoteChar"/>
    <w:uiPriority w:val="3"/>
    <w:qFormat/>
    <w:rsid w:val="00160C29"/>
    <w:pPr>
      <w:spacing w:before="70" w:line="260" w:lineRule="atLeast"/>
      <w:ind w:left="284"/>
    </w:pPr>
    <w:rPr>
      <w:sz w:val="19"/>
      <w:szCs w:val="20"/>
    </w:rPr>
  </w:style>
  <w:style w:type="character" w:customStyle="1" w:styleId="QuoteChar">
    <w:name w:val="Quote Char"/>
    <w:basedOn w:val="DefaultParagraphFont"/>
    <w:link w:val="Quote"/>
    <w:uiPriority w:val="3"/>
    <w:rsid w:val="00160C29"/>
    <w:rPr>
      <w:rFonts w:asciiTheme="minorHAnsi" w:eastAsia="Times New Roman" w:hAnsiTheme="minorHAnsi"/>
      <w:sz w:val="19"/>
      <w:szCs w:val="20"/>
    </w:rPr>
  </w:style>
  <w:style w:type="paragraph" w:customStyle="1" w:styleId="RecommendationNumber">
    <w:name w:val="Recommendation Number"/>
    <w:basedOn w:val="BodyText"/>
    <w:next w:val="RecommendationNumber2"/>
    <w:uiPriority w:val="28"/>
    <w:rsid w:val="002C0234"/>
    <w:pPr>
      <w:numPr>
        <w:numId w:val="8"/>
      </w:numPr>
      <w:spacing w:before="80"/>
    </w:pPr>
    <w:rPr>
      <w:rFonts w:ascii="Franklin Gothic Book" w:eastAsia="MS Mincho" w:hAnsi="Franklin Gothic Book" w:cs="MS Mincho"/>
    </w:rPr>
  </w:style>
  <w:style w:type="paragraph" w:customStyle="1" w:styleId="Reference">
    <w:name w:val="Reference"/>
    <w:basedOn w:val="BodyText"/>
    <w:uiPriority w:val="3"/>
    <w:rsid w:val="00160C29"/>
    <w:pPr>
      <w:spacing w:before="70" w:line="260" w:lineRule="atLeast"/>
      <w:ind w:left="284" w:hanging="284"/>
    </w:pPr>
    <w:rPr>
      <w:sz w:val="19"/>
      <w:szCs w:val="20"/>
    </w:rPr>
  </w:style>
  <w:style w:type="paragraph" w:customStyle="1" w:styleId="Reporttype">
    <w:name w:val="Report type"/>
    <w:basedOn w:val="Date"/>
    <w:next w:val="Title"/>
    <w:uiPriority w:val="31"/>
    <w:rsid w:val="009A4238"/>
    <w:pPr>
      <w:spacing w:before="0" w:after="280" w:line="260" w:lineRule="atLeast"/>
    </w:pPr>
    <w:rPr>
      <w:rFonts w:ascii="Franklin Gothic Demi" w:hAnsi="Franklin Gothic Demi"/>
      <w:i w:val="0"/>
      <w:caps/>
      <w:color w:val="F61D12" w:themeColor="accent2"/>
      <w:spacing w:val="44"/>
      <w:sz w:val="22"/>
    </w:rPr>
  </w:style>
  <w:style w:type="paragraph" w:customStyle="1" w:styleId="TableDataEntries">
    <w:name w:val="Table Data Entries"/>
    <w:basedOn w:val="TableTextEntries"/>
    <w:uiPriority w:val="11"/>
    <w:rsid w:val="003C4883"/>
    <w:pPr>
      <w:spacing w:before="40" w:after="40"/>
      <w:jc w:val="right"/>
    </w:pPr>
  </w:style>
  <w:style w:type="paragraph" w:customStyle="1" w:styleId="TableDataColumnHeading">
    <w:name w:val="Table Data Column Heading"/>
    <w:basedOn w:val="TableDataEntries"/>
    <w:uiPriority w:val="11"/>
    <w:rsid w:val="00E879B8"/>
    <w:pPr>
      <w:keepNext/>
      <w:spacing w:before="80" w:after="80"/>
    </w:pPr>
    <w:rPr>
      <w:rFonts w:ascii="Franklin Gothic Demi" w:hAnsi="Franklin Gothic Demi"/>
      <w:color w:val="FFFFFF"/>
    </w:rPr>
  </w:style>
  <w:style w:type="paragraph" w:customStyle="1" w:styleId="TableHeading1">
    <w:name w:val="Table Heading 1"/>
    <w:basedOn w:val="TableTextEntries"/>
    <w:next w:val="TableTextEntries"/>
    <w:uiPriority w:val="10"/>
    <w:rsid w:val="00FC141A"/>
    <w:pPr>
      <w:spacing w:before="140"/>
    </w:pPr>
    <w:rPr>
      <w:rFonts w:ascii="Franklin Gothic Demi" w:hAnsi="Franklin Gothic Demi"/>
      <w:color w:val="6F6652" w:themeColor="text2"/>
    </w:rPr>
  </w:style>
  <w:style w:type="paragraph" w:customStyle="1" w:styleId="TableHeading2">
    <w:name w:val="Table Heading 2"/>
    <w:basedOn w:val="TableHeading1"/>
    <w:next w:val="TableTextEntries"/>
    <w:uiPriority w:val="10"/>
    <w:rsid w:val="00591C8C"/>
    <w:pPr>
      <w:spacing w:before="80"/>
    </w:pPr>
    <w:rPr>
      <w:rFonts w:ascii="Franklin Gothic Medium" w:hAnsi="Franklin Gothic Medium"/>
    </w:rPr>
  </w:style>
  <w:style w:type="paragraph" w:customStyle="1" w:styleId="TableTextColumnHeading">
    <w:name w:val="Table Text Column Heading"/>
    <w:basedOn w:val="TableDataColumnHeading"/>
    <w:uiPriority w:val="13"/>
    <w:rsid w:val="00D950CE"/>
    <w:pPr>
      <w:jc w:val="left"/>
    </w:pPr>
  </w:style>
  <w:style w:type="paragraph" w:customStyle="1" w:styleId="TableUnit">
    <w:name w:val="Table Unit"/>
    <w:basedOn w:val="TableDataColumnHeading"/>
    <w:next w:val="TableDataEntries"/>
    <w:uiPriority w:val="11"/>
    <w:rsid w:val="00AF5770"/>
    <w:rPr>
      <w:rFonts w:ascii="Franklin Gothic Book" w:hAnsi="Franklin Gothic Book"/>
      <w:color w:val="auto"/>
      <w:szCs w:val="17"/>
    </w:rPr>
  </w:style>
  <w:style w:type="paragraph" w:styleId="TOC1">
    <w:name w:val="toc 1"/>
    <w:basedOn w:val="BodyText"/>
    <w:next w:val="TOC2"/>
    <w:uiPriority w:val="39"/>
    <w:rsid w:val="006B34C3"/>
    <w:pPr>
      <w:tabs>
        <w:tab w:val="left" w:pos="340"/>
        <w:tab w:val="right" w:pos="7938"/>
      </w:tabs>
      <w:spacing w:line="260" w:lineRule="atLeast"/>
      <w:ind w:right="567"/>
    </w:pPr>
    <w:rPr>
      <w:rFonts w:ascii="Franklin Gothic Demi" w:hAnsi="Franklin Gothic Demi"/>
      <w:szCs w:val="24"/>
    </w:rPr>
  </w:style>
  <w:style w:type="paragraph" w:styleId="TOC2">
    <w:name w:val="toc 2"/>
    <w:basedOn w:val="TOC1"/>
    <w:uiPriority w:val="39"/>
    <w:rsid w:val="00D908FD"/>
    <w:pPr>
      <w:tabs>
        <w:tab w:val="clear" w:pos="340"/>
      </w:tabs>
      <w:spacing w:before="60"/>
      <w:ind w:left="340"/>
    </w:pPr>
    <w:rPr>
      <w:rFonts w:ascii="Calisto MT" w:hAnsi="Calisto MT"/>
    </w:rPr>
  </w:style>
  <w:style w:type="paragraph" w:styleId="TOC3">
    <w:name w:val="toc 3"/>
    <w:basedOn w:val="TOC2"/>
    <w:next w:val="BodyText"/>
    <w:uiPriority w:val="39"/>
    <w:semiHidden/>
    <w:rsid w:val="00D908FD"/>
    <w:pPr>
      <w:ind w:left="680"/>
    </w:pPr>
  </w:style>
  <w:style w:type="paragraph" w:styleId="TOC6">
    <w:name w:val="toc 6"/>
    <w:basedOn w:val="BodyText"/>
    <w:next w:val="BodyText"/>
    <w:uiPriority w:val="39"/>
    <w:semiHidden/>
    <w:rsid w:val="0052602A"/>
    <w:pPr>
      <w:tabs>
        <w:tab w:val="left" w:pos="284"/>
        <w:tab w:val="right" w:pos="7655"/>
      </w:tabs>
      <w:ind w:left="284" w:right="567" w:hanging="284"/>
    </w:pPr>
  </w:style>
  <w:style w:type="paragraph" w:styleId="TOC7">
    <w:name w:val="toc 7"/>
    <w:basedOn w:val="TOC6"/>
    <w:next w:val="TOC1"/>
    <w:uiPriority w:val="39"/>
    <w:semiHidden/>
    <w:rsid w:val="009C0B20"/>
    <w:pPr>
      <w:tabs>
        <w:tab w:val="left" w:pos="1418"/>
      </w:tabs>
      <w:spacing w:before="80"/>
      <w:ind w:left="709" w:hanging="425"/>
    </w:pPr>
  </w:style>
  <w:style w:type="numbering" w:customStyle="1" w:styleId="HeadingNumbers">
    <w:name w:val="HeadingNumbers"/>
    <w:uiPriority w:val="99"/>
    <w:rsid w:val="00FD7C5A"/>
    <w:pPr>
      <w:numPr>
        <w:numId w:val="5"/>
      </w:numPr>
    </w:pPr>
  </w:style>
  <w:style w:type="paragraph" w:customStyle="1" w:styleId="TableListBullet">
    <w:name w:val="Table List Bullet"/>
    <w:basedOn w:val="TableTextEntries"/>
    <w:uiPriority w:val="14"/>
    <w:rsid w:val="00E35B83"/>
    <w:pPr>
      <w:numPr>
        <w:numId w:val="7"/>
      </w:numPr>
      <w:spacing w:line="210" w:lineRule="atLeast"/>
    </w:pPr>
    <w:rPr>
      <w:szCs w:val="19"/>
    </w:rPr>
  </w:style>
  <w:style w:type="paragraph" w:customStyle="1" w:styleId="TableListBullet2">
    <w:name w:val="Table List Bullet 2"/>
    <w:basedOn w:val="TableListBullet"/>
    <w:uiPriority w:val="14"/>
    <w:rsid w:val="00B402A3"/>
    <w:pPr>
      <w:numPr>
        <w:ilvl w:val="1"/>
      </w:numPr>
    </w:pPr>
  </w:style>
  <w:style w:type="paragraph" w:customStyle="1" w:styleId="TableListNumber">
    <w:name w:val="Table List Number"/>
    <w:basedOn w:val="TableTextEntries"/>
    <w:uiPriority w:val="14"/>
    <w:rsid w:val="00497862"/>
    <w:pPr>
      <w:numPr>
        <w:numId w:val="1"/>
      </w:numPr>
      <w:spacing w:before="40" w:after="40"/>
    </w:pPr>
    <w:rPr>
      <w:szCs w:val="19"/>
    </w:rPr>
  </w:style>
  <w:style w:type="paragraph" w:customStyle="1" w:styleId="TableListNumber2">
    <w:name w:val="Table List Number 2"/>
    <w:basedOn w:val="TableListNumber"/>
    <w:uiPriority w:val="14"/>
    <w:rsid w:val="00B402A3"/>
    <w:pPr>
      <w:numPr>
        <w:ilvl w:val="1"/>
      </w:numPr>
    </w:pPr>
  </w:style>
  <w:style w:type="numbering" w:customStyle="1" w:styleId="TableListBullets">
    <w:name w:val="TableListBullets"/>
    <w:uiPriority w:val="99"/>
    <w:rsid w:val="00E35B83"/>
    <w:pPr>
      <w:numPr>
        <w:numId w:val="2"/>
      </w:numPr>
    </w:pPr>
  </w:style>
  <w:style w:type="numbering" w:customStyle="1" w:styleId="TableListNumbers">
    <w:name w:val="TableListNumbers"/>
    <w:uiPriority w:val="99"/>
    <w:rsid w:val="00497862"/>
    <w:pPr>
      <w:numPr>
        <w:numId w:val="1"/>
      </w:numPr>
    </w:pPr>
  </w:style>
  <w:style w:type="character" w:styleId="PlaceholderText">
    <w:name w:val="Placeholder Text"/>
    <w:basedOn w:val="DefaultParagraphFont"/>
    <w:uiPriority w:val="99"/>
    <w:semiHidden/>
    <w:rsid w:val="00AF4E66"/>
    <w:rPr>
      <w:color w:val="808080"/>
    </w:rPr>
  </w:style>
  <w:style w:type="paragraph" w:customStyle="1" w:styleId="ChartListBullet">
    <w:name w:val="Chart List Bullet"/>
    <w:basedOn w:val="TableListBullet"/>
    <w:uiPriority w:val="24"/>
    <w:rsid w:val="00CC4851"/>
    <w:pPr>
      <w:numPr>
        <w:numId w:val="3"/>
      </w:numPr>
      <w:spacing w:before="50" w:after="0" w:line="200" w:lineRule="atLeast"/>
    </w:pPr>
    <w:rPr>
      <w:rFonts w:ascii="Franklin Gothic Medium" w:hAnsi="Franklin Gothic Medium"/>
      <w:szCs w:val="18"/>
    </w:rPr>
  </w:style>
  <w:style w:type="paragraph" w:customStyle="1" w:styleId="ChartListBullet2">
    <w:name w:val="Chart List Bullet 2"/>
    <w:basedOn w:val="ChartText"/>
    <w:uiPriority w:val="24"/>
    <w:rsid w:val="00CC4851"/>
    <w:pPr>
      <w:numPr>
        <w:ilvl w:val="1"/>
        <w:numId w:val="3"/>
      </w:numPr>
      <w:spacing w:before="30"/>
    </w:pPr>
  </w:style>
  <w:style w:type="paragraph" w:customStyle="1" w:styleId="ChartListNumber0">
    <w:name w:val="Chart List Number"/>
    <w:basedOn w:val="ChartText"/>
    <w:uiPriority w:val="24"/>
    <w:rsid w:val="004563C5"/>
    <w:pPr>
      <w:numPr>
        <w:numId w:val="4"/>
      </w:numPr>
      <w:spacing w:before="60"/>
    </w:pPr>
  </w:style>
  <w:style w:type="numbering" w:customStyle="1" w:styleId="ChartListNumber">
    <w:name w:val="ChartListNumber"/>
    <w:uiPriority w:val="99"/>
    <w:rsid w:val="004563C5"/>
    <w:pPr>
      <w:numPr>
        <w:numId w:val="4"/>
      </w:numPr>
    </w:pPr>
  </w:style>
  <w:style w:type="numbering" w:customStyle="1" w:styleId="RecommendationNumbers">
    <w:name w:val="RecommendationNumbers"/>
    <w:uiPriority w:val="99"/>
    <w:rsid w:val="002C0234"/>
    <w:pPr>
      <w:numPr>
        <w:numId w:val="6"/>
      </w:numPr>
    </w:pPr>
  </w:style>
  <w:style w:type="paragraph" w:customStyle="1" w:styleId="Abbreviation">
    <w:name w:val="Abbreviation"/>
    <w:basedOn w:val="BodyText"/>
    <w:uiPriority w:val="3"/>
    <w:rsid w:val="002321B8"/>
    <w:pPr>
      <w:ind w:left="1134" w:hanging="1134"/>
    </w:pPr>
  </w:style>
  <w:style w:type="paragraph" w:styleId="TableofFigures">
    <w:name w:val="table of figures"/>
    <w:basedOn w:val="BodyText"/>
    <w:next w:val="BodyText"/>
    <w:uiPriority w:val="99"/>
    <w:rsid w:val="00830E27"/>
    <w:pPr>
      <w:tabs>
        <w:tab w:val="left" w:pos="510"/>
        <w:tab w:val="right" w:pos="7938"/>
      </w:tabs>
      <w:spacing w:before="60" w:line="260" w:lineRule="atLeast"/>
      <w:ind w:left="510" w:right="567" w:hanging="510"/>
    </w:pPr>
  </w:style>
  <w:style w:type="table" w:styleId="TableGrid">
    <w:name w:val="Table Grid"/>
    <w:aliases w:val="none,ICB Table,PB Table,1TableGrid,McLL Table General Text,SGS Numeric Table,GTA,EP Table Grid,CV table,EY Table,EY Question Table,EYTable,CV1,new tab,Equifax table,Header Table,Format for the table,Header Table Grid,E&amp;P Style 5,AEMO,UDP Grid"/>
    <w:basedOn w:val="TableNormal"/>
    <w:uiPriority w:val="59"/>
    <w:rsid w:val="00C93691"/>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519F1"/>
    <w:rPr>
      <w:color w:val="9B917E" w:themeColor="followedHyperlink"/>
      <w:u w:val="single"/>
    </w:rPr>
  </w:style>
  <w:style w:type="paragraph" w:styleId="NoSpacing">
    <w:name w:val="No Spacing"/>
    <w:basedOn w:val="Normal"/>
    <w:uiPriority w:val="1"/>
    <w:semiHidden/>
    <w:qFormat/>
    <w:rsid w:val="00160C29"/>
    <w:pPr>
      <w:spacing w:line="240" w:lineRule="auto"/>
    </w:pPr>
    <w:rPr>
      <w:rFonts w:asciiTheme="minorHAnsi" w:eastAsiaTheme="minorHAnsi" w:hAnsiTheme="minorHAnsi"/>
      <w:color w:val="000000" w:themeColor="text1"/>
      <w:szCs w:val="20"/>
      <w:lang w:val="en-US" w:eastAsia="ja-JP"/>
    </w:rPr>
  </w:style>
  <w:style w:type="paragraph" w:styleId="CommentSubject">
    <w:name w:val="annotation subject"/>
    <w:basedOn w:val="CommentText"/>
    <w:next w:val="CommentText"/>
    <w:link w:val="CommentSubjectChar"/>
    <w:uiPriority w:val="99"/>
    <w:semiHidden/>
    <w:rsid w:val="00EB66C5"/>
    <w:pPr>
      <w:spacing w:before="0" w:line="240" w:lineRule="auto"/>
    </w:pPr>
    <w:rPr>
      <w:rFonts w:ascii="Calibri" w:eastAsiaTheme="minorEastAsia" w:hAnsi="Calibri" w:cstheme="minorBidi"/>
      <w:b/>
      <w:bCs/>
    </w:rPr>
  </w:style>
  <w:style w:type="character" w:customStyle="1" w:styleId="CommentSubjectChar">
    <w:name w:val="Comment Subject Char"/>
    <w:basedOn w:val="CommentTextChar"/>
    <w:link w:val="CommentSubject"/>
    <w:uiPriority w:val="99"/>
    <w:semiHidden/>
    <w:rsid w:val="002812E4"/>
    <w:rPr>
      <w:rFonts w:ascii="Calibri" w:eastAsia="Times New Roman" w:hAnsi="Calibri" w:cstheme="minorBidi"/>
      <w:b/>
      <w:bCs/>
      <w:sz w:val="20"/>
      <w:szCs w:val="20"/>
    </w:rPr>
  </w:style>
  <w:style w:type="paragraph" w:styleId="Revision">
    <w:name w:val="Revision"/>
    <w:hidden/>
    <w:uiPriority w:val="99"/>
    <w:semiHidden/>
    <w:rsid w:val="00EB66C5"/>
    <w:pPr>
      <w:spacing w:before="0" w:line="240" w:lineRule="auto"/>
    </w:pPr>
  </w:style>
  <w:style w:type="paragraph" w:styleId="BalloonText">
    <w:name w:val="Balloon Text"/>
    <w:basedOn w:val="Normal"/>
    <w:link w:val="BalloonTextChar"/>
    <w:semiHidden/>
    <w:unhideWhenUsed/>
    <w:rsid w:val="00EB66C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6C5"/>
    <w:rPr>
      <w:rFonts w:ascii="Tahoma" w:hAnsi="Tahoma" w:cs="Tahoma"/>
      <w:sz w:val="16"/>
      <w:szCs w:val="16"/>
    </w:rPr>
  </w:style>
  <w:style w:type="paragraph" w:customStyle="1" w:styleId="HighlightMessage">
    <w:name w:val="Highlight Message"/>
    <w:basedOn w:val="BodyText"/>
    <w:next w:val="BodyText"/>
    <w:rsid w:val="00814B8B"/>
    <w:pPr>
      <w:keepNext/>
      <w:spacing w:before="360" w:line="260" w:lineRule="atLeast"/>
      <w:ind w:right="1701"/>
    </w:pPr>
    <w:rPr>
      <w:rFonts w:ascii="Franklin Gothic Heavy" w:hAnsi="Franklin Gothic Heavy"/>
      <w:color w:val="F61D12" w:themeColor="accent2"/>
      <w:szCs w:val="16"/>
      <w:lang w:eastAsia="en-US"/>
    </w:rPr>
  </w:style>
  <w:style w:type="paragraph" w:customStyle="1" w:styleId="Chart">
    <w:name w:val="Chart"/>
    <w:basedOn w:val="BodyText"/>
    <w:uiPriority w:val="99"/>
    <w:unhideWhenUsed/>
    <w:rsid w:val="00576C2E"/>
    <w:pPr>
      <w:spacing w:before="0" w:line="200" w:lineRule="atLeast"/>
    </w:pPr>
    <w:rPr>
      <w:lang w:eastAsia="en-US"/>
    </w:rPr>
  </w:style>
  <w:style w:type="paragraph" w:customStyle="1" w:styleId="KeyPoint">
    <w:name w:val="Key Point"/>
    <w:basedOn w:val="BodyText"/>
    <w:uiPriority w:val="1"/>
    <w:rsid w:val="00825668"/>
    <w:pPr>
      <w:numPr>
        <w:numId w:val="11"/>
      </w:numPr>
    </w:pPr>
    <w:rPr>
      <w:rFonts w:ascii="Franklin Gothic Demi" w:hAnsi="Franklin Gothic Demi"/>
      <w:color w:val="6F6652" w:themeColor="text2"/>
      <w:szCs w:val="20"/>
      <w:lang w:eastAsia="en-US"/>
    </w:rPr>
  </w:style>
  <w:style w:type="paragraph" w:customStyle="1" w:styleId="ChapterSummary">
    <w:name w:val="Chapter Summary"/>
    <w:basedOn w:val="KeyPoint"/>
    <w:uiPriority w:val="1"/>
    <w:rsid w:val="00FC141A"/>
    <w:pPr>
      <w:numPr>
        <w:numId w:val="0"/>
      </w:numPr>
    </w:pPr>
  </w:style>
  <w:style w:type="paragraph" w:customStyle="1" w:styleId="ChapterIntroduction">
    <w:name w:val="Chapter Introduction"/>
    <w:basedOn w:val="ChapterSummary"/>
    <w:next w:val="BodyText"/>
    <w:uiPriority w:val="1"/>
    <w:rsid w:val="00A510ED"/>
    <w:pPr>
      <w:pBdr>
        <w:top w:val="single" w:sz="4" w:space="4" w:color="9B917E" w:themeColor="accent4"/>
        <w:bottom w:val="single" w:sz="4" w:space="6" w:color="9B917E" w:themeColor="accent4"/>
      </w:pBdr>
      <w:spacing w:after="180"/>
    </w:pPr>
    <w:rPr>
      <w:rFonts w:asciiTheme="minorHAnsi" w:hAnsiTheme="minorHAnsi"/>
      <w:b/>
      <w:i/>
      <w:color w:val="006B7A" w:themeColor="accent1"/>
      <w:sz w:val="22"/>
    </w:rPr>
  </w:style>
  <w:style w:type="paragraph" w:customStyle="1" w:styleId="Confidential">
    <w:name w:val="Confidential"/>
    <w:basedOn w:val="Reporttype"/>
    <w:uiPriority w:val="31"/>
    <w:rsid w:val="005D3C6B"/>
    <w:pPr>
      <w:spacing w:after="0"/>
    </w:pPr>
    <w:rPr>
      <w:rFonts w:ascii="Franklin Gothic Book" w:hAnsi="Franklin Gothic Book"/>
      <w:color w:val="auto"/>
      <w:spacing w:val="10"/>
    </w:rPr>
  </w:style>
  <w:style w:type="numbering" w:customStyle="1" w:styleId="ListNumbers">
    <w:name w:val="ListNumbers"/>
    <w:next w:val="NoList"/>
    <w:uiPriority w:val="99"/>
    <w:rsid w:val="00497862"/>
    <w:pPr>
      <w:numPr>
        <w:numId w:val="10"/>
      </w:numPr>
    </w:pPr>
  </w:style>
  <w:style w:type="paragraph" w:customStyle="1" w:styleId="PartNumber">
    <w:name w:val="Part Number"/>
    <w:basedOn w:val="Reporttype"/>
    <w:uiPriority w:val="34"/>
    <w:rsid w:val="006E03FF"/>
  </w:style>
  <w:style w:type="paragraph" w:customStyle="1" w:styleId="PartTitle">
    <w:name w:val="Part Title"/>
    <w:basedOn w:val="Title"/>
    <w:link w:val="PartTitleChar"/>
    <w:uiPriority w:val="34"/>
    <w:rsid w:val="00145444"/>
    <w:pPr>
      <w:spacing w:line="440" w:lineRule="atLeast"/>
    </w:pPr>
    <w:rPr>
      <w:sz w:val="36"/>
    </w:rPr>
  </w:style>
  <w:style w:type="character" w:customStyle="1" w:styleId="PartTitleChar">
    <w:name w:val="Part Title Char"/>
    <w:basedOn w:val="TitleChar"/>
    <w:link w:val="PartTitle"/>
    <w:uiPriority w:val="34"/>
    <w:rsid w:val="007B3F04"/>
    <w:rPr>
      <w:rFonts w:asciiTheme="majorHAnsi" w:eastAsia="Times New Roman" w:hAnsiTheme="majorHAnsi"/>
      <w:spacing w:val="-2"/>
      <w:kern w:val="28"/>
      <w:sz w:val="36"/>
      <w:szCs w:val="48"/>
    </w:rPr>
  </w:style>
  <w:style w:type="character" w:customStyle="1" w:styleId="ListBulletChar">
    <w:name w:val="List Bullet Char"/>
    <w:aliases w:val="Char Char, Char Char"/>
    <w:link w:val="ListBullet"/>
    <w:uiPriority w:val="2"/>
    <w:locked/>
    <w:rsid w:val="00160C29"/>
    <w:rPr>
      <w:rFonts w:asciiTheme="minorHAnsi" w:eastAsia="Times New Roman" w:hAnsiTheme="minorHAnsi"/>
    </w:rPr>
  </w:style>
  <w:style w:type="paragraph" w:styleId="TOC4">
    <w:name w:val="toc 4"/>
    <w:basedOn w:val="TOC1"/>
    <w:next w:val="TOC1"/>
    <w:uiPriority w:val="39"/>
    <w:rsid w:val="00D908FD"/>
    <w:pPr>
      <w:spacing w:before="360"/>
      <w:ind w:right="0"/>
    </w:pPr>
    <w:rPr>
      <w:caps/>
      <w:color w:val="9B917E" w:themeColor="accent4"/>
      <w:spacing w:val="10"/>
      <w:sz w:val="22"/>
    </w:rPr>
  </w:style>
  <w:style w:type="paragraph" w:styleId="TOCHeading">
    <w:name w:val="TOC Heading"/>
    <w:basedOn w:val="Heading4"/>
    <w:next w:val="TableofFigures"/>
    <w:uiPriority w:val="39"/>
    <w:semiHidden/>
    <w:rsid w:val="00FC141A"/>
    <w:pPr>
      <w:keepLines/>
      <w:numPr>
        <w:ilvl w:val="0"/>
        <w:numId w:val="0"/>
      </w:numPr>
      <w:outlineLvl w:val="9"/>
    </w:pPr>
    <w:rPr>
      <w:rFonts w:ascii="Franklin Gothic Demi" w:eastAsiaTheme="majorEastAsia" w:hAnsi="Franklin Gothic Demi" w:cstheme="majorBidi"/>
      <w:b w:val="0"/>
      <w:bCs/>
      <w:i w:val="0"/>
      <w:caps/>
      <w:color w:val="006B7A" w:themeColor="accent1"/>
      <w:spacing w:val="10"/>
      <w:sz w:val="22"/>
      <w:szCs w:val="28"/>
    </w:rPr>
  </w:style>
  <w:style w:type="character" w:customStyle="1" w:styleId="ContinuedChar">
    <w:name w:val="Continued Char"/>
    <w:basedOn w:val="DefaultParagraphFont"/>
    <w:link w:val="Continued"/>
    <w:uiPriority w:val="17"/>
    <w:rsid w:val="007A2A3B"/>
    <w:rPr>
      <w:rFonts w:ascii="Franklin Gothic Book" w:eastAsia="Times New Roman" w:hAnsi="Franklin Gothic Book"/>
      <w:sz w:val="14"/>
      <w:szCs w:val="16"/>
      <w:lang w:eastAsia="en-US"/>
    </w:rPr>
  </w:style>
  <w:style w:type="paragraph" w:styleId="ListParagraph">
    <w:name w:val="List Paragraph"/>
    <w:basedOn w:val="Normal"/>
    <w:uiPriority w:val="34"/>
    <w:qFormat/>
    <w:rsid w:val="00160C29"/>
    <w:pPr>
      <w:ind w:left="720"/>
      <w:contextualSpacing/>
    </w:pPr>
  </w:style>
  <w:style w:type="character" w:customStyle="1" w:styleId="CaptionChar">
    <w:name w:val="Caption Char"/>
    <w:basedOn w:val="BodyTextChar"/>
    <w:link w:val="Caption"/>
    <w:uiPriority w:val="99"/>
    <w:rsid w:val="00160C29"/>
    <w:rPr>
      <w:rFonts w:ascii="Franklin Gothic Demi" w:eastAsia="Times New Roman" w:hAnsi="Franklin Gothic Demi"/>
      <w:szCs w:val="20"/>
    </w:rPr>
  </w:style>
  <w:style w:type="paragraph" w:customStyle="1" w:styleId="Summary2">
    <w:name w:val="Summary 2"/>
    <w:basedOn w:val="Heading2"/>
    <w:next w:val="BodyText"/>
    <w:rsid w:val="006544F3"/>
  </w:style>
  <w:style w:type="paragraph" w:customStyle="1" w:styleId="Summary3">
    <w:name w:val="Summary 3"/>
    <w:basedOn w:val="Heading3"/>
    <w:next w:val="BodyText"/>
    <w:rsid w:val="006544F3"/>
  </w:style>
  <w:style w:type="paragraph" w:customStyle="1" w:styleId="Summary4">
    <w:name w:val="Summary 4"/>
    <w:basedOn w:val="Heading4"/>
    <w:next w:val="BodyText"/>
    <w:rsid w:val="006544F3"/>
  </w:style>
  <w:style w:type="paragraph" w:customStyle="1" w:styleId="KeyPoint2">
    <w:name w:val="Key Point 2"/>
    <w:basedOn w:val="KeyPoint"/>
    <w:next w:val="BodyText"/>
    <w:uiPriority w:val="1"/>
    <w:rsid w:val="00825668"/>
    <w:pPr>
      <w:numPr>
        <w:ilvl w:val="1"/>
      </w:numPr>
      <w:spacing w:before="80"/>
    </w:pPr>
  </w:style>
  <w:style w:type="paragraph" w:customStyle="1" w:styleId="KeyPoint3">
    <w:name w:val="Key Point 3"/>
    <w:basedOn w:val="KeyPoint2"/>
    <w:next w:val="BodyText"/>
    <w:uiPriority w:val="1"/>
    <w:rsid w:val="00825668"/>
    <w:pPr>
      <w:numPr>
        <w:ilvl w:val="2"/>
      </w:numPr>
      <w:spacing w:before="60"/>
    </w:pPr>
  </w:style>
  <w:style w:type="numbering" w:customStyle="1" w:styleId="KeyPointBullets">
    <w:name w:val="KeyPointBullets"/>
    <w:basedOn w:val="ListBullets"/>
    <w:uiPriority w:val="99"/>
    <w:rsid w:val="00825668"/>
    <w:pPr>
      <w:numPr>
        <w:numId w:val="11"/>
      </w:numPr>
    </w:pPr>
  </w:style>
  <w:style w:type="numbering" w:customStyle="1" w:styleId="NoteListNumber">
    <w:name w:val="NoteListNumber"/>
    <w:uiPriority w:val="99"/>
    <w:rsid w:val="00E864C1"/>
    <w:pPr>
      <w:numPr>
        <w:numId w:val="12"/>
      </w:numPr>
    </w:pPr>
  </w:style>
  <w:style w:type="paragraph" w:styleId="NormalWeb">
    <w:name w:val="Normal (Web)"/>
    <w:basedOn w:val="Normal"/>
    <w:uiPriority w:val="99"/>
    <w:unhideWhenUsed/>
    <w:rsid w:val="0071617D"/>
    <w:pPr>
      <w:spacing w:before="100" w:beforeAutospacing="1" w:after="100" w:afterAutospacing="1" w:line="240" w:lineRule="auto"/>
    </w:pPr>
    <w:rPr>
      <w:rFonts w:ascii="Times New Roman" w:hAnsi="Times New Roman"/>
      <w:sz w:val="24"/>
      <w:szCs w:val="24"/>
    </w:rPr>
  </w:style>
  <w:style w:type="paragraph" w:customStyle="1" w:styleId="NoteNumber">
    <w:name w:val="Note Number"/>
    <w:basedOn w:val="Note"/>
    <w:uiPriority w:val="15"/>
    <w:rsid w:val="00E6555A"/>
    <w:pPr>
      <w:numPr>
        <w:ilvl w:val="1"/>
        <w:numId w:val="13"/>
      </w:numPr>
    </w:pPr>
    <w:rPr>
      <w:szCs w:val="15"/>
    </w:rPr>
  </w:style>
  <w:style w:type="table" w:customStyle="1" w:styleId="LayoutGrid">
    <w:name w:val="Layout Grid"/>
    <w:basedOn w:val="TableNormal"/>
    <w:uiPriority w:val="99"/>
    <w:rsid w:val="006D44B3"/>
    <w:pPr>
      <w:spacing w:before="0" w:line="240" w:lineRule="auto"/>
    </w:pPr>
    <w:tblPr>
      <w:tblCellMar>
        <w:left w:w="0" w:type="dxa"/>
        <w:right w:w="0" w:type="dxa"/>
      </w:tblCellMar>
    </w:tblPr>
  </w:style>
  <w:style w:type="paragraph" w:customStyle="1" w:styleId="Customtabletitle">
    <w:name w:val="Custom table title"/>
    <w:rsid w:val="005409B7"/>
    <w:pPr>
      <w:keepNext/>
      <w:spacing w:before="360" w:after="80" w:line="260" w:lineRule="atLeast"/>
    </w:pPr>
    <w:rPr>
      <w:rFonts w:ascii="Franklin Gothic Demi" w:eastAsia="Times New Roman" w:hAnsi="Franklin Gothic Demi"/>
      <w:szCs w:val="20"/>
    </w:rPr>
  </w:style>
  <w:style w:type="paragraph" w:customStyle="1" w:styleId="SenderAddress">
    <w:name w:val="Sender Address"/>
    <w:basedOn w:val="BodyText"/>
    <w:rsid w:val="00D4564F"/>
    <w:pPr>
      <w:tabs>
        <w:tab w:val="left" w:pos="1134"/>
      </w:tabs>
      <w:spacing w:before="0" w:after="120" w:line="260" w:lineRule="atLeast"/>
    </w:pPr>
    <w:rPr>
      <w:sz w:val="19"/>
    </w:rPr>
  </w:style>
  <w:style w:type="paragraph" w:customStyle="1" w:styleId="Disclaimer">
    <w:name w:val="Disclaimer"/>
    <w:basedOn w:val="Normal"/>
    <w:rsid w:val="00A838D1"/>
    <w:pPr>
      <w:spacing w:before="140"/>
    </w:pPr>
  </w:style>
  <w:style w:type="paragraph" w:customStyle="1" w:styleId="DisclaimerHeading">
    <w:name w:val="Disclaimer Heading"/>
    <w:basedOn w:val="BodyText"/>
    <w:rsid w:val="00A838D1"/>
    <w:pPr>
      <w:spacing w:before="1600"/>
    </w:pPr>
    <w:rPr>
      <w:rFonts w:ascii="Franklin Gothic Demi" w:hAnsi="Franklin Gothic Demi"/>
      <w:caps/>
      <w:spacing w:val="10"/>
      <w:szCs w:val="22"/>
    </w:rPr>
  </w:style>
  <w:style w:type="paragraph" w:customStyle="1" w:styleId="Heading1NotNumbered">
    <w:name w:val="Heading 1 NotNumbered"/>
    <w:basedOn w:val="Heading1"/>
    <w:next w:val="BodyText"/>
    <w:rsid w:val="00801EC2"/>
    <w:pPr>
      <w:numPr>
        <w:numId w:val="0"/>
      </w:numPr>
    </w:pPr>
    <w:rPr>
      <w:lang w:bidi="fa-IR"/>
    </w:rPr>
  </w:style>
  <w:style w:type="paragraph" w:customStyle="1" w:styleId="ShortReportCoverTagline">
    <w:name w:val="ShortReportCoverTagline"/>
    <w:basedOn w:val="BodyText"/>
    <w:rsid w:val="00BE67D2"/>
    <w:pPr>
      <w:spacing w:before="0" w:line="240" w:lineRule="auto"/>
    </w:pPr>
    <w:rPr>
      <w:rFonts w:ascii="Franklin Gothic Medium" w:hAnsi="Franklin Gothic Medium"/>
      <w:caps/>
      <w:color w:val="6F6652" w:themeColor="text2"/>
      <w:spacing w:val="10"/>
      <w:sz w:val="20"/>
    </w:rPr>
  </w:style>
  <w:style w:type="character" w:customStyle="1" w:styleId="SourceChar">
    <w:name w:val="Source Char"/>
    <w:basedOn w:val="DefaultParagraphFont"/>
    <w:link w:val="Source"/>
    <w:uiPriority w:val="16"/>
    <w:locked/>
    <w:rsid w:val="00ED0E85"/>
    <w:rPr>
      <w:rFonts w:ascii="Franklin Gothic Book" w:eastAsia="Times New Roman" w:hAnsi="Franklin Gothic Book"/>
      <w:sz w:val="14"/>
      <w:szCs w:val="16"/>
      <w:lang w:eastAsia="en-US"/>
    </w:rPr>
  </w:style>
  <w:style w:type="character" w:customStyle="1" w:styleId="ListBullet2Char">
    <w:name w:val="List Bullet 2 Char"/>
    <w:basedOn w:val="DefaultParagraphFont"/>
    <w:link w:val="ListBullet2"/>
    <w:uiPriority w:val="2"/>
    <w:locked/>
    <w:rsid w:val="00ED0E85"/>
    <w:rPr>
      <w:rFonts w:asciiTheme="minorHAnsi" w:eastAsia="Times New Roman" w:hAnsiTheme="minorHAnsi"/>
    </w:rPr>
  </w:style>
  <w:style w:type="paragraph" w:customStyle="1" w:styleId="Default">
    <w:name w:val="Default"/>
    <w:rsid w:val="00ED0E85"/>
    <w:pPr>
      <w:autoSpaceDE w:val="0"/>
      <w:autoSpaceDN w:val="0"/>
      <w:adjustRightInd w:val="0"/>
      <w:spacing w:before="0" w:line="240" w:lineRule="auto"/>
    </w:pPr>
    <w:rPr>
      <w:rFonts w:ascii="Calibri" w:hAnsi="Calibri" w:cs="Calibri"/>
      <w:color w:val="000000"/>
      <w:sz w:val="24"/>
      <w:szCs w:val="24"/>
    </w:rPr>
  </w:style>
  <w:style w:type="paragraph" w:customStyle="1" w:styleId="Pa22">
    <w:name w:val="Pa22"/>
    <w:basedOn w:val="Default"/>
    <w:next w:val="Default"/>
    <w:uiPriority w:val="99"/>
    <w:rsid w:val="00ED0E85"/>
    <w:pPr>
      <w:spacing w:line="151" w:lineRule="atLeast"/>
    </w:pPr>
    <w:rPr>
      <w:rFonts w:ascii="Gotham Narrow Light" w:hAnsi="Gotham Narrow Light" w:cs="Times New Roman"/>
      <w:color w:val="auto"/>
    </w:rPr>
  </w:style>
  <w:style w:type="character" w:customStyle="1" w:styleId="UnresolvedMention">
    <w:name w:val="Unresolved Mention"/>
    <w:basedOn w:val="DefaultParagraphFont"/>
    <w:uiPriority w:val="99"/>
    <w:semiHidden/>
    <w:unhideWhenUsed/>
    <w:rsid w:val="00ED0E85"/>
    <w:rPr>
      <w:color w:val="605E5C"/>
      <w:shd w:val="clear" w:color="auto" w:fill="E1DFDD"/>
    </w:rPr>
  </w:style>
  <w:style w:type="paragraph" w:customStyle="1" w:styleId="ShortReporHeadline">
    <w:name w:val="ShortReporHeadline"/>
    <w:basedOn w:val="Confidential"/>
    <w:rsid w:val="00ED0E85"/>
    <w:pPr>
      <w:jc w:val="right"/>
    </w:pPr>
    <w:rPr>
      <w:rFonts w:ascii="Franklin Gothic Heavy" w:hAnsi="Franklin Gothic Heavy"/>
    </w:rPr>
  </w:style>
  <w:style w:type="character" w:styleId="Strong">
    <w:name w:val="Strong"/>
    <w:basedOn w:val="DefaultParagraphFont"/>
    <w:uiPriority w:val="22"/>
    <w:qFormat/>
    <w:rsid w:val="00ED0E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961375">
      <w:bodyDiv w:val="1"/>
      <w:marLeft w:val="0"/>
      <w:marRight w:val="0"/>
      <w:marTop w:val="0"/>
      <w:marBottom w:val="0"/>
      <w:divBdr>
        <w:top w:val="none" w:sz="0" w:space="0" w:color="auto"/>
        <w:left w:val="none" w:sz="0" w:space="0" w:color="auto"/>
        <w:bottom w:val="none" w:sz="0" w:space="0" w:color="auto"/>
        <w:right w:val="none" w:sz="0" w:space="0" w:color="auto"/>
      </w:divBdr>
    </w:div>
    <w:div w:id="686180482">
      <w:bodyDiv w:val="1"/>
      <w:marLeft w:val="0"/>
      <w:marRight w:val="0"/>
      <w:marTop w:val="0"/>
      <w:marBottom w:val="0"/>
      <w:divBdr>
        <w:top w:val="none" w:sz="0" w:space="0" w:color="auto"/>
        <w:left w:val="none" w:sz="0" w:space="0" w:color="auto"/>
        <w:bottom w:val="none" w:sz="0" w:space="0" w:color="auto"/>
        <w:right w:val="none" w:sz="0" w:space="0" w:color="auto"/>
      </w:divBdr>
    </w:div>
    <w:div w:id="915242328">
      <w:bodyDiv w:val="1"/>
      <w:marLeft w:val="0"/>
      <w:marRight w:val="0"/>
      <w:marTop w:val="0"/>
      <w:marBottom w:val="0"/>
      <w:divBdr>
        <w:top w:val="none" w:sz="0" w:space="0" w:color="auto"/>
        <w:left w:val="none" w:sz="0" w:space="0" w:color="auto"/>
        <w:bottom w:val="none" w:sz="0" w:space="0" w:color="auto"/>
        <w:right w:val="none" w:sz="0" w:space="0" w:color="auto"/>
      </w:divBdr>
    </w:div>
    <w:div w:id="1298536351">
      <w:bodyDiv w:val="1"/>
      <w:marLeft w:val="0"/>
      <w:marRight w:val="0"/>
      <w:marTop w:val="0"/>
      <w:marBottom w:val="0"/>
      <w:divBdr>
        <w:top w:val="none" w:sz="0" w:space="0" w:color="auto"/>
        <w:left w:val="none" w:sz="0" w:space="0" w:color="auto"/>
        <w:bottom w:val="none" w:sz="0" w:space="0" w:color="auto"/>
        <w:right w:val="none" w:sz="0" w:space="0" w:color="auto"/>
      </w:divBdr>
    </w:div>
    <w:div w:id="1948271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117" Type="http://schemas.openxmlformats.org/officeDocument/2006/relationships/image" Target="media/image51.emf"/><Relationship Id="rId21" Type="http://schemas.openxmlformats.org/officeDocument/2006/relationships/footer" Target="footer3.xml"/><Relationship Id="rId42" Type="http://schemas.openxmlformats.org/officeDocument/2006/relationships/header" Target="header12.xml"/><Relationship Id="rId47" Type="http://schemas.openxmlformats.org/officeDocument/2006/relationships/image" Target="media/image7.emf"/><Relationship Id="rId63" Type="http://schemas.openxmlformats.org/officeDocument/2006/relationships/image" Target="media/image23.emf"/><Relationship Id="rId68" Type="http://schemas.openxmlformats.org/officeDocument/2006/relationships/footer" Target="footer15.xml"/><Relationship Id="rId84" Type="http://schemas.openxmlformats.org/officeDocument/2006/relationships/hyperlink" Target="https://www.scentregroup.com/getmedia/e29122fe-784f-42f4-88cc-d3657f5f8a32/Scentre-Group-2018-Sustainability-Report_V2.pdf?ext=.pdf" TargetMode="External"/><Relationship Id="rId89" Type="http://schemas.openxmlformats.org/officeDocument/2006/relationships/image" Target="media/image34.emf"/><Relationship Id="rId112" Type="http://schemas.openxmlformats.org/officeDocument/2006/relationships/hyperlink" Target="http://serve360.marriott.com/wp-content/uploads/2018/10/2018_Serve_360_Report.pdf" TargetMode="External"/><Relationship Id="rId133" Type="http://schemas.openxmlformats.org/officeDocument/2006/relationships/hyperlink" Target="http://www.cleanenergyregulator.gov.au/NGER/Pages/Published%20information/Electricity%20sector%20emissions%20and%20generation%20data/Electricity-sector-emissions-and-generation-data-2017%E2%80%9318-.aspx" TargetMode="External"/><Relationship Id="rId138" Type="http://schemas.openxmlformats.org/officeDocument/2006/relationships/footer" Target="footer19.xml"/><Relationship Id="rId16" Type="http://schemas.openxmlformats.org/officeDocument/2006/relationships/hyperlink" Target="mailto:ciesyd@TheCIE.com.au" TargetMode="External"/><Relationship Id="rId107" Type="http://schemas.openxmlformats.org/officeDocument/2006/relationships/image" Target="media/image46.emf"/><Relationship Id="rId11" Type="http://schemas.openxmlformats.org/officeDocument/2006/relationships/footnotes" Target="footnotes.xml"/><Relationship Id="rId32" Type="http://schemas.openxmlformats.org/officeDocument/2006/relationships/footer" Target="footer8.xml"/><Relationship Id="rId37" Type="http://schemas.openxmlformats.org/officeDocument/2006/relationships/header" Target="header10.xml"/><Relationship Id="rId53" Type="http://schemas.openxmlformats.org/officeDocument/2006/relationships/image" Target="media/image13.emf"/><Relationship Id="rId58" Type="http://schemas.openxmlformats.org/officeDocument/2006/relationships/image" Target="media/image18.emf"/><Relationship Id="rId74" Type="http://schemas.openxmlformats.org/officeDocument/2006/relationships/image" Target="media/image26.emf"/><Relationship Id="rId79" Type="http://schemas.openxmlformats.org/officeDocument/2006/relationships/hyperlink" Target="https://www.scaproperty.com.au/Resources/pdf/LCM448_AR_2018_Complete%20vFs.pdf" TargetMode="External"/><Relationship Id="rId102" Type="http://schemas.openxmlformats.org/officeDocument/2006/relationships/hyperlink" Target="https://earthcheck.org/media/49073/final-master-earthcheck-company-standard_version-4_may18.pdf" TargetMode="External"/><Relationship Id="rId123" Type="http://schemas.openxmlformats.org/officeDocument/2006/relationships/hyperlink" Target="https://www.abs.gov.au/AUSSTATS/abs@.nsf/DetailsPage/8752.0Dec%202018?OpenDocument" TargetMode="External"/><Relationship Id="rId128" Type="http://schemas.openxmlformats.org/officeDocument/2006/relationships/image" Target="media/image59.emf"/><Relationship Id="rId5" Type="http://schemas.openxmlformats.org/officeDocument/2006/relationships/customXml" Target="../customXml/item5.xml"/><Relationship Id="rId90" Type="http://schemas.openxmlformats.org/officeDocument/2006/relationships/image" Target="media/image35.emf"/><Relationship Id="rId95" Type="http://schemas.openxmlformats.org/officeDocument/2006/relationships/image" Target="media/image39.emf"/><Relationship Id="rId22" Type="http://schemas.openxmlformats.org/officeDocument/2006/relationships/header" Target="header4.xml"/><Relationship Id="rId27" Type="http://schemas.openxmlformats.org/officeDocument/2006/relationships/header" Target="header7.xml"/><Relationship Id="rId43" Type="http://schemas.openxmlformats.org/officeDocument/2006/relationships/header" Target="header13.xml"/><Relationship Id="rId48" Type="http://schemas.openxmlformats.org/officeDocument/2006/relationships/image" Target="media/image8.emf"/><Relationship Id="rId64" Type="http://schemas.openxmlformats.org/officeDocument/2006/relationships/image" Target="media/image24.emf"/><Relationship Id="rId69" Type="http://schemas.openxmlformats.org/officeDocument/2006/relationships/header" Target="header16.xml"/><Relationship Id="rId113" Type="http://schemas.openxmlformats.org/officeDocument/2006/relationships/image" Target="media/image48.emf"/><Relationship Id="rId118" Type="http://schemas.openxmlformats.org/officeDocument/2006/relationships/image" Target="media/image52.emf"/><Relationship Id="rId134" Type="http://schemas.openxmlformats.org/officeDocument/2006/relationships/hyperlink" Target="http://www.npi.gov.au/npi-data/latest-data" TargetMode="External"/><Relationship Id="rId139" Type="http://schemas.openxmlformats.org/officeDocument/2006/relationships/image" Target="media/image62.png"/><Relationship Id="rId8" Type="http://schemas.openxmlformats.org/officeDocument/2006/relationships/styles" Target="styles.xml"/><Relationship Id="rId51" Type="http://schemas.openxmlformats.org/officeDocument/2006/relationships/image" Target="media/image11.emf"/><Relationship Id="rId72" Type="http://schemas.openxmlformats.org/officeDocument/2006/relationships/footer" Target="footer17.xml"/><Relationship Id="rId80" Type="http://schemas.openxmlformats.org/officeDocument/2006/relationships/hyperlink" Target="https://groupir.mirvac.com/icms_docs/291482_MGR_FY18_Annual_Report.pdf" TargetMode="External"/><Relationship Id="rId85" Type="http://schemas.openxmlformats.org/officeDocument/2006/relationships/hyperlink" Target="https://www.stockland.com.au/~/media/corporate/pdf/investor-centre/property-portfolio/stockland-property-portfolio-1h19-xls.ashx" TargetMode="External"/><Relationship Id="rId93" Type="http://schemas.openxmlformats.org/officeDocument/2006/relationships/hyperlink" Target="http://www.tourisminvestment.com.au/en/research-insights/hotel-performance.html" TargetMode="External"/><Relationship Id="rId98" Type="http://schemas.openxmlformats.org/officeDocument/2006/relationships/image" Target="media/image42.emf"/><Relationship Id="rId121" Type="http://schemas.openxmlformats.org/officeDocument/2006/relationships/hyperlink" Target="https://www.nabers.gov.au/pricing"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www.TheCIE.com.au" TargetMode="Externa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header" Target="header11.xml"/><Relationship Id="rId46" Type="http://schemas.openxmlformats.org/officeDocument/2006/relationships/image" Target="media/image6.emf"/><Relationship Id="rId59" Type="http://schemas.openxmlformats.org/officeDocument/2006/relationships/image" Target="media/image19.emf"/><Relationship Id="rId67" Type="http://schemas.openxmlformats.org/officeDocument/2006/relationships/footer" Target="footer14.xml"/><Relationship Id="rId103" Type="http://schemas.openxmlformats.org/officeDocument/2006/relationships/hyperlink" Target="https://earthcheck.org/news/2019/july/thredbo-an-earthcheck-sustainable-destination-powered-by-renewable-energy/" TargetMode="External"/><Relationship Id="rId108" Type="http://schemas.openxmlformats.org/officeDocument/2006/relationships/image" Target="media/image47.emf"/><Relationship Id="rId116" Type="http://schemas.openxmlformats.org/officeDocument/2006/relationships/image" Target="media/image50.emf"/><Relationship Id="rId124" Type="http://schemas.openxmlformats.org/officeDocument/2006/relationships/image" Target="media/image56.emf"/><Relationship Id="rId129" Type="http://schemas.openxmlformats.org/officeDocument/2006/relationships/image" Target="media/image60.emf"/><Relationship Id="rId137" Type="http://schemas.openxmlformats.org/officeDocument/2006/relationships/footer" Target="footer18.xml"/><Relationship Id="rId20" Type="http://schemas.openxmlformats.org/officeDocument/2006/relationships/footer" Target="footer2.xml"/><Relationship Id="rId41" Type="http://schemas.openxmlformats.org/officeDocument/2006/relationships/image" Target="media/image5.png"/><Relationship Id="rId54" Type="http://schemas.openxmlformats.org/officeDocument/2006/relationships/image" Target="media/image14.emf"/><Relationship Id="rId62" Type="http://schemas.openxmlformats.org/officeDocument/2006/relationships/image" Target="media/image22.emf"/><Relationship Id="rId70" Type="http://schemas.openxmlformats.org/officeDocument/2006/relationships/header" Target="header17.xml"/><Relationship Id="rId75" Type="http://schemas.openxmlformats.org/officeDocument/2006/relationships/image" Target="media/image27.emf"/><Relationship Id="rId83" Type="http://schemas.openxmlformats.org/officeDocument/2006/relationships/hyperlink" Target="http://sustainability.vicinity.com.au/media/9601492/vcx-fy18-sustainability-performance-pack-2018.xlsx" TargetMode="External"/><Relationship Id="rId88" Type="http://schemas.openxmlformats.org/officeDocument/2006/relationships/image" Target="media/image33.emf"/><Relationship Id="rId91" Type="http://schemas.openxmlformats.org/officeDocument/2006/relationships/image" Target="media/image36.emf"/><Relationship Id="rId96" Type="http://schemas.openxmlformats.org/officeDocument/2006/relationships/image" Target="media/image40.emf"/><Relationship Id="rId111" Type="http://schemas.openxmlformats.org/officeDocument/2006/relationships/hyperlink" Target="http://www.langhamhospitalitygroup.com/cdn-600efdb1/globalassets/lhg/about-us/corporate-social-responsibility/lhg-csr-report-2017-en1.pdf" TargetMode="External"/><Relationship Id="rId132" Type="http://schemas.openxmlformats.org/officeDocument/2006/relationships/hyperlink" Target="http://www.npi.gov.au/npi-data/latest-data"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footer" Target="footer6.xml"/><Relationship Id="rId36" Type="http://schemas.openxmlformats.org/officeDocument/2006/relationships/image" Target="media/image4.png"/><Relationship Id="rId49" Type="http://schemas.openxmlformats.org/officeDocument/2006/relationships/image" Target="media/image9.emf"/><Relationship Id="rId57" Type="http://schemas.openxmlformats.org/officeDocument/2006/relationships/image" Target="media/image17.emf"/><Relationship Id="rId106" Type="http://schemas.openxmlformats.org/officeDocument/2006/relationships/image" Target="media/image45.emf"/><Relationship Id="rId114" Type="http://schemas.openxmlformats.org/officeDocument/2006/relationships/hyperlink" Target="http://www.cleanenergyregulator.gov.au/NGER/Reporting-cycle/Assess-your-obligations/Reporting-thresholds" TargetMode="External"/><Relationship Id="rId119" Type="http://schemas.openxmlformats.org/officeDocument/2006/relationships/image" Target="media/image53.emf"/><Relationship Id="rId127" Type="http://schemas.openxmlformats.org/officeDocument/2006/relationships/image" Target="media/image58.emf"/><Relationship Id="rId10" Type="http://schemas.openxmlformats.org/officeDocument/2006/relationships/webSettings" Target="webSettings.xml"/><Relationship Id="rId31" Type="http://schemas.openxmlformats.org/officeDocument/2006/relationships/header" Target="header9.xml"/><Relationship Id="rId44" Type="http://schemas.openxmlformats.org/officeDocument/2006/relationships/footer" Target="footer12.xml"/><Relationship Id="rId52" Type="http://schemas.openxmlformats.org/officeDocument/2006/relationships/image" Target="media/image12.emf"/><Relationship Id="rId60" Type="http://schemas.openxmlformats.org/officeDocument/2006/relationships/image" Target="media/image20.emf"/><Relationship Id="rId65" Type="http://schemas.openxmlformats.org/officeDocument/2006/relationships/header" Target="header14.xml"/><Relationship Id="rId73" Type="http://schemas.openxmlformats.org/officeDocument/2006/relationships/image" Target="media/image25.emf"/><Relationship Id="rId78" Type="http://schemas.openxmlformats.org/officeDocument/2006/relationships/image" Target="media/image30.emf"/><Relationship Id="rId81" Type="http://schemas.openxmlformats.org/officeDocument/2006/relationships/hyperlink" Target="https://www.ampcapital.com/au/en/assets/shopping-centres" TargetMode="External"/><Relationship Id="rId86" Type="http://schemas.openxmlformats.org/officeDocument/2006/relationships/image" Target="media/image31.emf"/><Relationship Id="rId94" Type="http://schemas.openxmlformats.org/officeDocument/2006/relationships/image" Target="media/image38.emf"/><Relationship Id="rId99" Type="http://schemas.openxmlformats.org/officeDocument/2006/relationships/image" Target="media/image43.emf"/><Relationship Id="rId101" Type="http://schemas.openxmlformats.org/officeDocument/2006/relationships/hyperlink" Target="https://earthcheck.org/about/search-members/" TargetMode="External"/><Relationship Id="rId122" Type="http://schemas.openxmlformats.org/officeDocument/2006/relationships/image" Target="media/image55.emf"/><Relationship Id="rId130" Type="http://schemas.openxmlformats.org/officeDocument/2006/relationships/image" Target="media/image61.emf"/><Relationship Id="rId135" Type="http://schemas.openxmlformats.org/officeDocument/2006/relationships/header" Target="header18.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2.xml"/><Relationship Id="rId39" Type="http://schemas.openxmlformats.org/officeDocument/2006/relationships/footer" Target="footer10.xml"/><Relationship Id="rId109" Type="http://schemas.openxmlformats.org/officeDocument/2006/relationships/hyperlink" Target="https://images.jobsataccor.com.au/wp-content/uploads/AccorHotels-Corporate-Responsibility-Report-2018.pdf" TargetMode="External"/><Relationship Id="rId34" Type="http://schemas.openxmlformats.org/officeDocument/2006/relationships/image" Target="media/image2.emf"/><Relationship Id="rId50" Type="http://schemas.openxmlformats.org/officeDocument/2006/relationships/image" Target="media/image10.emf"/><Relationship Id="rId55" Type="http://schemas.openxmlformats.org/officeDocument/2006/relationships/image" Target="media/image15.emf"/><Relationship Id="rId76" Type="http://schemas.openxmlformats.org/officeDocument/2006/relationships/image" Target="media/image28.emf"/><Relationship Id="rId97" Type="http://schemas.openxmlformats.org/officeDocument/2006/relationships/image" Target="media/image41.emf"/><Relationship Id="rId104" Type="http://schemas.openxmlformats.org/officeDocument/2006/relationships/hyperlink" Target="https://earthcheck.org/news/2018/june/making-green-venues-a-tourism-drawcard/" TargetMode="External"/><Relationship Id="rId120" Type="http://schemas.openxmlformats.org/officeDocument/2006/relationships/image" Target="media/image54.emf"/><Relationship Id="rId125" Type="http://schemas.openxmlformats.org/officeDocument/2006/relationships/hyperlink" Target="https://www.northsydney.nsw.gov.au/files/assets/public/docs/4_waste_environment/sustainability/energy_efficiency_energyaustralia.pdf" TargetMode="External"/><Relationship Id="rId141"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footer" Target="footer16.xml"/><Relationship Id="rId92" Type="http://schemas.openxmlformats.org/officeDocument/2006/relationships/image" Target="media/image37.emf"/><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footer" Target="footer4.xml"/><Relationship Id="rId40" Type="http://schemas.openxmlformats.org/officeDocument/2006/relationships/footer" Target="footer11.xml"/><Relationship Id="rId45" Type="http://schemas.openxmlformats.org/officeDocument/2006/relationships/footer" Target="footer13.xml"/><Relationship Id="rId66" Type="http://schemas.openxmlformats.org/officeDocument/2006/relationships/header" Target="header15.xml"/><Relationship Id="rId87" Type="http://schemas.openxmlformats.org/officeDocument/2006/relationships/image" Target="media/image32.emf"/><Relationship Id="rId110" Type="http://schemas.openxmlformats.org/officeDocument/2006/relationships/hyperlink" Target="https://images.jobsataccor.com.au/wp-content/uploads/accorhotels-australia-corporate-responsibility-report-2016-lr.pdf" TargetMode="External"/><Relationship Id="rId115" Type="http://schemas.openxmlformats.org/officeDocument/2006/relationships/image" Target="media/image49.emf"/><Relationship Id="rId131" Type="http://schemas.openxmlformats.org/officeDocument/2006/relationships/hyperlink" Target="http://www.cleanenergyregulator.gov.au/NGER/Pages/Published%20information/Electricity%20sector%20emissions%20and%20generation%20data/Electricity-sector-emissions-and-generation-data-2017%E2%80%9318-.aspx" TargetMode="External"/><Relationship Id="rId136" Type="http://schemas.openxmlformats.org/officeDocument/2006/relationships/header" Target="header19.xml"/><Relationship Id="rId61" Type="http://schemas.openxmlformats.org/officeDocument/2006/relationships/image" Target="media/image21.emf"/><Relationship Id="rId82" Type="http://schemas.openxmlformats.org/officeDocument/2006/relationships/hyperlink" Target="https://www.gpt.com.au/sites/default/files/document/GPT_Environment%20Data%20Pack_2019.xlsx" TargetMode="External"/><Relationship Id="rId19" Type="http://schemas.openxmlformats.org/officeDocument/2006/relationships/header" Target="header3.xml"/><Relationship Id="rId14" Type="http://schemas.openxmlformats.org/officeDocument/2006/relationships/header" Target="header1.xml"/><Relationship Id="rId30" Type="http://schemas.openxmlformats.org/officeDocument/2006/relationships/header" Target="header8.xml"/><Relationship Id="rId35" Type="http://schemas.openxmlformats.org/officeDocument/2006/relationships/image" Target="media/image3.png"/><Relationship Id="rId56" Type="http://schemas.openxmlformats.org/officeDocument/2006/relationships/image" Target="media/image16.emf"/><Relationship Id="rId77" Type="http://schemas.openxmlformats.org/officeDocument/2006/relationships/image" Target="media/image29.emf"/><Relationship Id="rId100" Type="http://schemas.openxmlformats.org/officeDocument/2006/relationships/hyperlink" Target="https://www.gbca.org.au/project-directory.asp" TargetMode="External"/><Relationship Id="rId105" Type="http://schemas.openxmlformats.org/officeDocument/2006/relationships/image" Target="media/image44.emf"/><Relationship Id="rId126" Type="http://schemas.openxmlformats.org/officeDocument/2006/relationships/image" Target="media/image57.emf"/></Relationships>
</file>

<file path=word/_rels/footnotes.xml.rels><?xml version="1.0" encoding="UTF-8" standalone="yes"?>
<Relationships xmlns="http://schemas.openxmlformats.org/package/2006/relationships"><Relationship Id="rId13" Type="http://schemas.openxmlformats.org/officeDocument/2006/relationships/hyperlink" Target="http://www.tourisminvestment.com.au/en/research-insights/hotel-performance.html" TargetMode="External"/><Relationship Id="rId18" Type="http://schemas.openxmlformats.org/officeDocument/2006/relationships/hyperlink" Target="https://www.gbca.org.au/uploads/194/34754/The_Value_of_Green_Star_A_Decade_of_Environmental_Benefits.pdf" TargetMode="External"/><Relationship Id="rId26" Type="http://schemas.openxmlformats.org/officeDocument/2006/relationships/hyperlink" Target="https://www.greenkey.global/criteria" TargetMode="External"/><Relationship Id="rId39" Type="http://schemas.openxmlformats.org/officeDocument/2006/relationships/hyperlink" Target="https://www.cdp.net/en" TargetMode="External"/><Relationship Id="rId3" Type="http://schemas.openxmlformats.org/officeDocument/2006/relationships/hyperlink" Target="https://prod-cbd.energy.slicedtech.com.au/sites/prod.cbd/files/CBD%20program%20review%20final%20report.pdf" TargetMode="External"/><Relationship Id="rId21" Type="http://schemas.openxmlformats.org/officeDocument/2006/relationships/hyperlink" Target="https://earthcheck.org/media/49073/final-master-earthcheck-company-standard_version-4_may18.pdf" TargetMode="External"/><Relationship Id="rId34" Type="http://schemas.openxmlformats.org/officeDocument/2006/relationships/hyperlink" Target="http://serve360.marriott.com/wp-content/uploads/2018/10/2018_Serve_360_Report.pdf" TargetMode="External"/><Relationship Id="rId42" Type="http://schemas.openxmlformats.org/officeDocument/2006/relationships/hyperlink" Target="https://news.booking.com/bookingcoms-2017-sustainable-travel-report/" TargetMode="External"/><Relationship Id="rId47" Type="http://schemas.openxmlformats.org/officeDocument/2006/relationships/hyperlink" Target="https://www.abs.gov.au/ausstats/abs@.nsf/Lookup/by%20Subject/2071.0~2016~Main%20Features~Apartment%20Living~20" TargetMode="External"/><Relationship Id="rId50" Type="http://schemas.openxmlformats.org/officeDocument/2006/relationships/hyperlink" Target="https://www.aemc.gov.au/sites/default/files/2018-12/2018%20Price%20Trends%20-%20Final%20Report%20-%20CLEAN.PDF" TargetMode="External"/><Relationship Id="rId7" Type="http://schemas.openxmlformats.org/officeDocument/2006/relationships/hyperlink" Target="https://parlinfo.aph.gov.au/parlInfo/download/legislation/ems/r4324_ems_bcf8cec6-4957-4ab2-9166-1e0fd6a836d4/upload_pdf/buildingrem.pdf;fileType=application%2Fpdf" TargetMode="External"/><Relationship Id="rId12" Type="http://schemas.openxmlformats.org/officeDocument/2006/relationships/hyperlink" Target="https://www.nabers.gov.au/pricing" TargetMode="External"/><Relationship Id="rId17" Type="http://schemas.openxmlformats.org/officeDocument/2006/relationships/hyperlink" Target="https://thegreenlist.com.au/listing/a-cheat-sheet-to-green-rating-tools/" TargetMode="External"/><Relationship Id="rId25" Type="http://schemas.openxmlformats.org/officeDocument/2006/relationships/hyperlink" Target="https://www.greenkey.global/our-programme" TargetMode="External"/><Relationship Id="rId33" Type="http://schemas.openxmlformats.org/officeDocument/2006/relationships/hyperlink" Target="https://newsroom.hilton.com/corporate/news/hilton-wins-product-of-the-year-from-environmental-leader-for-corporate-responsibility-measurement-platform-lightstay" TargetMode="External"/><Relationship Id="rId38" Type="http://schemas.openxmlformats.org/officeDocument/2006/relationships/hyperlink" Target="https://www.energystar.gov/about" TargetMode="External"/><Relationship Id="rId46" Type="http://schemas.openxmlformats.org/officeDocument/2006/relationships/hyperlink" Target="https://www.nabers.gov.au/pricing" TargetMode="External"/><Relationship Id="rId2" Type="http://schemas.openxmlformats.org/officeDocument/2006/relationships/hyperlink" Target="http://www.environment.gov.au/climate-change/publications/factsheet-australias-2030-climate-change-target" TargetMode="External"/><Relationship Id="rId16" Type="http://schemas.openxmlformats.org/officeDocument/2006/relationships/hyperlink" Target="https://www.ecotourism.org.au/our-certification-programs/eco-certification-3/" TargetMode="External"/><Relationship Id="rId20" Type="http://schemas.openxmlformats.org/officeDocument/2006/relationships/hyperlink" Target="http://www.greenhotelier.org/wp-content/uploads/2016/09/Know-How-Guide-to-sustainable-hotel-certifications1.pdf" TargetMode="External"/><Relationship Id="rId29" Type="http://schemas.openxmlformats.org/officeDocument/2006/relationships/hyperlink" Target="https://shapingsustainablemarkets.iied.org/green-globe%E2%80%99s-international-standard-sustainable-tourism-v17" TargetMode="External"/><Relationship Id="rId41" Type="http://schemas.openxmlformats.org/officeDocument/2006/relationships/hyperlink" Target="https://www.pwc.com/id/en/publications/assets/ticepublications/cis-hotel-loyalty.pdf" TargetMode="External"/><Relationship Id="rId1" Type="http://schemas.openxmlformats.org/officeDocument/2006/relationships/hyperlink" Target="http://unfccc.int/paris_agreement/items/9485.php" TargetMode="External"/><Relationship Id="rId6" Type="http://schemas.openxmlformats.org/officeDocument/2006/relationships/hyperlink" Target="http://cbd.gov.au/overview-of-the-program/what-is-cbd" TargetMode="External"/><Relationship Id="rId11" Type="http://schemas.openxmlformats.org/officeDocument/2006/relationships/hyperlink" Target="https://www.nabers.gov.au/about/what-nabers/how-it-works-rating-and-certification" TargetMode="External"/><Relationship Id="rId24" Type="http://schemas.openxmlformats.org/officeDocument/2006/relationships/hyperlink" Target="https://nabers.info/annual-report/2017-2018/hotel%e2%80%93energy.html" TargetMode="External"/><Relationship Id="rId32" Type="http://schemas.openxmlformats.org/officeDocument/2006/relationships/hyperlink" Target="https://cr.hilton.com/environment/" TargetMode="External"/><Relationship Id="rId37" Type="http://schemas.openxmlformats.org/officeDocument/2006/relationships/hyperlink" Target="https://betterbuildingssolutioncenter.energy.gov/sites/default/files/program/DOE_BBI_2019_Progress_Report.pdf" TargetMode="External"/><Relationship Id="rId40" Type="http://schemas.openxmlformats.org/officeDocument/2006/relationships/hyperlink" Target="https://sciencebasedtargets.org/about-the-science-based-targets-initiative/" TargetMode="External"/><Relationship Id="rId45" Type="http://schemas.openxmlformats.org/officeDocument/2006/relationships/hyperlink" Target="https://www.nabers.gov.au/ratings/spaces-we-rate/data-centres" TargetMode="External"/><Relationship Id="rId53" Type="http://schemas.openxmlformats.org/officeDocument/2006/relationships/hyperlink" Target="http://archive.defra.gov.uk/environment/quality/air/airquality/panels/igcb/documents/damagecost-guidance.pdf" TargetMode="External"/><Relationship Id="rId5" Type="http://schemas.openxmlformats.org/officeDocument/2006/relationships/hyperlink" Target="https://parlinfo.aph.gov.au/parlInfo/download/legislation/ems/r4324_ems_bcf8cec6-4957-4ab2-9166-1e0fd6a836d4/upload_pdf/buildingrem.pdf;fileType=application%2Fpdf" TargetMode="External"/><Relationship Id="rId15" Type="http://schemas.openxmlformats.org/officeDocument/2006/relationships/hyperlink" Target="https://www.ecotourism.org.au/eco-experiences/green-travel-guide/?sStates=NSW-VIC-QLD-TAS-SA-WA-NT-ACT&amp;sCertificationDetailPages=&amp;sExperienceTypes=15&amp;sSearchKey=" TargetMode="External"/><Relationship Id="rId23" Type="http://schemas.openxmlformats.org/officeDocument/2006/relationships/hyperlink" Target="http://www.greenhotelier.org/wp-content/uploads/2016/09/Know-How-Guide-to-sustainable-hotel-certifications1.pdf" TargetMode="External"/><Relationship Id="rId28" Type="http://schemas.openxmlformats.org/officeDocument/2006/relationships/hyperlink" Target="https://greenglobe.com/about/" TargetMode="External"/><Relationship Id="rId36" Type="http://schemas.openxmlformats.org/officeDocument/2006/relationships/hyperlink" Target="https://betterbuildingssolutioncenter.energy.gov/about-better-buildings-initiative" TargetMode="External"/><Relationship Id="rId49" Type="http://schemas.openxmlformats.org/officeDocument/2006/relationships/hyperlink" Target="https://www.abs.gov.au/ausstats/abs@.nsf/Lookup/by%20Subject/2071.0~2016~Main%20Features~Apartment%20Living~20" TargetMode="External"/><Relationship Id="rId10" Type="http://schemas.openxmlformats.org/officeDocument/2006/relationships/hyperlink" Target="https://www.nabers.gov.au/ratings/spaces-we-rate/office-buildings" TargetMode="External"/><Relationship Id="rId19" Type="http://schemas.openxmlformats.org/officeDocument/2006/relationships/hyperlink" Target="https://earthcheck.org/products-services/certification/benchmarking-and-certification/" TargetMode="External"/><Relationship Id="rId31" Type="http://schemas.openxmlformats.org/officeDocument/2006/relationships/hyperlink" Target="http://www.langhamhospitalitygroup.com/cdn-600efdb1/globalassets/lhg/about-us/corporate-social-responsibility/lhg-csr-report-2017-en1.pdf" TargetMode="External"/><Relationship Id="rId44" Type="http://schemas.openxmlformats.org/officeDocument/2006/relationships/hyperlink" Target="https://group.accor.com/en/commitment/sharing-our-knowledge/csr-and-performance" TargetMode="External"/><Relationship Id="rId52" Type="http://schemas.openxmlformats.org/officeDocument/2006/relationships/hyperlink" Target="http://www.defra.gov.uk/environment/quality/air/airquality/economic/damage/" TargetMode="External"/><Relationship Id="rId4" Type="http://schemas.openxmlformats.org/officeDocument/2006/relationships/hyperlink" Target="http://unfccc.int/paris_agreement/items/9485.php" TargetMode="External"/><Relationship Id="rId9" Type="http://schemas.openxmlformats.org/officeDocument/2006/relationships/hyperlink" Target="https://www.cityofsydney.nsw.gov.au/learn/research-and-statistics/surveying-our-community/floor-space-and-employment-survey/village-overview-summary/cbd-and-harbour" TargetMode="External"/><Relationship Id="rId14" Type="http://schemas.openxmlformats.org/officeDocument/2006/relationships/hyperlink" Target="https://www.ecotourism.org.au/our-certification-programs/" TargetMode="External"/><Relationship Id="rId22" Type="http://schemas.openxmlformats.org/officeDocument/2006/relationships/hyperlink" Target="https://www.un.org/sustainabledevelopment/energy/" TargetMode="External"/><Relationship Id="rId27" Type="http://schemas.openxmlformats.org/officeDocument/2006/relationships/hyperlink" Target="https://greenglobe.com/about/" TargetMode="External"/><Relationship Id="rId30" Type="http://schemas.openxmlformats.org/officeDocument/2006/relationships/hyperlink" Target="https://images.jobsataccor.com.au/wp-content/uploads/AccorHotels-Corporate-Responsibility-Report-2018.pdf" TargetMode="External"/><Relationship Id="rId35" Type="http://schemas.openxmlformats.org/officeDocument/2006/relationships/hyperlink" Target="http://serve360.marriott.com/wp-content/uploads/2018/10/2018_Serve_360_Report.pdf" TargetMode="External"/><Relationship Id="rId43" Type="http://schemas.openxmlformats.org/officeDocument/2006/relationships/hyperlink" Target="https://group.accor.com/en/commitment/sharing-our-knowledge/csr-and-performance" TargetMode="External"/><Relationship Id="rId48" Type="http://schemas.openxmlformats.org/officeDocument/2006/relationships/hyperlink" Target="https://www.ausstats.abs.gov.au/ausstats/subscriber.nsf/0/19DA38C6B6AF5E9FCA25814B00030D2E/$File/snapshot%20of%20australia,%202016%20census%20data%20summary.pdf" TargetMode="External"/><Relationship Id="rId8" Type="http://schemas.openxmlformats.org/officeDocument/2006/relationships/hyperlink" Target="http://cbd.gov.au/overview-of-the-program/what-is-cbd" TargetMode="External"/><Relationship Id="rId51" Type="http://schemas.openxmlformats.org/officeDocument/2006/relationships/hyperlink" Target="http://www.cleanenergyregulator.gov.au/NGER/Pages/Published%20information/Electricity%20sector%20emissions%20and%20generation%20data/Electricity-sector-emissions-and-generation-data-2017%E2%80%9318-.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ree%20Brittain\AppData\Roaming\Microsoft\Templates\2016%20Templates\Report%20CIE%202016.dotm" TargetMode="External"/></Relationships>
</file>

<file path=word/theme/theme1.xml><?xml version="1.0" encoding="utf-8"?>
<a:theme xmlns:a="http://schemas.openxmlformats.org/drawingml/2006/main" name="TheCIE">
  <a:themeElements>
    <a:clrScheme name="TheCIE">
      <a:dk1>
        <a:sysClr val="windowText" lastClr="000000"/>
      </a:dk1>
      <a:lt1>
        <a:sysClr val="window" lastClr="FFFFFF"/>
      </a:lt1>
      <a:dk2>
        <a:srgbClr val="6F6652"/>
      </a:dk2>
      <a:lt2>
        <a:srgbClr val="E9E8E5"/>
      </a:lt2>
      <a:accent1>
        <a:srgbClr val="006B7A"/>
      </a:accent1>
      <a:accent2>
        <a:srgbClr val="F61D12"/>
      </a:accent2>
      <a:accent3>
        <a:srgbClr val="C6BFAB"/>
      </a:accent3>
      <a:accent4>
        <a:srgbClr val="9B917E"/>
      </a:accent4>
      <a:accent5>
        <a:srgbClr val="6F6652"/>
      </a:accent5>
      <a:accent6>
        <a:srgbClr val="9AC2C4"/>
      </a:accent6>
      <a:hlink>
        <a:srgbClr val="6F6652"/>
      </a:hlink>
      <a:folHlink>
        <a:srgbClr val="9B917E"/>
      </a:folHlink>
    </a:clrScheme>
    <a:fontScheme name="TheCIE">
      <a:majorFont>
        <a:latin typeface="Calisto MT"/>
        <a:ea typeface=""/>
        <a:cs typeface=""/>
      </a:majorFont>
      <a:minorFont>
        <a:latin typeface="Calisto M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DocumentDescription xmlns="dca4b455-8b9b-405b-8a0f-4e99acf53253" xsi:nil="true"/>
    <Branch xmlns="dca4b455-8b9b-405b-8a0f-4e99acf53253">
      <UserInfo>
        <DisplayName/>
        <AccountId xsi:nil="true"/>
        <AccountType/>
      </UserInfo>
    </Branch>
    <RecordNumber xmlns="dca4b455-8b9b-405b-8a0f-4e99acf53253">002998296</RecordNumber>
    <Approval xmlns="dca4b455-8b9b-405b-8a0f-4e99acf53253" xsi:nil="true"/>
    <Function xmlns="dca4b455-8b9b-405b-8a0f-4e99acf53253">Administration</Function>
    <Division xmlns="dca4b455-8b9b-405b-8a0f-4e99acf53253">
      <UserInfo>
        <DisplayName/>
        <AccountId xsi:nil="true"/>
        <AccountType/>
      </UserInfo>
    </Division>
    <Section xmlns="dca4b455-8b9b-405b-8a0f-4e99acf53253">
      <UserInfo>
        <DisplayName/>
        <AccountId xsi:nil="true"/>
        <AccountType/>
      </UserInfo>
    </Section>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SPIRE Word Document" ma:contentTypeID="0x01010013DD0D1E0504704A9A546361C743C5870100412DDE9AF8B86541BFE43EF20B0CC415" ma:contentTypeVersion="7" ma:contentTypeDescription="Create a new Word Document" ma:contentTypeScope="" ma:versionID="f1886394e2062705d87d34b70e36627f">
  <xsd:schema xmlns:xsd="http://www.w3.org/2001/XMLSchema" xmlns:xs="http://www.w3.org/2001/XMLSchema" xmlns:p="http://schemas.microsoft.com/office/2006/metadata/properties" xmlns:ns2="dca4b455-8b9b-405b-8a0f-4e99acf53253" targetNamespace="http://schemas.microsoft.com/office/2006/metadata/properties" ma:root="true" ma:fieldsID="94a621a1917b601dafe3ba430f38ffad" ns2:_="">
    <xsd:import namespace="dca4b455-8b9b-405b-8a0f-4e99acf53253"/>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Section" minOccurs="0"/>
                <xsd:element ref="ns2:Branch" minOccurs="0"/>
                <xsd:element ref="ns2:Divi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a4b455-8b9b-405b-8a0f-4e99acf53253"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Administr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element name="Section" ma:index="12"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3"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vision" ma:index="14"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C5504338-21B3-4509-B601-DAB45723EB4A}">
  <ds:schemaRefs>
    <ds:schemaRef ds:uri="http://schemas.microsoft.com/sharepoint/events"/>
  </ds:schemaRefs>
</ds:datastoreItem>
</file>

<file path=customXml/itemProps2.xml><?xml version="1.0" encoding="utf-8"?>
<ds:datastoreItem xmlns:ds="http://schemas.openxmlformats.org/officeDocument/2006/customXml" ds:itemID="{AB150340-79C2-4F12-AA69-F75D80307B72}">
  <ds:schemaRefs>
    <ds:schemaRef ds:uri="http://schemas.microsoft.com/office/2006/metadata/properties"/>
    <ds:schemaRef ds:uri="http://schemas.openxmlformats.org/package/2006/metadata/core-properties"/>
    <ds:schemaRef ds:uri="http://purl.org/dc/dcmitype/"/>
    <ds:schemaRef ds:uri="http://www.w3.org/XML/1998/namespace"/>
    <ds:schemaRef ds:uri="dca4b455-8b9b-405b-8a0f-4e99acf53253"/>
    <ds:schemaRef ds:uri="http://schemas.microsoft.com/office/2006/documentManagement/types"/>
    <ds:schemaRef ds:uri="http://purl.org/dc/elements/1.1/"/>
    <ds:schemaRef ds:uri="http://purl.org/dc/terms/"/>
    <ds:schemaRef ds:uri="http://schemas.microsoft.com/office/infopath/2007/PartnerControls"/>
  </ds:schemaRefs>
</ds:datastoreItem>
</file>

<file path=customXml/itemProps3.xml><?xml version="1.0" encoding="utf-8"?>
<ds:datastoreItem xmlns:ds="http://schemas.openxmlformats.org/officeDocument/2006/customXml" ds:itemID="{8CF13236-D12B-4133-BDF9-542A94BF411E}">
  <ds:schemaRefs>
    <ds:schemaRef ds:uri="http://schemas.microsoft.com/office/2006/metadata/customXsn"/>
  </ds:schemaRefs>
</ds:datastoreItem>
</file>

<file path=customXml/itemProps4.xml><?xml version="1.0" encoding="utf-8"?>
<ds:datastoreItem xmlns:ds="http://schemas.openxmlformats.org/officeDocument/2006/customXml" ds:itemID="{144E0205-D169-489A-8B9E-55378F86ACC9}">
  <ds:schemaRefs>
    <ds:schemaRef ds:uri="http://schemas.microsoft.com/sharepoint/v3/contenttype/forms"/>
  </ds:schemaRefs>
</ds:datastoreItem>
</file>

<file path=customXml/itemProps5.xml><?xml version="1.0" encoding="utf-8"?>
<ds:datastoreItem xmlns:ds="http://schemas.openxmlformats.org/officeDocument/2006/customXml" ds:itemID="{C6216B70-FB13-4F65-A898-E530B6B15C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a4b455-8b9b-405b-8a0f-4e99acf532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2AB7EF3-F183-44D6-B296-41EB020AF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CIE 2016.dotm</Template>
  <TotalTime>0</TotalTime>
  <Pages>211</Pages>
  <Words>59356</Words>
  <Characters>338330</Characters>
  <Application>Microsoft Office Word</Application>
  <DocSecurity>0</DocSecurity>
  <Lines>2819</Lines>
  <Paragraphs>793</Paragraphs>
  <ScaleCrop>false</ScaleCrop>
  <HeadingPairs>
    <vt:vector size="2" baseType="variant">
      <vt:variant>
        <vt:lpstr>Title</vt:lpstr>
      </vt:variant>
      <vt:variant>
        <vt:i4>1</vt:i4>
      </vt:variant>
    </vt:vector>
  </HeadingPairs>
  <TitlesOfParts>
    <vt:vector size="1" baseType="lpstr">
      <vt:lpstr>CIE Draft report_2019</vt:lpstr>
    </vt:vector>
  </TitlesOfParts>
  <Company>The CIE</Company>
  <LinksUpToDate>false</LinksUpToDate>
  <CharactersWithSpaces>396893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CIE Draft report_2019</dc:title>
  <dc:subject/>
  <dc:creator>Sheree Brittain</dc:creator>
  <cp:keywords/>
  <dc:description/>
  <cp:lastModifiedBy>Jason Hill</cp:lastModifiedBy>
  <cp:revision>2</cp:revision>
  <cp:lastPrinted>2019-09-13T05:26:00Z</cp:lastPrinted>
  <dcterms:created xsi:type="dcterms:W3CDTF">2019-10-01T07:04:00Z</dcterms:created>
  <dcterms:modified xsi:type="dcterms:W3CDTF">2019-10-01T07:04:00Z</dcterms:modified>
  <cp:category>Report</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Type">
    <vt:lpwstr>Report Type</vt:lpwstr>
  </property>
  <property fmtid="{D5CDD505-2E9C-101B-9397-08002B2CF9AE}" pid="3" name="ReportTitle">
    <vt:lpwstr>Report Title</vt:lpwstr>
  </property>
  <property fmtid="{D5CDD505-2E9C-101B-9397-08002B2CF9AE}" pid="4" name="ReportSubtitle">
    <vt:lpwstr>Report Subtitle</vt:lpwstr>
  </property>
  <property fmtid="{D5CDD505-2E9C-101B-9397-08002B2CF9AE}" pid="5" name="ReportDate">
    <vt:lpwstr>13 September 2019</vt:lpwstr>
  </property>
  <property fmtid="{D5CDD505-2E9C-101B-9397-08002B2CF9AE}" pid="6" name="PreparedFor">
    <vt:lpwstr>Client Name</vt:lpwstr>
  </property>
  <property fmtid="{D5CDD505-2E9C-101B-9397-08002B2CF9AE}" pid="7" name="ShortReport">
    <vt:lpwstr>No</vt:lpwstr>
  </property>
  <property fmtid="{D5CDD505-2E9C-101B-9397-08002B2CF9AE}" pid="8" name="ContentTypeId">
    <vt:lpwstr>0x01010013DD0D1E0504704A9A546361C743C5870100412DDE9AF8B86541BFE43EF20B0CC415</vt:lpwstr>
  </property>
  <property fmtid="{D5CDD505-2E9C-101B-9397-08002B2CF9AE}" pid="9" name="RecordPoint_ActiveItemUniqueId">
    <vt:lpwstr>{3808594b-6354-44cd-9b72-2f9a7b57c5a2}</vt:lpwstr>
  </property>
  <property fmtid="{D5CDD505-2E9C-101B-9397-08002B2CF9AE}" pid="10" name="RecordPoint_WorkflowType">
    <vt:lpwstr>ActiveSubmitStub</vt:lpwstr>
  </property>
  <property fmtid="{D5CDD505-2E9C-101B-9397-08002B2CF9AE}" pid="11" name="RecordPoint_ActiveItemWebId">
    <vt:lpwstr>{6c756cea-5fe1-4d26-b78a-d57404407ca6}</vt:lpwstr>
  </property>
  <property fmtid="{D5CDD505-2E9C-101B-9397-08002B2CF9AE}" pid="12" name="RecordPoint_ActiveItemSiteId">
    <vt:lpwstr>{5d5943af-3559-4aa8-b232-61db5aa26396}</vt:lpwstr>
  </property>
  <property fmtid="{D5CDD505-2E9C-101B-9397-08002B2CF9AE}" pid="13" name="RecordPoint_ActiveItemListId">
    <vt:lpwstr>{6b002d3c-ade9-4776-bf54-9c191d49c2a0}</vt:lpwstr>
  </property>
  <property fmtid="{D5CDD505-2E9C-101B-9397-08002B2CF9AE}" pid="14" name="RecordPoint_RecordNumberSubmitted">
    <vt:lpwstr>002998296</vt:lpwstr>
  </property>
  <property fmtid="{D5CDD505-2E9C-101B-9397-08002B2CF9AE}" pid="15" name="RecordPoint_SubmissionCompleted">
    <vt:lpwstr>2019-09-17T09:47:39.0658797+10:00</vt:lpwstr>
  </property>
  <property fmtid="{D5CDD505-2E9C-101B-9397-08002B2CF9AE}" pid="16" name="IconOverlay">
    <vt:lpwstr/>
  </property>
  <property fmtid="{D5CDD505-2E9C-101B-9397-08002B2CF9AE}" pid="17" name="_MarkAsFinal">
    <vt:bool>true</vt:bool>
  </property>
</Properties>
</file>